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Policy Overview</w:t>
      </w:r>
    </w:p>
    <w:p>
      <w:pPr>
        <w:jc w:val="center"/>
      </w:pPr>
      <w:r>
        <w:rPr>
          <w:b/>
          <w:sz w:val="30"/>
        </w:rPr>
        <w:t>iOS Block Managed Apps from Storing Data in iCloud</w:t>
      </w:r>
    </w:p>
    <w:p>
      <w:pPr>
        <w:jc w:val="center"/>
      </w:pPr>
      <w:r>
        <w:rPr>
          <w:color w:val="595959"/>
          <w:sz w:val="20"/>
        </w:rPr>
        <w:t>Microsoft 365 Commercial  |  iOS/iPadOS  |  Device Configuration</w:t>
      </w:r>
    </w:p>
    <w:tbl>
      <w:tblPr>
        <w:tblW w:type="auto" w:w="0"/>
        <w:jc w:val="center"/>
        <w:tblLayout w:type="fixed"/>
        <w:tblLook w:firstColumn="1" w:firstRow="1" w:lastColumn="0" w:lastRow="0" w:noHBand="0" w:noVBand="1" w:val="04A0"/>
      </w:tblPr>
      <w:tblGrid>
        <w:gridCol w:w="9720"/>
      </w:tblGrid>
      <w:tr>
        <w:tc>
          <w:tcPr>
            <w:tcW w:type="dxa" w:w="10166"/>
            <w:shd w:fill="EAF2F8"/>
            <w:tcMar>
              <w:top w:w="130" w:type="dxa"/>
              <w:start w:w="160" w:type="dxa"/>
              <w:bottom w:w="130" w:type="dxa"/>
              <w:end w:w="160" w:type="dxa"/>
            </w:tcMar>
          </w:tcPr>
          <w:p>
            <w:pPr>
              <w:spacing w:after="0"/>
            </w:pPr>
            <w:r>
              <w:rPr>
                <w:b/>
                <w:color w:val="1F4E79"/>
              </w:rPr>
              <w:t xml:space="preserve">Approval focus: </w:t>
            </w:r>
            <w:r>
              <w:t>Prevents Intune-managed applications from synchronizing their managed data to iCloud. It does not disable iCloud globally on the device.</w:t>
            </w:r>
          </w:p>
        </w:tc>
      </w:tr>
    </w:tbl>
    <w:p>
      <w:pPr>
        <w:pStyle w:val="Heading1"/>
        <w:spacing w:before="160" w:after="80"/>
      </w:pPr>
      <w:r>
        <w:t>Executive Summary</w:t>
      </w:r>
    </w:p>
    <w:p>
      <w:pPr>
        <w:spacing w:after="100" w:line="247" w:lineRule="auto"/>
      </w:pPr>
      <w:r>
        <w:t>This policy establishes a focused iOS/iPadOS data-protection control that prevents managed applications from synchronizing managed application data to iCloud. The intent is to keep corporate data inside organization-controlled application and storage boundaries rather than allowing it to be replicated into a user-controlled cloud service.</w:t>
      </w:r>
    </w:p>
    <w:p>
      <w:pPr>
        <w:spacing w:after="100" w:line="247" w:lineRule="auto"/>
      </w:pPr>
      <w:r>
        <w:t>The control is narrow by design. The policy enables the managed-app iCloud synchronization block, while general iCloud backup, iCloud document synchronization, and iCloud Photo Library are not blocked by this specific profile. Those services can be governed separately when a client requires broader restrictions.</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096"/>
        <w:gridCol w:w="2232"/>
        <w:gridCol w:w="4320"/>
      </w:tblGrid>
      <w:tr>
        <w:tc>
          <w:tcPr>
            <w:tcW w:type="dxa" w:w="3389"/>
            <w:shd w:fill="1F4E79"/>
            <w:tcMar>
              <w:top w:w="90" w:type="dxa"/>
              <w:start w:w="100" w:type="dxa"/>
              <w:bottom w:w="90" w:type="dxa"/>
              <w:end w:w="100" w:type="dxa"/>
            </w:tcMar>
            <w:vAlign w:val="center"/>
          </w:tcPr>
          <w:p>
            <w:pPr>
              <w:jc w:val="center"/>
            </w:pPr>
            <w:r>
              <w:rPr>
                <w:b/>
                <w:color w:val="FFFFFF"/>
                <w:sz w:val="19"/>
              </w:rPr>
              <w:t>Control</w:t>
            </w:r>
          </w:p>
        </w:tc>
        <w:tc>
          <w:tcPr>
            <w:tcW w:type="dxa" w:w="3389"/>
            <w:shd w:fill="1F4E79"/>
            <w:tcMar>
              <w:top w:w="90" w:type="dxa"/>
              <w:start w:w="100" w:type="dxa"/>
              <w:bottom w:w="90" w:type="dxa"/>
              <w:end w:w="100" w:type="dxa"/>
            </w:tcMar>
            <w:vAlign w:val="center"/>
          </w:tcPr>
          <w:p>
            <w:pPr>
              <w:jc w:val="center"/>
            </w:pPr>
            <w:r>
              <w:rPr>
                <w:b/>
                <w:color w:val="FFFFFF"/>
                <w:sz w:val="19"/>
              </w:rPr>
              <w:t>Configuration</w:t>
            </w:r>
          </w:p>
        </w:tc>
        <w:tc>
          <w:tcPr>
            <w:tcW w:type="dxa" w:w="3389"/>
            <w:shd w:fill="1F4E79"/>
            <w:tcMar>
              <w:top w:w="90" w:type="dxa"/>
              <w:start w:w="100" w:type="dxa"/>
              <w:bottom w:w="90" w:type="dxa"/>
              <w:end w:w="100" w:type="dxa"/>
            </w:tcMar>
            <w:vAlign w:val="center"/>
          </w:tcPr>
          <w:p>
            <w:pPr>
              <w:jc w:val="center"/>
            </w:pPr>
            <w:r>
              <w:rPr>
                <w:b/>
                <w:color w:val="FFFFFF"/>
                <w:sz w:val="19"/>
              </w:rPr>
              <w:t>Business effect</w:t>
            </w:r>
          </w:p>
        </w:tc>
      </w:tr>
      <w:tr>
        <w:tc>
          <w:tcPr>
            <w:tcW w:type="dxa" w:w="3096"/>
            <w:tcMar>
              <w:top w:w="90" w:type="dxa"/>
              <w:start w:w="100" w:type="dxa"/>
              <w:bottom w:w="90" w:type="dxa"/>
              <w:end w:w="100" w:type="dxa"/>
            </w:tcMar>
            <w:vAlign w:val="center"/>
          </w:tcPr>
          <w:p>
            <w:pPr>
              <w:spacing w:after="0"/>
            </w:pPr>
            <w:r>
              <w:rPr>
                <w:sz w:val="18"/>
              </w:rPr>
              <w:t>Managed app iCloud sync</w:t>
            </w:r>
          </w:p>
        </w:tc>
        <w:tc>
          <w:tcPr>
            <w:tcW w:type="dxa" w:w="2232"/>
            <w:tcMar>
              <w:top w:w="90" w:type="dxa"/>
              <w:start w:w="100" w:type="dxa"/>
              <w:bottom w:w="90" w:type="dxa"/>
              <w:end w:w="100" w:type="dxa"/>
            </w:tcMar>
            <w:vAlign w:val="center"/>
          </w:tcPr>
          <w:p>
            <w:pPr>
              <w:spacing w:after="0"/>
              <w:jc w:val="center"/>
            </w:pPr>
            <w:r>
              <w:rPr>
                <w:sz w:val="18"/>
              </w:rPr>
              <w:t>Blocked</w:t>
            </w:r>
          </w:p>
        </w:tc>
        <w:tc>
          <w:tcPr>
            <w:tcW w:type="dxa" w:w="4320"/>
            <w:tcMar>
              <w:top w:w="90" w:type="dxa"/>
              <w:start w:w="100" w:type="dxa"/>
              <w:bottom w:w="90" w:type="dxa"/>
              <w:end w:w="100" w:type="dxa"/>
            </w:tcMar>
            <w:vAlign w:val="center"/>
          </w:tcPr>
          <w:p>
            <w:pPr>
              <w:spacing w:after="0"/>
            </w:pPr>
            <w:r>
              <w:rPr>
                <w:sz w:val="18"/>
              </w:rPr>
              <w:t>Prevents managed application data from synchronizing to iCloud.</w:t>
            </w:r>
          </w:p>
        </w:tc>
      </w:tr>
      <w:tr>
        <w:tc>
          <w:tcPr>
            <w:tcW w:type="dxa" w:w="3096"/>
            <w:tcMar>
              <w:top w:w="90" w:type="dxa"/>
              <w:start w:w="100" w:type="dxa"/>
              <w:bottom w:w="90" w:type="dxa"/>
              <w:end w:w="100" w:type="dxa"/>
            </w:tcMar>
            <w:vAlign w:val="center"/>
          </w:tcPr>
          <w:p>
            <w:pPr>
              <w:spacing w:after="0"/>
            </w:pPr>
            <w:r>
              <w:rPr>
                <w:sz w:val="18"/>
              </w:rPr>
              <w:t>iCloud device backup</w:t>
            </w:r>
          </w:p>
        </w:tc>
        <w:tc>
          <w:tcPr>
            <w:tcW w:type="dxa" w:w="2232"/>
            <w:tcMar>
              <w:top w:w="90" w:type="dxa"/>
              <w:start w:w="100" w:type="dxa"/>
              <w:bottom w:w="90" w:type="dxa"/>
              <w:end w:w="100" w:type="dxa"/>
            </w:tcMar>
            <w:vAlign w:val="center"/>
          </w:tcPr>
          <w:p>
            <w:pPr>
              <w:spacing w:after="0"/>
              <w:jc w:val="center"/>
            </w:pPr>
            <w:r>
              <w:rPr>
                <w:sz w:val="18"/>
              </w:rPr>
              <w:t>Not blocked here</w:t>
            </w:r>
          </w:p>
        </w:tc>
        <w:tc>
          <w:tcPr>
            <w:tcW w:type="dxa" w:w="4320"/>
            <w:tcMar>
              <w:top w:w="90" w:type="dxa"/>
              <w:start w:w="100" w:type="dxa"/>
              <w:bottom w:w="90" w:type="dxa"/>
              <w:end w:w="100" w:type="dxa"/>
            </w:tcMar>
            <w:vAlign w:val="center"/>
          </w:tcPr>
          <w:p>
            <w:pPr>
              <w:spacing w:after="0"/>
            </w:pPr>
            <w:r>
              <w:rPr>
                <w:sz w:val="18"/>
              </w:rPr>
              <w:t>Device-wide iCloud backup is outside this policy's intended scope.</w:t>
            </w:r>
          </w:p>
        </w:tc>
      </w:tr>
      <w:tr>
        <w:tc>
          <w:tcPr>
            <w:tcW w:type="dxa" w:w="3096"/>
            <w:tcMar>
              <w:top w:w="90" w:type="dxa"/>
              <w:start w:w="100" w:type="dxa"/>
              <w:bottom w:w="90" w:type="dxa"/>
              <w:end w:w="100" w:type="dxa"/>
            </w:tcMar>
            <w:vAlign w:val="center"/>
          </w:tcPr>
          <w:p>
            <w:pPr>
              <w:spacing w:after="0"/>
            </w:pPr>
            <w:r>
              <w:rPr>
                <w:sz w:val="18"/>
              </w:rPr>
              <w:t>iCloud document sync</w:t>
            </w:r>
          </w:p>
        </w:tc>
        <w:tc>
          <w:tcPr>
            <w:tcW w:type="dxa" w:w="2232"/>
            <w:tcMar>
              <w:top w:w="90" w:type="dxa"/>
              <w:start w:w="100" w:type="dxa"/>
              <w:bottom w:w="90" w:type="dxa"/>
              <w:end w:w="100" w:type="dxa"/>
            </w:tcMar>
            <w:vAlign w:val="center"/>
          </w:tcPr>
          <w:p>
            <w:pPr>
              <w:spacing w:after="0"/>
              <w:jc w:val="center"/>
            </w:pPr>
            <w:r>
              <w:rPr>
                <w:sz w:val="18"/>
              </w:rPr>
              <w:t>Not blocked here</w:t>
            </w:r>
          </w:p>
        </w:tc>
        <w:tc>
          <w:tcPr>
            <w:tcW w:type="dxa" w:w="4320"/>
            <w:tcMar>
              <w:top w:w="90" w:type="dxa"/>
              <w:start w:w="100" w:type="dxa"/>
              <w:bottom w:w="90" w:type="dxa"/>
              <w:end w:w="100" w:type="dxa"/>
            </w:tcMar>
            <w:vAlign w:val="center"/>
          </w:tcPr>
          <w:p>
            <w:pPr>
              <w:spacing w:after="0"/>
            </w:pPr>
            <w:r>
              <w:rPr>
                <w:sz w:val="18"/>
              </w:rPr>
              <w:t>General iCloud document synchronization remains separately configurable.</w:t>
            </w:r>
          </w:p>
        </w:tc>
      </w:tr>
      <w:tr>
        <w:tc>
          <w:tcPr>
            <w:tcW w:type="dxa" w:w="3096"/>
            <w:tcMar>
              <w:top w:w="90" w:type="dxa"/>
              <w:start w:w="100" w:type="dxa"/>
              <w:bottom w:w="90" w:type="dxa"/>
              <w:end w:w="100" w:type="dxa"/>
            </w:tcMar>
            <w:vAlign w:val="center"/>
          </w:tcPr>
          <w:p>
            <w:pPr>
              <w:spacing w:after="0"/>
            </w:pPr>
            <w:r>
              <w:rPr>
                <w:sz w:val="18"/>
              </w:rPr>
              <w:t>iCloud Photo Library</w:t>
            </w:r>
          </w:p>
        </w:tc>
        <w:tc>
          <w:tcPr>
            <w:tcW w:type="dxa" w:w="2232"/>
            <w:tcMar>
              <w:top w:w="90" w:type="dxa"/>
              <w:start w:w="100" w:type="dxa"/>
              <w:bottom w:w="90" w:type="dxa"/>
              <w:end w:w="100" w:type="dxa"/>
            </w:tcMar>
            <w:vAlign w:val="center"/>
          </w:tcPr>
          <w:p>
            <w:pPr>
              <w:spacing w:after="0"/>
              <w:jc w:val="center"/>
            </w:pPr>
            <w:r>
              <w:rPr>
                <w:sz w:val="18"/>
              </w:rPr>
              <w:t>Not blocked here</w:t>
            </w:r>
          </w:p>
        </w:tc>
        <w:tc>
          <w:tcPr>
            <w:tcW w:type="dxa" w:w="4320"/>
            <w:tcMar>
              <w:top w:w="90" w:type="dxa"/>
              <w:start w:w="100" w:type="dxa"/>
              <w:bottom w:w="90" w:type="dxa"/>
              <w:end w:w="100" w:type="dxa"/>
            </w:tcMar>
            <w:vAlign w:val="center"/>
          </w:tcPr>
          <w:p>
            <w:pPr>
              <w:spacing w:after="0"/>
            </w:pPr>
            <w:r>
              <w:rPr>
                <w:sz w:val="18"/>
              </w:rPr>
              <w:t>Photo-library controls remain independent of this managed-app restriction.</w:t>
            </w:r>
          </w:p>
        </w:tc>
      </w:tr>
      <w:tr>
        <w:tc>
          <w:tcPr>
            <w:tcW w:type="dxa" w:w="3096"/>
            <w:tcMar>
              <w:top w:w="90" w:type="dxa"/>
              <w:start w:w="100" w:type="dxa"/>
              <w:bottom w:w="90" w:type="dxa"/>
              <w:end w:w="100" w:type="dxa"/>
            </w:tcMar>
            <w:vAlign w:val="center"/>
          </w:tcPr>
          <w:p>
            <w:pPr>
              <w:spacing w:after="0"/>
            </w:pPr>
            <w:r>
              <w:rPr>
                <w:sz w:val="18"/>
              </w:rPr>
              <w:t>Policy assignment</w:t>
            </w:r>
          </w:p>
        </w:tc>
        <w:tc>
          <w:tcPr>
            <w:tcW w:type="dxa" w:w="2232"/>
            <w:tcMar>
              <w:top w:w="90" w:type="dxa"/>
              <w:start w:w="100" w:type="dxa"/>
              <w:bottom w:w="90" w:type="dxa"/>
              <w:end w:w="100" w:type="dxa"/>
            </w:tcMar>
            <w:vAlign w:val="center"/>
          </w:tcPr>
          <w:p>
            <w:pPr>
              <w:spacing w:after="0"/>
              <w:jc w:val="center"/>
            </w:pPr>
            <w:r>
              <w:rPr>
                <w:sz w:val="18"/>
              </w:rPr>
              <w:t>None on creation</w:t>
            </w:r>
          </w:p>
        </w:tc>
        <w:tc>
          <w:tcPr>
            <w:tcW w:type="dxa" w:w="4320"/>
            <w:tcMar>
              <w:top w:w="90" w:type="dxa"/>
              <w:start w:w="100" w:type="dxa"/>
              <w:bottom w:w="90" w:type="dxa"/>
              <w:end w:w="100" w:type="dxa"/>
            </w:tcMar>
            <w:vAlign w:val="center"/>
          </w:tcPr>
          <w:p>
            <w:pPr>
              <w:spacing w:after="0"/>
            </w:pPr>
            <w:r>
              <w:rPr>
                <w:sz w:val="18"/>
              </w:rPr>
              <w:t>A technician selects the appropriate scope for each client environment.</w:t>
            </w:r>
          </w:p>
        </w:tc>
      </w:tr>
    </w:tbl>
    <w:p>
      <w:pPr>
        <w:pStyle w:val="Heading1"/>
        <w:spacing w:before="160" w:after="80"/>
      </w:pPr>
      <w:r>
        <w:t>How It Works</w:t>
      </w:r>
    </w:p>
    <w:p>
      <w:pPr>
        <w:spacing w:after="100" w:line="247" w:lineRule="auto"/>
      </w:pPr>
      <w:r>
        <w:t>The script creates or updates an Intune iOS/iPadOS general device configuration policy. The principal setting is iCloudBlockManagedAppsSync = true, which is the control that prevents managed applications from synchronizing their managed data to iCloud.</w:t>
      </w:r>
    </w:p>
    <w:p>
      <w:pPr>
        <w:spacing w:after="100" w:line="247" w:lineRule="auto"/>
      </w:pPr>
      <w:r>
        <w:t>The script uses exact display-name matching, stops when duplicate policies with the same name are found, and records execution results to C:\Temp. A newly created policy is left unassigned, and any existing assignments are preserved when the policy is updated.</w:t>
      </w:r>
    </w:p>
    <w:p>
      <w:pPr>
        <w:pStyle w:val="Heading1"/>
        <w:spacing w:before="160" w:after="80"/>
      </w:pPr>
      <w:r>
        <w:t>Why This Policy Is Important</w:t>
      </w:r>
    </w:p>
    <w:p>
      <w:pPr>
        <w:spacing w:after="100" w:line="247" w:lineRule="auto"/>
      </w:pPr>
      <w:r>
        <w:t>Cloud synchronization can create an additional copy of corporate information outside the organization's managed application boundary. On personally used or mobile devices, that can complicate data-retention, offboarding, legal-hold, and incident-response processes because data may persist in a user-controlled cloud account.</w:t>
      </w:r>
    </w:p>
    <w:p>
      <w:pPr>
        <w:spacing w:after="100" w:line="247" w:lineRule="auto"/>
      </w:pPr>
      <w:r>
        <w:t>By blocking iCloud synchronization specifically for managed applications, the organization reduces that exposure without disabling personal iCloud functionality across the entire device. This supports a more targeted data-loss-prevention approach and limits user impact.</w:t>
      </w:r>
    </w:p>
    <w:p>
      <w:pPr>
        <w:pStyle w:val="Heading1"/>
        <w:spacing w:before="160" w:after="80"/>
      </w:pPr>
      <w:r>
        <w:t>User Impact</w:t>
      </w:r>
    </w:p>
    <w:p>
      <w:pPr>
        <w:spacing w:after="80"/>
      </w:pPr>
      <w:r>
        <w:rPr>
          <w:b/>
        </w:rPr>
        <w:t>Expected impact: Low to Moderate.</w:t>
      </w:r>
    </w:p>
    <w:p>
      <w:pPr>
        <w:spacing w:after="100" w:line="247" w:lineRule="auto"/>
      </w:pPr>
      <w:r>
        <w:t>Users can continue using iCloud for personal functions that are not otherwise restricted by separate policies. The principal impact is that data belonging to managed corporate applications cannot be synchronized to iCloud through the managed-app sync path.</w:t>
      </w:r>
    </w:p>
    <w:p>
      <w:pPr>
        <w:pStyle w:val="Heading1"/>
        <w:spacing w:before="160" w:after="80"/>
      </w:pPr>
      <w:r>
        <w:t>Security Posture</w:t>
      </w:r>
    </w:p>
    <w:p>
      <w:pPr>
        <w:spacing w:after="100" w:line="247" w:lineRule="auto"/>
      </w:pPr>
      <w:r>
        <w:t>Enhanced mobile data-loss prevention. This policy is especially useful where the organization wants to prevent managed corporate data from being replicated into personal cloud storage while avoiding a device-wide iCloud prohibition.</w:t>
      </w:r>
    </w:p>
    <w:p>
      <w:pPr>
        <w:pStyle w:val="Heading1"/>
        <w:spacing w:before="160" w:after="80"/>
      </w:pPr>
      <w:r>
        <w:t>Deployment and Assignment</w:t>
      </w:r>
    </w:p>
    <w:p>
      <w:pPr>
        <w:spacing w:after="100" w:line="247" w:lineRule="auto"/>
      </w:pPr>
      <w:r>
        <w:t>The script does not automatically target users, devices, or groups. New policies remain unassigned; existing assignments are preserved on update. The technician should determine deployment scope based on the client's ownership model, data sensitivity, app-protection strategy, and broader iCloud requirements.</w:t>
      </w:r>
    </w:p>
    <w:p>
      <w:pPr>
        <w:pStyle w:val="ListBullet"/>
        <w:spacing w:after="40"/>
        <w:ind w:left="259"/>
      </w:pPr>
      <w:r>
        <w:t>Confirm whether the client permits personal iCloud services on enrolled devices.</w:t>
      </w:r>
    </w:p>
    <w:p>
      <w:pPr>
        <w:pStyle w:val="ListBullet"/>
        <w:spacing w:after="40"/>
        <w:ind w:left="259"/>
      </w:pPr>
      <w:r>
        <w:t>Confirm that managed applications are the intended data boundary.</w:t>
      </w:r>
    </w:p>
    <w:p>
      <w:pPr>
        <w:pStyle w:val="ListBullet"/>
        <w:spacing w:after="40"/>
        <w:ind w:left="259"/>
      </w:pPr>
      <w:r>
        <w:t>Review related iOS/iPadOS restrictions and App Protection Policies for overlap.</w:t>
      </w:r>
    </w:p>
    <w:p>
      <w:pPr>
        <w:pStyle w:val="ListBullet"/>
        <w:spacing w:after="40"/>
        <w:ind w:left="259"/>
      </w:pPr>
      <w:r>
        <w:t>Pilot with representative users before broad deployment.</w:t>
      </w:r>
    </w:p>
    <w:p>
      <w:pPr>
        <w:pStyle w:val="Heading1"/>
        <w:spacing w:before="160" w:after="80"/>
      </w:pPr>
      <w:r>
        <w:t>Approval Recommendation</w:t>
      </w:r>
    </w:p>
    <w:p>
      <w:pPr>
        <w:spacing w:after="100" w:line="247" w:lineRule="auto"/>
      </w:pPr>
      <w:r>
        <w:t>Recommended for approval as a standard iOS/iPadOS managed-data protection control for clients that allow iCloud generally but do not want managed corporate application data synchronized into iCloud. Assignment should remain technician-controlled so deployment can be tailored to each client environment.</w:t>
      </w:r>
    </w:p>
    <w:p>
      <w:pPr>
        <w:pStyle w:val="Heading1"/>
        <w:spacing w:before="160" w:after="80"/>
      </w:pPr>
      <w:r>
        <w:t>Implementation Note / Exception</w:t>
      </w:r>
    </w:p>
    <w:p>
      <w:pPr>
        <w:spacing w:after="100" w:line="247" w:lineRule="auto"/>
      </w:pPr>
      <w:r>
        <w:t>The script was generated from a broad exported iOS/iPadOS Device Restrictions payload. Although iCloudBlockManagedAppsSync = true is the intended control, the payload explicitly contains many unrelated settings with false, null, or default values. This creates a larger configuration surface than an ideal single-purpose profile and can overlap with other iOS/iPadOS Device Restrictions policies.</w:t>
      </w:r>
    </w:p>
    <w:p>
      <w:pPr>
        <w:spacing w:after="100" w:line="247" w:lineRule="auto"/>
      </w:pPr>
      <w:r>
        <w:t>A second important distinction is that this policy does not block iCloud globally. In the payload, iCloudBlockBackup, iCloudBlockDocumentSync, and iCloudBlockPhotoLibrary are false. Executive approval should therefore be understood as approval to block managed-app iCloud synchronization, not as approval for a complete iCloud prohibition.</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Executive Policy Approval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