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iOS Block Viewing Non-Corporate Documents</w:t>
        <w:br/>
        <w:t>in Corporate Apps</w:t>
      </w:r>
    </w:p>
    <w:p>
      <w:pPr>
        <w:jc w:val="center"/>
      </w:pPr>
      <w:r>
        <w:rPr>
          <w:b/>
          <w:color w:val="5B6573"/>
          <w:sz w:val="24"/>
        </w:rPr>
        <w:t>Executive Policy Overview</w:t>
      </w:r>
    </w:p>
    <w:tbl>
      <w:tblPr>
        <w:tblW w:type="auto" w:w="0"/>
        <w:jc w:val="center"/>
        <w:tblLayout w:type="fixed"/>
        <w:tblLook w:firstColumn="1" w:firstRow="1" w:lastColumn="0" w:lastRow="0" w:noHBand="0" w:noVBand="1" w:val="04A0"/>
      </w:tblPr>
      <w:tblGrid>
        <w:gridCol w:w="2448"/>
        <w:gridCol w:w="8352"/>
      </w:tblGrid>
      <w:tr>
        <w:tc>
          <w:tcPr>
            <w:tcW w:type="dxa" w:w="5040"/>
            <w:shd w:fill="D9EAF7"/>
            <w:tcMar>
              <w:top w:w="90" w:type="dxa"/>
              <w:start w:w="100" w:type="dxa"/>
              <w:bottom w:w="90" w:type="dxa"/>
              <w:end w:w="100" w:type="dxa"/>
            </w:tcMar>
            <w:vAlign w:val="center"/>
          </w:tcPr>
          <w:p>
            <w:r>
              <w:rPr>
                <w:b/>
              </w:rPr>
              <w:t>Platform</w:t>
            </w:r>
          </w:p>
        </w:tc>
        <w:tc>
          <w:tcPr>
            <w:tcW w:type="dxa" w:w="5040"/>
            <w:shd w:fill="F7F9FB"/>
            <w:tcMar>
              <w:top w:w="90" w:type="dxa"/>
              <w:start w:w="100" w:type="dxa"/>
              <w:bottom w:w="90" w:type="dxa"/>
              <w:end w:w="100" w:type="dxa"/>
            </w:tcMar>
            <w:vAlign w:val="center"/>
          </w:tcPr>
          <w:p>
            <w:r>
              <w:t>iOS/iPadOS</w:t>
            </w:r>
          </w:p>
        </w:tc>
      </w:tr>
      <w:tr>
        <w:tc>
          <w:tcPr>
            <w:tcW w:type="dxa" w:w="5040"/>
            <w:shd w:fill="D9EAF7"/>
            <w:tcMar>
              <w:top w:w="90" w:type="dxa"/>
              <w:start w:w="100" w:type="dxa"/>
              <w:bottom w:w="90" w:type="dxa"/>
              <w:end w:w="100" w:type="dxa"/>
            </w:tcMar>
            <w:vAlign w:val="center"/>
          </w:tcPr>
          <w:p>
            <w:r>
              <w:rPr>
                <w:b/>
              </w:rPr>
              <w:t>Cloud</w:t>
            </w:r>
          </w:p>
        </w:tc>
        <w:tc>
          <w:tcPr>
            <w:tcW w:type="dxa" w:w="5040"/>
            <w:shd w:fill="F7F9FB"/>
            <w:tcMar>
              <w:top w:w="90" w:type="dxa"/>
              <w:start w:w="100" w:type="dxa"/>
              <w:bottom w:w="90" w:type="dxa"/>
              <w:end w:w="100" w:type="dxa"/>
            </w:tcMar>
            <w:vAlign w:val="center"/>
          </w:tcPr>
          <w:p>
            <w:r>
              <w:t>Microsoft 365 Commercial</w:t>
            </w:r>
          </w:p>
        </w:tc>
      </w:tr>
      <w:tr>
        <w:tc>
          <w:tcPr>
            <w:tcW w:type="dxa" w:w="5040"/>
            <w:shd w:fill="D9EAF7"/>
            <w:tcMar>
              <w:top w:w="90" w:type="dxa"/>
              <w:start w:w="100" w:type="dxa"/>
              <w:bottom w:w="90" w:type="dxa"/>
              <w:end w:w="100" w:type="dxa"/>
            </w:tcMar>
            <w:vAlign w:val="center"/>
          </w:tcPr>
          <w:p>
            <w:r>
              <w:rPr>
                <w:b/>
              </w:rPr>
              <w:t>Policy type</w:t>
            </w:r>
          </w:p>
        </w:tc>
        <w:tc>
          <w:tcPr>
            <w:tcW w:type="dxa" w:w="5040"/>
            <w:shd w:fill="F7F9FB"/>
            <w:tcMar>
              <w:top w:w="90" w:type="dxa"/>
              <w:start w:w="100" w:type="dxa"/>
              <w:bottom w:w="90" w:type="dxa"/>
              <w:end w:w="100" w:type="dxa"/>
            </w:tcMar>
            <w:vAlign w:val="center"/>
          </w:tcPr>
          <w:p>
            <w:r>
              <w:t>Device Configuration</w:t>
            </w:r>
          </w:p>
        </w:tc>
      </w:tr>
      <w:tr>
        <w:tc>
          <w:tcPr>
            <w:tcW w:type="dxa" w:w="5040"/>
            <w:shd w:fill="D9EAF7"/>
            <w:tcMar>
              <w:top w:w="90" w:type="dxa"/>
              <w:start w:w="100" w:type="dxa"/>
              <w:bottom w:w="90" w:type="dxa"/>
              <w:end w:w="100" w:type="dxa"/>
            </w:tcMar>
            <w:vAlign w:val="center"/>
          </w:tcPr>
          <w:p>
            <w:r>
              <w:rPr>
                <w:b/>
              </w:rPr>
              <w:t>Deployment state</w:t>
            </w:r>
          </w:p>
        </w:tc>
        <w:tc>
          <w:tcPr>
            <w:tcW w:type="dxa" w:w="5040"/>
            <w:shd w:fill="F7F9FB"/>
            <w:tcMar>
              <w:top w:w="90" w:type="dxa"/>
              <w:start w:w="100" w:type="dxa"/>
              <w:bottom w:w="90" w:type="dxa"/>
              <w:end w:w="100" w:type="dxa"/>
            </w:tcMar>
            <w:vAlign w:val="center"/>
          </w:tcPr>
          <w:p>
            <w:r>
              <w:t>Created but unassigned; technician determines assignment based on the client environment</w:t>
            </w:r>
          </w:p>
        </w:tc>
      </w:tr>
    </w:tbl>
    <w:p>
      <w:pPr>
        <w:pStyle w:val="Heading1"/>
        <w:keepNext/>
      </w:pPr>
      <w:r>
        <w:t>Executive Summary</w:t>
      </w:r>
    </w:p>
    <w:p>
      <w:r>
        <w:t>This policy establishes an inbound data-separation control for managed iOS/iPadOS applications. It prevents non-corporate, unmanaged documents from being opened in managed corporate apps.</w:t>
      </w:r>
    </w:p>
    <w:p>
      <w:r>
        <w:t>The purpose is to keep the corporate application environment focused on managed business data and reduce mixing of personal or unmanaged content with corporate workflows. This is the reverse direction of the companion policy that blocks corporate documents from being opened in personal apps.</w:t>
      </w:r>
    </w:p>
    <w:p>
      <w:pPr>
        <w:pStyle w:val="Heading1"/>
        <w:keepNext/>
      </w:pPr>
      <w:r>
        <w:t>What the Policy Does</w:t>
      </w:r>
    </w:p>
    <w:tbl>
      <w:tblPr>
        <w:tblW w:type="auto" w:w="0"/>
        <w:jc w:val="center"/>
        <w:tblLayout w:type="fixed"/>
        <w:tblLook w:firstColumn="1" w:firstRow="1" w:lastColumn="0" w:lastRow="0" w:noHBand="0" w:noVBand="1" w:val="04A0"/>
      </w:tblPr>
      <w:tblGrid>
        <w:gridCol w:w="3096"/>
        <w:gridCol w:w="2088"/>
        <w:gridCol w:w="5616"/>
      </w:tblGrid>
      <w:tr>
        <w:tc>
          <w:tcPr>
            <w:tcW w:type="dxa" w:w="3360"/>
            <w:shd w:fill="1F4E79"/>
            <w:tcMar>
              <w:top w:w="100" w:type="dxa"/>
              <w:start w:w="110" w:type="dxa"/>
              <w:bottom w:w="100" w:type="dxa"/>
              <w:end w:w="110" w:type="dxa"/>
            </w:tcMar>
          </w:tcPr>
          <w:p>
            <w:r>
              <w:rPr>
                <w:b/>
                <w:color w:val="FFFFFF"/>
              </w:rPr>
              <w:t>Control</w:t>
            </w:r>
          </w:p>
        </w:tc>
        <w:tc>
          <w:tcPr>
            <w:tcW w:type="dxa" w:w="3360"/>
            <w:shd w:fill="1F4E79"/>
            <w:tcMar>
              <w:top w:w="100" w:type="dxa"/>
              <w:start w:w="110" w:type="dxa"/>
              <w:bottom w:w="100" w:type="dxa"/>
              <w:end w:w="110" w:type="dxa"/>
            </w:tcMar>
          </w:tcPr>
          <w:p>
            <w:r>
              <w:rPr>
                <w:b/>
                <w:color w:val="FFFFFF"/>
              </w:rPr>
              <w:t>Configuration</w:t>
            </w:r>
          </w:p>
        </w:tc>
        <w:tc>
          <w:tcPr>
            <w:tcW w:type="dxa" w:w="3360"/>
            <w:shd w:fill="1F4E79"/>
            <w:tcMar>
              <w:top w:w="100" w:type="dxa"/>
              <w:start w:w="110" w:type="dxa"/>
              <w:bottom w:w="100" w:type="dxa"/>
              <w:end w:w="110" w:type="dxa"/>
            </w:tcMar>
          </w:tcPr>
          <w:p>
            <w:r>
              <w:rPr>
                <w:b/>
                <w:color w:val="FFFFFF"/>
              </w:rPr>
              <w:t>Business effect</w:t>
            </w:r>
          </w:p>
        </w:tc>
      </w:tr>
      <w:tr>
        <w:tc>
          <w:tcPr>
            <w:tcW w:type="dxa" w:w="3096"/>
            <w:tcMar>
              <w:top w:w="90" w:type="dxa"/>
              <w:start w:w="100" w:type="dxa"/>
              <w:bottom w:w="90" w:type="dxa"/>
              <w:end w:w="100" w:type="dxa"/>
            </w:tcMar>
            <w:vAlign w:val="center"/>
          </w:tcPr>
          <w:p>
            <w:r>
              <w:t>Non-corporate documents in managed apps</w:t>
            </w:r>
          </w:p>
        </w:tc>
        <w:tc>
          <w:tcPr>
            <w:tcW w:type="dxa" w:w="2088"/>
            <w:tcMar>
              <w:top w:w="90" w:type="dxa"/>
              <w:start w:w="100" w:type="dxa"/>
              <w:bottom w:w="90" w:type="dxa"/>
              <w:end w:w="100" w:type="dxa"/>
            </w:tcMar>
            <w:vAlign w:val="center"/>
          </w:tcPr>
          <w:p>
            <w:r>
              <w:t>Blocked</w:t>
            </w:r>
          </w:p>
        </w:tc>
        <w:tc>
          <w:tcPr>
            <w:tcW w:type="dxa" w:w="5616"/>
            <w:tcMar>
              <w:top w:w="90" w:type="dxa"/>
              <w:start w:w="100" w:type="dxa"/>
              <w:bottom w:w="90" w:type="dxa"/>
              <w:end w:w="100" w:type="dxa"/>
            </w:tcMar>
            <w:vAlign w:val="center"/>
          </w:tcPr>
          <w:p>
            <w:r>
              <w:t>Prevents unmanaged or personal documents from being opened in managed corporate applications.</w:t>
            </w:r>
          </w:p>
        </w:tc>
      </w:tr>
      <w:tr>
        <w:tc>
          <w:tcPr>
            <w:tcW w:type="dxa" w:w="3096"/>
            <w:tcMar>
              <w:top w:w="90" w:type="dxa"/>
              <w:start w:w="100" w:type="dxa"/>
              <w:bottom w:w="90" w:type="dxa"/>
              <w:end w:w="100" w:type="dxa"/>
            </w:tcMar>
            <w:vAlign w:val="center"/>
            <w:shd w:fill="F5F7FA"/>
          </w:tcPr>
          <w:p>
            <w:r>
              <w:t>Corporate documents in personal apps</w:t>
            </w:r>
          </w:p>
        </w:tc>
        <w:tc>
          <w:tcPr>
            <w:tcW w:type="dxa" w:w="2088"/>
            <w:tcMar>
              <w:top w:w="90" w:type="dxa"/>
              <w:start w:w="100" w:type="dxa"/>
              <w:bottom w:w="90" w:type="dxa"/>
              <w:end w:w="100" w:type="dxa"/>
            </w:tcMar>
            <w:vAlign w:val="center"/>
            <w:shd w:fill="F5F7FA"/>
          </w:tcPr>
          <w:p>
            <w:r>
              <w:t>Not blocked here</w:t>
            </w:r>
          </w:p>
        </w:tc>
        <w:tc>
          <w:tcPr>
            <w:tcW w:type="dxa" w:w="5616"/>
            <w:tcMar>
              <w:top w:w="90" w:type="dxa"/>
              <w:start w:w="100" w:type="dxa"/>
              <w:bottom w:w="90" w:type="dxa"/>
              <w:end w:w="100" w:type="dxa"/>
            </w:tcMar>
            <w:vAlign w:val="center"/>
            <w:shd w:fill="F5F7FA"/>
          </w:tcPr>
          <w:p>
            <w:r>
              <w:t>The opposite data-flow direction is controlled by a separate policy.</w:t>
            </w:r>
          </w:p>
        </w:tc>
      </w:tr>
      <w:tr>
        <w:tc>
          <w:tcPr>
            <w:tcW w:type="dxa" w:w="3096"/>
            <w:tcMar>
              <w:top w:w="90" w:type="dxa"/>
              <w:start w:w="100" w:type="dxa"/>
              <w:bottom w:w="90" w:type="dxa"/>
              <w:end w:w="100" w:type="dxa"/>
            </w:tcMar>
            <w:vAlign w:val="center"/>
          </w:tcPr>
          <w:p>
            <w:r>
              <w:t>Managed pasteboard</w:t>
            </w:r>
          </w:p>
        </w:tc>
        <w:tc>
          <w:tcPr>
            <w:tcW w:type="dxa" w:w="2088"/>
            <w:tcMar>
              <w:top w:w="90" w:type="dxa"/>
              <w:start w:w="100" w:type="dxa"/>
              <w:bottom w:w="90" w:type="dxa"/>
              <w:end w:w="100" w:type="dxa"/>
            </w:tcMar>
            <w:vAlign w:val="center"/>
          </w:tcPr>
          <w:p>
            <w:r>
              <w:t>Not enabled here</w:t>
            </w:r>
          </w:p>
        </w:tc>
        <w:tc>
          <w:tcPr>
            <w:tcW w:type="dxa" w:w="5616"/>
            <w:tcMar>
              <w:top w:w="90" w:type="dxa"/>
              <w:start w:w="100" w:type="dxa"/>
              <w:bottom w:w="90" w:type="dxa"/>
              <w:end w:w="100" w:type="dxa"/>
            </w:tcMar>
            <w:vAlign w:val="center"/>
          </w:tcPr>
          <w:p>
            <w:r>
              <w:t>Clipboard restrictions are handled separately.</w:t>
            </w:r>
          </w:p>
        </w:tc>
      </w:tr>
      <w:tr>
        <w:tc>
          <w:tcPr>
            <w:tcW w:type="dxa" w:w="3096"/>
            <w:tcMar>
              <w:top w:w="90" w:type="dxa"/>
              <w:start w:w="100" w:type="dxa"/>
              <w:bottom w:w="90" w:type="dxa"/>
              <w:end w:w="100" w:type="dxa"/>
            </w:tcMar>
            <w:vAlign w:val="center"/>
            <w:shd w:fill="F5F7FA"/>
          </w:tcPr>
          <w:p>
            <w:r>
              <w:t>AirDrop</w:t>
            </w:r>
          </w:p>
        </w:tc>
        <w:tc>
          <w:tcPr>
            <w:tcW w:type="dxa" w:w="2088"/>
            <w:tcMar>
              <w:top w:w="90" w:type="dxa"/>
              <w:start w:w="100" w:type="dxa"/>
              <w:bottom w:w="90" w:type="dxa"/>
              <w:end w:w="100" w:type="dxa"/>
            </w:tcMar>
            <w:vAlign w:val="center"/>
            <w:shd w:fill="F5F7FA"/>
          </w:tcPr>
          <w:p>
            <w:r>
              <w:t>Not blocked here</w:t>
            </w:r>
          </w:p>
        </w:tc>
        <w:tc>
          <w:tcPr>
            <w:tcW w:type="dxa" w:w="5616"/>
            <w:tcMar>
              <w:top w:w="90" w:type="dxa"/>
              <w:start w:w="100" w:type="dxa"/>
              <w:bottom w:w="90" w:type="dxa"/>
              <w:end w:w="100" w:type="dxa"/>
            </w:tcMar>
            <w:vAlign w:val="center"/>
            <w:shd w:fill="F5F7FA"/>
          </w:tcPr>
          <w:p>
            <w:r>
              <w:t>AirDrop restrictions are handled through a separate policy.</w:t>
            </w:r>
          </w:p>
        </w:tc>
      </w:tr>
      <w:tr>
        <w:tc>
          <w:tcPr>
            <w:tcW w:type="dxa" w:w="3096"/>
            <w:tcMar>
              <w:top w:w="90" w:type="dxa"/>
              <w:start w:w="100" w:type="dxa"/>
              <w:bottom w:w="90" w:type="dxa"/>
              <w:end w:w="100" w:type="dxa"/>
            </w:tcMar>
            <w:vAlign w:val="center"/>
          </w:tcPr>
          <w:p>
            <w:r>
              <w:t>Policy assignment</w:t>
            </w:r>
          </w:p>
        </w:tc>
        <w:tc>
          <w:tcPr>
            <w:tcW w:type="dxa" w:w="2088"/>
            <w:tcMar>
              <w:top w:w="90" w:type="dxa"/>
              <w:start w:w="100" w:type="dxa"/>
              <w:bottom w:w="90" w:type="dxa"/>
              <w:end w:w="100" w:type="dxa"/>
            </w:tcMar>
            <w:vAlign w:val="center"/>
          </w:tcPr>
          <w:p>
            <w:r>
              <w:t>None on creation</w:t>
            </w:r>
          </w:p>
        </w:tc>
        <w:tc>
          <w:tcPr>
            <w:tcW w:type="dxa" w:w="5616"/>
            <w:tcMar>
              <w:top w:w="90" w:type="dxa"/>
              <w:start w:w="100" w:type="dxa"/>
              <w:bottom w:w="90" w:type="dxa"/>
              <w:end w:w="100" w:type="dxa"/>
            </w:tcMar>
            <w:vAlign w:val="center"/>
          </w:tcPr>
          <w:p>
            <w:r>
              <w:t>Technician determines the appropriate deployment scope.</w:t>
            </w:r>
          </w:p>
        </w:tc>
      </w:tr>
    </w:tbl>
    <w:p>
      <w:pPr>
        <w:pStyle w:val="Heading1"/>
        <w:keepNext/>
      </w:pPr>
      <w:r>
        <w:t>How It Works</w:t>
      </w:r>
    </w:p>
    <w:p>
      <w:r>
        <w:t>The script creates or updates an Intune iOS/iPadOS general device configuration through Microsoft Graph. The key setting is:</w:t>
      </w:r>
    </w:p>
    <w:p>
      <w:pPr>
        <w:jc w:val="center"/>
      </w:pPr>
      <w:r>
        <w:rPr>
          <w:rFonts w:ascii="Consolas" w:hAnsi="Consolas"/>
          <w:b/>
          <w:sz w:val="20"/>
        </w:rPr>
        <w:t>documentsBlockUnmanagedDocumentsInManagedApps = true</w:t>
      </w:r>
    </w:p>
    <w:p>
      <w:r>
        <w:t>This setting establishes the inbound boundary: unmanaged documents are not permitted to open in managed corporate applications. The reverse control, documentsBlockManagedDocumentsInUnmanagedApps, remains disabled in this policy and is handled separately.</w:t>
      </w:r>
    </w:p>
    <w:p>
      <w:r>
        <w:t>Operationally, the deployment script uses exact display-name matching, stops if duplicate policies are found, creates the policy when absent, updates it when present, logs results to C:\Temp, and does not create assignments.</w:t>
      </w:r>
    </w:p>
    <w:p>
      <w:pPr>
        <w:pStyle w:val="Heading1"/>
        <w:keepNext/>
      </w:pPr>
      <w:r>
        <w:t>Why This Policy Is Important</w:t>
      </w:r>
    </w:p>
    <w:p>
      <w:r>
        <w:t>Allowing unmanaged personal content to flow freely into corporate applications can blur the separation between personal and business data. That can complicate data handling, support, records management, and user expectations about which information is governed by the organization.</w:t>
      </w:r>
    </w:p>
    <w:p>
      <w:r>
        <w:t>This policy keeps the data boundary intentional: corporate apps are reserved for managed business content unless the organization deliberately permits a broader workflow.</w:t>
      </w:r>
    </w:p>
    <w:p>
      <w:pPr>
        <w:pStyle w:val="Heading1"/>
        <w:keepNext/>
      </w:pPr>
      <w:r>
        <w:t>User Impact</w:t>
      </w:r>
    </w:p>
    <w:p>
      <w:r>
        <w:t>Expected impact: Moderate.</w:t>
      </w:r>
    </w:p>
    <w:p>
      <w:pPr>
        <w:pStyle w:val="ListBullet"/>
        <w:spacing w:after="40"/>
        <w:ind w:left="288"/>
      </w:pPr>
      <w:r>
        <w:t>Users may be unable to open personal or other unmanaged documents directly in managed corporate applications.</w:t>
      </w:r>
    </w:p>
    <w:p>
      <w:pPr>
        <w:pStyle w:val="ListBullet"/>
        <w:spacing w:after="40"/>
        <w:ind w:left="288"/>
      </w:pPr>
      <w:r>
        <w:t>Corporate applications continue to function normally with managed business content.</w:t>
      </w:r>
    </w:p>
    <w:p>
      <w:pPr>
        <w:pStyle w:val="ListBullet"/>
        <w:spacing w:after="40"/>
        <w:ind w:left="288"/>
      </w:pPr>
      <w:r>
        <w:t>Personal applications and personal documents remain otherwise available unless restricted by separate policies.</w:t>
      </w:r>
    </w:p>
    <w:p>
      <w:pPr>
        <w:pStyle w:val="Heading1"/>
        <w:keepNext/>
      </w:pPr>
      <w:r>
        <w:t>Security Posture</w:t>
      </w:r>
    </w:p>
    <w:p>
      <w:r>
        <w:t>Enhanced mobile data-boundary protection. This policy is appropriate for organizations that want a clearer separation between unmanaged personal content and managed corporate applications.</w:t>
      </w:r>
    </w:p>
    <w:p>
      <w:pPr>
        <w:pStyle w:val="Heading1"/>
        <w:keepNext/>
      </w:pPr>
      <w:r>
        <w:t>Deployment and Assignment</w:t>
      </w:r>
    </w:p>
    <w:p>
      <w:r>
        <w:t>The script does not automatically target users, devices, or groups. Newly created policies remain unassigned, and existing assignments are preserved when an existing policy is updated.</w:t>
      </w:r>
    </w:p>
    <w:p>
      <w:r>
        <w:t>Before deployment, the technician should confirm the client's device ownership model, accepted personal-to-corporate data workflows, App Protection Policy strategy, and any overlapping iOS/iPadOS Device Restrictions profiles.</w:t>
      </w:r>
    </w:p>
    <w:p>
      <w:pPr>
        <w:pStyle w:val="Heading1"/>
        <w:keepNext/>
      </w:pPr>
      <w:r>
        <w:t>Approval Recommendation</w:t>
      </w:r>
    </w:p>
    <w:p>
      <w:r>
        <w:t>Recommended for approval as a standard iOS/iPadOS data-boundary control for clients that want to prevent personal or unmanaged documents from being opened in managed corporate applications. Pilot validation is appropriate because the restriction can affect legitimate workflows where users intentionally bring personal files into corporate apps.</w:t>
      </w:r>
    </w:p>
    <w:p>
      <w:pPr>
        <w:pStyle w:val="Heading1"/>
        <w:keepNext/>
      </w:pPr>
      <w:r>
        <w:t>Implementation Note / Exception</w:t>
      </w:r>
    </w:p>
    <w:p>
      <w:r>
        <w:t>The intended security setting is documentsBlockUnmanagedDocumentsInManagedApps = true. The reverse control, documentsBlockManagedDocumentsInUnmanagedApps = false, remains disabled in this profile. Executive approval should therefore be understood as approval to block personal/unmanaged-to-corporate document flow, not both directions of document transfer.</w:t>
      </w:r>
    </w:p>
    <w:p>
      <w:r>
        <w:t>As with the other exported iOS/iPadOS Device Restrictions scripts, this payload explicitly includes a large number of unrelated settings with false, null, or default values. This creates a broader configuration surface than an ideal single-purpose profile and should be checked for policy overlap during pilot deployment.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7A7A"/>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