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Executive Policy Overview</w:t>
      </w:r>
    </w:p>
    <w:p>
      <w:pPr>
        <w:pStyle w:val="Subtitle"/>
      </w:pPr>
      <w:r>
        <w:t>iOS-App Protection Policy — Managed Apps Only</w:t>
      </w:r>
    </w:p>
    <w:tbl>
      <w:tblPr>
        <w:tblW w:type="auto" w:w="0"/>
        <w:tblLayout w:type="fixed"/>
        <w:tblLook w:firstColumn="1" w:firstRow="1" w:lastColumn="0" w:lastRow="0" w:noHBand="0" w:noVBand="1" w:val="04A0"/>
      </w:tblPr>
      <w:tblGrid>
        <w:gridCol w:w="1944"/>
        <w:gridCol w:w="8352"/>
      </w:tblGrid>
      <w:tr>
        <w:trPr>
          <w:cantSplit/>
        </w:trPr>
        <w:tc>
          <w:tcPr>
            <w:tcW w:type="dxa" w:w="5112"/>
            <w:shd w:fill="D9EAF7"/>
            <w:tcMar>
              <w:top w:w="90" w:type="dxa"/>
              <w:start w:w="90" w:type="dxa"/>
              <w:bottom w:w="90" w:type="dxa"/>
              <w:end w:w="90" w:type="dxa"/>
            </w:tcMar>
            <w:vAlign w:val="center"/>
          </w:tcPr>
          <w:p>
            <w:r>
              <w:rPr>
                <w:b/>
                <w:color w:val="17365D"/>
              </w:rPr>
              <w:t>Platform</w:t>
            </w:r>
          </w:p>
        </w:tc>
        <w:tc>
          <w:tcPr>
            <w:tcW w:type="dxa" w:w="5112"/>
            <w:tcMar>
              <w:top w:w="90" w:type="dxa"/>
              <w:start w:w="90" w:type="dxa"/>
              <w:bottom w:w="90" w:type="dxa"/>
              <w:end w:w="90" w:type="dxa"/>
            </w:tcMar>
            <w:vAlign w:val="center"/>
          </w:tcPr>
          <w:p>
            <w:r>
              <w:t>iOS/iPadOS</w:t>
            </w:r>
          </w:p>
        </w:tc>
      </w:tr>
      <w:tr>
        <w:trPr>
          <w:cantSplit/>
        </w:trPr>
        <w:tc>
          <w:tcPr>
            <w:tcW w:type="dxa" w:w="5112"/>
            <w:shd w:fill="D9EAF7"/>
            <w:tcMar>
              <w:top w:w="90" w:type="dxa"/>
              <w:start w:w="90" w:type="dxa"/>
              <w:bottom w:w="90" w:type="dxa"/>
              <w:end w:w="90" w:type="dxa"/>
            </w:tcMar>
            <w:vAlign w:val="center"/>
          </w:tcPr>
          <w:p>
            <w:r>
              <w:rPr>
                <w:b/>
                <w:color w:val="17365D"/>
              </w:rPr>
              <w:t>Cloud</w:t>
            </w:r>
          </w:p>
        </w:tc>
        <w:tc>
          <w:tcPr>
            <w:tcW w:type="dxa" w:w="5112"/>
            <w:tcMar>
              <w:top w:w="90" w:type="dxa"/>
              <w:start w:w="90" w:type="dxa"/>
              <w:bottom w:w="90" w:type="dxa"/>
              <w:end w:w="90" w:type="dxa"/>
            </w:tcMar>
            <w:vAlign w:val="center"/>
          </w:tcPr>
          <w:p>
            <w:r>
              <w:t>Microsoft 365 Commercial</w:t>
            </w:r>
          </w:p>
        </w:tc>
      </w:tr>
      <w:tr>
        <w:trPr>
          <w:cantSplit/>
        </w:trPr>
        <w:tc>
          <w:tcPr>
            <w:tcW w:type="dxa" w:w="5112"/>
            <w:shd w:fill="D9EAF7"/>
            <w:tcMar>
              <w:top w:w="90" w:type="dxa"/>
              <w:start w:w="90" w:type="dxa"/>
              <w:bottom w:w="90" w:type="dxa"/>
              <w:end w:w="90" w:type="dxa"/>
            </w:tcMar>
            <w:vAlign w:val="center"/>
          </w:tcPr>
          <w:p>
            <w:r>
              <w:rPr>
                <w:b/>
                <w:color w:val="17365D"/>
              </w:rPr>
              <w:t>Policy type</w:t>
            </w:r>
          </w:p>
        </w:tc>
        <w:tc>
          <w:tcPr>
            <w:tcW w:type="dxa" w:w="5112"/>
            <w:tcMar>
              <w:top w:w="90" w:type="dxa"/>
              <w:start w:w="90" w:type="dxa"/>
              <w:bottom w:w="90" w:type="dxa"/>
              <w:end w:w="90" w:type="dxa"/>
            </w:tcMar>
            <w:vAlign w:val="center"/>
          </w:tcPr>
          <w:p>
            <w:r>
              <w:t>Mobile Application Management (App Protection Policy)</w:t>
            </w:r>
          </w:p>
        </w:tc>
      </w:tr>
      <w:tr>
        <w:trPr>
          <w:cantSplit/>
        </w:trPr>
        <w:tc>
          <w:tcPr>
            <w:tcW w:type="dxa" w:w="5112"/>
            <w:shd w:fill="D9EAF7"/>
            <w:tcMar>
              <w:top w:w="90" w:type="dxa"/>
              <w:start w:w="90" w:type="dxa"/>
              <w:bottom w:w="90" w:type="dxa"/>
              <w:end w:w="90" w:type="dxa"/>
            </w:tcMar>
            <w:vAlign w:val="center"/>
          </w:tcPr>
          <w:p>
            <w:r>
              <w:rPr>
                <w:b/>
                <w:color w:val="17365D"/>
              </w:rPr>
              <w:t>Deployment state</w:t>
            </w:r>
          </w:p>
        </w:tc>
        <w:tc>
          <w:tcPr>
            <w:tcW w:type="dxa" w:w="5112"/>
            <w:tcMar>
              <w:top w:w="90" w:type="dxa"/>
              <w:start w:w="90" w:type="dxa"/>
              <w:bottom w:w="90" w:type="dxa"/>
              <w:end w:w="90" w:type="dxa"/>
            </w:tcMar>
            <w:vAlign w:val="center"/>
          </w:tcPr>
          <w:p>
            <w:r>
              <w:t>New policy remains unassigned; updates preserve existing assignments</w:t>
            </w:r>
          </w:p>
        </w:tc>
      </w:tr>
    </w:tbl>
    <w:p/>
    <w:tbl>
      <w:tblPr>
        <w:tblW w:type="auto" w:w="0"/>
        <w:tblLook w:firstColumn="1" w:firstRow="1" w:lastColumn="0" w:lastRow="0" w:noHBand="0" w:noVBand="1" w:val="04A0"/>
      </w:tblPr>
      <w:tblGrid>
        <w:gridCol w:w="10224"/>
      </w:tblGrid>
      <w:tr>
        <w:tc>
          <w:tcPr>
            <w:tcW w:type="dxa" w:w="10224"/>
            <w:shd w:fill="E2F0D9"/>
            <w:tcMar>
              <w:top w:w="120" w:type="dxa"/>
              <w:start w:w="120" w:type="dxa"/>
              <w:bottom w:w="120" w:type="dxa"/>
              <w:end w:w="120" w:type="dxa"/>
            </w:tcMar>
          </w:tcPr>
          <w:p>
            <w:r>
              <w:rPr>
                <w:b/>
                <w:color w:val="17365D"/>
              </w:rPr>
              <w:t xml:space="preserve">Approval posture: </w:t>
            </w:r>
            <w:r>
              <w:t>Recommended for approval as an enhanced iOS/iPadOS managed-app data-protection baseline</w:t>
            </w:r>
          </w:p>
        </w:tc>
      </w:tr>
    </w:tbl>
    <w:p>
      <w:pPr>
        <w:pStyle w:val="Heading1"/>
      </w:pPr>
      <w:r>
        <w:t>1. Executive Summary</w:t>
      </w:r>
    </w:p>
    <w:p>
      <w:r>
        <w:t>This policy protects organizational data inside Intune-managed iOS/iPadOS applications. It limits inbound and outbound data transfer to managed apps, restricts clipboard sharing, blocks screen capture and printing, blocks backup and contact synchronization, restricts storage to OneDrive for Business and SharePoint, requires device compliance, and forces managed web links through Microsoft Edge. The policy targets all eligible managed applications at the application layer; that application target does not assign the policy to users or groups.</w:t>
      </w:r>
    </w:p>
    <w:p>
      <w:pPr>
        <w:pStyle w:val="Heading1"/>
      </w:pPr>
      <w:r>
        <w:t>2. What the Policy Does</w:t>
      </w:r>
    </w:p>
    <w:tbl>
      <w:tblPr>
        <w:tblStyle w:val="TableGrid"/>
        <w:tblW w:type="auto" w:w="0"/>
        <w:tblLayout w:type="fixed"/>
        <w:tblLook w:firstColumn="1" w:firstRow="1" w:lastColumn="0" w:lastRow="0" w:noHBand="0" w:noVBand="1" w:val="04A0"/>
      </w:tblPr>
      <w:tblGrid>
        <w:gridCol w:w="2304"/>
        <w:gridCol w:w="2952"/>
        <w:gridCol w:w="4968"/>
      </w:tblGrid>
      <w:tr>
        <w:trPr>
          <w:cantSplit/>
        </w:trPr>
        <w:tc>
          <w:tcPr>
            <w:tcW w:type="dxa" w:w="3408"/>
            <w:shd w:fill="D9EAF7"/>
            <w:tcMar>
              <w:top w:w="90" w:type="dxa"/>
              <w:start w:w="90" w:type="dxa"/>
              <w:bottom w:w="90" w:type="dxa"/>
              <w:end w:w="90" w:type="dxa"/>
            </w:tcMar>
          </w:tcPr>
          <w:p>
            <w:r>
              <w:rPr>
                <w:b/>
                <w:color w:val="17365D"/>
              </w:rPr>
              <w:t>Control</w:t>
            </w:r>
          </w:p>
        </w:tc>
        <w:tc>
          <w:tcPr>
            <w:tcW w:type="dxa" w:w="3408"/>
            <w:shd w:fill="D9EAF7"/>
            <w:tcMar>
              <w:top w:w="90" w:type="dxa"/>
              <w:start w:w="90" w:type="dxa"/>
              <w:bottom w:w="90" w:type="dxa"/>
              <w:end w:w="90" w:type="dxa"/>
            </w:tcMar>
          </w:tcPr>
          <w:p>
            <w:r>
              <w:rPr>
                <w:b/>
                <w:color w:val="17365D"/>
              </w:rPr>
              <w:t>Configuration</w:t>
            </w:r>
          </w:p>
        </w:tc>
        <w:tc>
          <w:tcPr>
            <w:tcW w:type="dxa" w:w="3408"/>
            <w:shd w:fill="D9EAF7"/>
            <w:tcMar>
              <w:top w:w="90" w:type="dxa"/>
              <w:start w:w="90" w:type="dxa"/>
              <w:bottom w:w="90" w:type="dxa"/>
              <w:end w:w="90" w:type="dxa"/>
            </w:tcMar>
          </w:tcPr>
          <w:p>
            <w:r>
              <w:rPr>
                <w:b/>
                <w:color w:val="17365D"/>
              </w:rPr>
              <w:t>Business Effect</w:t>
            </w:r>
          </w:p>
        </w:tc>
      </w:tr>
      <w:tr>
        <w:trPr>
          <w:cantSplit/>
        </w:trPr>
        <w:tc>
          <w:tcPr>
            <w:tcW w:type="dxa" w:w="2304"/>
            <w:tcMar>
              <w:top w:w="90" w:type="dxa"/>
              <w:start w:w="90" w:type="dxa"/>
              <w:bottom w:w="90" w:type="dxa"/>
              <w:end w:w="90" w:type="dxa"/>
            </w:tcMar>
            <w:vAlign w:val="center"/>
          </w:tcPr>
          <w:p>
            <w:r>
              <w:t>Data transfer</w:t>
            </w:r>
          </w:p>
        </w:tc>
        <w:tc>
          <w:tcPr>
            <w:tcW w:type="dxa" w:w="2952"/>
            <w:tcMar>
              <w:top w:w="90" w:type="dxa"/>
              <w:start w:w="90" w:type="dxa"/>
              <w:bottom w:w="90" w:type="dxa"/>
              <w:end w:w="90" w:type="dxa"/>
            </w:tcMar>
            <w:vAlign w:val="center"/>
          </w:tcPr>
          <w:p>
            <w:r>
              <w:t>Managed apps only for inbound and outbound transfer</w:t>
            </w:r>
          </w:p>
        </w:tc>
        <w:tc>
          <w:tcPr>
            <w:tcW w:type="dxa" w:w="4968"/>
            <w:tcMar>
              <w:top w:w="90" w:type="dxa"/>
              <w:start w:w="90" w:type="dxa"/>
              <w:bottom w:w="90" w:type="dxa"/>
              <w:end w:w="90" w:type="dxa"/>
            </w:tcMar>
            <w:vAlign w:val="center"/>
          </w:tcPr>
          <w:p>
            <w:r>
              <w:t>Reduces movement of organizational data into unmanaged applications.</w:t>
            </w:r>
          </w:p>
        </w:tc>
      </w:tr>
      <w:tr>
        <w:trPr>
          <w:cantSplit/>
        </w:trPr>
        <w:tc>
          <w:tcPr>
            <w:tcW w:type="dxa" w:w="2304"/>
            <w:tcMar>
              <w:top w:w="90" w:type="dxa"/>
              <w:start w:w="90" w:type="dxa"/>
              <w:bottom w:w="90" w:type="dxa"/>
              <w:end w:w="90" w:type="dxa"/>
            </w:tcMar>
            <w:vAlign w:val="center"/>
          </w:tcPr>
          <w:p>
            <w:r>
              <w:t>Clipboard</w:t>
            </w:r>
          </w:p>
        </w:tc>
        <w:tc>
          <w:tcPr>
            <w:tcW w:type="dxa" w:w="2952"/>
            <w:tcMar>
              <w:top w:w="90" w:type="dxa"/>
              <w:start w:w="90" w:type="dxa"/>
              <w:bottom w:w="90" w:type="dxa"/>
              <w:end w:w="90" w:type="dxa"/>
            </w:tcMar>
            <w:vAlign w:val="center"/>
          </w:tcPr>
          <w:p>
            <w:r>
              <w:t>Managed apps with paste-in</w:t>
            </w:r>
          </w:p>
        </w:tc>
        <w:tc>
          <w:tcPr>
            <w:tcW w:type="dxa" w:w="4968"/>
            <w:tcMar>
              <w:top w:w="90" w:type="dxa"/>
              <w:start w:w="90" w:type="dxa"/>
              <w:bottom w:w="90" w:type="dxa"/>
              <w:end w:w="90" w:type="dxa"/>
            </w:tcMar>
            <w:vAlign w:val="center"/>
          </w:tcPr>
          <w:p>
            <w:r>
              <w:t>Limits corporate clipboard data while preserving controlled paste workflows.</w:t>
            </w:r>
          </w:p>
        </w:tc>
      </w:tr>
      <w:tr>
        <w:trPr>
          <w:cantSplit/>
        </w:trPr>
        <w:tc>
          <w:tcPr>
            <w:tcW w:type="dxa" w:w="2304"/>
            <w:tcMar>
              <w:top w:w="90" w:type="dxa"/>
              <w:start w:w="90" w:type="dxa"/>
              <w:bottom w:w="90" w:type="dxa"/>
              <w:end w:w="90" w:type="dxa"/>
            </w:tcMar>
            <w:vAlign w:val="center"/>
          </w:tcPr>
          <w:p>
            <w:r>
              <w:t>Screen capture / printing</w:t>
            </w:r>
          </w:p>
        </w:tc>
        <w:tc>
          <w:tcPr>
            <w:tcW w:type="dxa" w:w="2952"/>
            <w:tcMar>
              <w:top w:w="90" w:type="dxa"/>
              <w:start w:w="90" w:type="dxa"/>
              <w:bottom w:w="90" w:type="dxa"/>
              <w:end w:w="90" w:type="dxa"/>
            </w:tcMar>
            <w:vAlign w:val="center"/>
          </w:tcPr>
          <w:p>
            <w:r>
              <w:t>Blocked</w:t>
            </w:r>
          </w:p>
        </w:tc>
        <w:tc>
          <w:tcPr>
            <w:tcW w:type="dxa" w:w="4968"/>
            <w:tcMar>
              <w:top w:w="90" w:type="dxa"/>
              <w:start w:w="90" w:type="dxa"/>
              <w:bottom w:w="90" w:type="dxa"/>
              <w:end w:w="90" w:type="dxa"/>
            </w:tcMar>
            <w:vAlign w:val="center"/>
          </w:tcPr>
          <w:p>
            <w:r>
              <w:t>Reduces simple exfiltration paths from protected apps.</w:t>
            </w:r>
          </w:p>
        </w:tc>
      </w:tr>
      <w:tr>
        <w:trPr>
          <w:cantSplit/>
        </w:trPr>
        <w:tc>
          <w:tcPr>
            <w:tcW w:type="dxa" w:w="2304"/>
            <w:tcMar>
              <w:top w:w="90" w:type="dxa"/>
              <w:start w:w="90" w:type="dxa"/>
              <w:bottom w:w="90" w:type="dxa"/>
              <w:end w:w="90" w:type="dxa"/>
            </w:tcMar>
            <w:vAlign w:val="center"/>
          </w:tcPr>
          <w:p>
            <w:r>
              <w:t>Backup / Save As</w:t>
            </w:r>
          </w:p>
        </w:tc>
        <w:tc>
          <w:tcPr>
            <w:tcW w:type="dxa" w:w="2952"/>
            <w:tcMar>
              <w:top w:w="90" w:type="dxa"/>
              <w:start w:w="90" w:type="dxa"/>
              <w:bottom w:w="90" w:type="dxa"/>
              <w:end w:w="90" w:type="dxa"/>
            </w:tcMar>
            <w:vAlign w:val="center"/>
          </w:tcPr>
          <w:p>
            <w:r>
              <w:t>Blocked</w:t>
            </w:r>
          </w:p>
        </w:tc>
        <w:tc>
          <w:tcPr>
            <w:tcW w:type="dxa" w:w="4968"/>
            <w:tcMar>
              <w:top w:w="90" w:type="dxa"/>
              <w:start w:w="90" w:type="dxa"/>
              <w:bottom w:w="90" w:type="dxa"/>
              <w:end w:w="90" w:type="dxa"/>
            </w:tcMar>
            <w:vAlign w:val="center"/>
          </w:tcPr>
          <w:p>
            <w:r>
              <w:t>Prevents protected app data from being copied to unmanaged backup or arbitrary storage destinations.</w:t>
            </w:r>
          </w:p>
        </w:tc>
      </w:tr>
      <w:tr>
        <w:trPr>
          <w:cantSplit/>
        </w:trPr>
        <w:tc>
          <w:tcPr>
            <w:tcW w:type="dxa" w:w="2304"/>
            <w:tcMar>
              <w:top w:w="90" w:type="dxa"/>
              <w:start w:w="90" w:type="dxa"/>
              <w:bottom w:w="90" w:type="dxa"/>
              <w:end w:w="90" w:type="dxa"/>
            </w:tcMar>
            <w:vAlign w:val="center"/>
          </w:tcPr>
          <w:p>
            <w:r>
              <w:t>Approved storage</w:t>
            </w:r>
          </w:p>
        </w:tc>
        <w:tc>
          <w:tcPr>
            <w:tcW w:type="dxa" w:w="2952"/>
            <w:tcMar>
              <w:top w:w="90" w:type="dxa"/>
              <w:start w:w="90" w:type="dxa"/>
              <w:bottom w:w="90" w:type="dxa"/>
              <w:end w:w="90" w:type="dxa"/>
            </w:tcMar>
            <w:vAlign w:val="center"/>
          </w:tcPr>
          <w:p>
            <w:r>
              <w:t>OneDrive for Business and SharePoint</w:t>
            </w:r>
          </w:p>
        </w:tc>
        <w:tc>
          <w:tcPr>
            <w:tcW w:type="dxa" w:w="4968"/>
            <w:tcMar>
              <w:top w:w="90" w:type="dxa"/>
              <w:start w:w="90" w:type="dxa"/>
              <w:bottom w:w="90" w:type="dxa"/>
              <w:end w:w="90" w:type="dxa"/>
            </w:tcMar>
            <w:vAlign w:val="center"/>
          </w:tcPr>
          <w:p>
            <w:r>
              <w:t>Keeps saved organizational data in managed Microsoft 365 repositories.</w:t>
            </w:r>
          </w:p>
        </w:tc>
      </w:tr>
      <w:tr>
        <w:trPr>
          <w:cantSplit/>
        </w:trPr>
        <w:tc>
          <w:tcPr>
            <w:tcW w:type="dxa" w:w="2304"/>
            <w:tcMar>
              <w:top w:w="90" w:type="dxa"/>
              <w:start w:w="90" w:type="dxa"/>
              <w:bottom w:w="90" w:type="dxa"/>
              <w:end w:w="90" w:type="dxa"/>
            </w:tcMar>
            <w:vAlign w:val="center"/>
          </w:tcPr>
          <w:p>
            <w:r>
              <w:t>Device compliance</w:t>
            </w:r>
          </w:p>
        </w:tc>
        <w:tc>
          <w:tcPr>
            <w:tcW w:type="dxa" w:w="2952"/>
            <w:tcMar>
              <w:top w:w="90" w:type="dxa"/>
              <w:start w:w="90" w:type="dxa"/>
              <w:bottom w:w="90" w:type="dxa"/>
              <w:end w:w="90" w:type="dxa"/>
            </w:tcMar>
            <w:vAlign w:val="center"/>
          </w:tcPr>
          <w:p>
            <w:r>
              <w:t>Required; block action</w:t>
            </w:r>
          </w:p>
        </w:tc>
        <w:tc>
          <w:tcPr>
            <w:tcW w:type="dxa" w:w="4968"/>
            <w:tcMar>
              <w:top w:w="90" w:type="dxa"/>
              <w:start w:w="90" w:type="dxa"/>
              <w:bottom w:w="90" w:type="dxa"/>
              <w:end w:w="90" w:type="dxa"/>
            </w:tcMar>
            <w:vAlign w:val="center"/>
          </w:tcPr>
          <w:p>
            <w:r>
              <w:t>Blocks protected-app access when the device does not meet the compliance requirement.</w:t>
            </w:r>
          </w:p>
        </w:tc>
      </w:tr>
      <w:tr>
        <w:trPr>
          <w:cantSplit/>
        </w:trPr>
        <w:tc>
          <w:tcPr>
            <w:tcW w:type="dxa" w:w="2304"/>
            <w:tcMar>
              <w:top w:w="90" w:type="dxa"/>
              <w:start w:w="90" w:type="dxa"/>
              <w:bottom w:w="90" w:type="dxa"/>
              <w:end w:w="90" w:type="dxa"/>
            </w:tcMar>
            <w:vAlign w:val="center"/>
          </w:tcPr>
          <w:p>
            <w:r>
              <w:t>Managed browser</w:t>
            </w:r>
          </w:p>
        </w:tc>
        <w:tc>
          <w:tcPr>
            <w:tcW w:type="dxa" w:w="2952"/>
            <w:tcMar>
              <w:top w:w="90" w:type="dxa"/>
              <w:start w:w="90" w:type="dxa"/>
              <w:bottom w:w="90" w:type="dxa"/>
              <w:end w:w="90" w:type="dxa"/>
            </w:tcMar>
            <w:vAlign w:val="center"/>
          </w:tcPr>
          <w:p>
            <w:r>
              <w:t>Microsoft Edge required for managed links</w:t>
            </w:r>
          </w:p>
        </w:tc>
        <w:tc>
          <w:tcPr>
            <w:tcW w:type="dxa" w:w="4968"/>
            <w:tcMar>
              <w:top w:w="90" w:type="dxa"/>
              <w:start w:w="90" w:type="dxa"/>
              <w:bottom w:w="90" w:type="dxa"/>
              <w:end w:w="90" w:type="dxa"/>
            </w:tcMar>
            <w:vAlign w:val="center"/>
          </w:tcPr>
          <w:p>
            <w:r>
              <w:t>Keeps organizational web navigation inside the managed browser boundary.</w:t>
            </w:r>
          </w:p>
        </w:tc>
      </w:tr>
      <w:tr>
        <w:trPr>
          <w:cantSplit/>
        </w:trPr>
        <w:tc>
          <w:tcPr>
            <w:tcW w:type="dxa" w:w="2304"/>
            <w:tcMar>
              <w:top w:w="90" w:type="dxa"/>
              <w:start w:w="90" w:type="dxa"/>
              <w:bottom w:w="90" w:type="dxa"/>
              <w:end w:w="90" w:type="dxa"/>
            </w:tcMar>
            <w:vAlign w:val="center"/>
          </w:tcPr>
          <w:p>
            <w:r>
              <w:t>App target</w:t>
            </w:r>
          </w:p>
        </w:tc>
        <w:tc>
          <w:tcPr>
            <w:tcW w:type="dxa" w:w="2952"/>
            <w:tcMar>
              <w:top w:w="90" w:type="dxa"/>
              <w:start w:w="90" w:type="dxa"/>
              <w:bottom w:w="90" w:type="dxa"/>
              <w:end w:w="90" w:type="dxa"/>
            </w:tcMar>
            <w:vAlign w:val="center"/>
          </w:tcPr>
          <w:p>
            <w:r>
              <w:t>All apps</w:t>
            </w:r>
          </w:p>
        </w:tc>
        <w:tc>
          <w:tcPr>
            <w:tcW w:type="dxa" w:w="4968"/>
            <w:tcMar>
              <w:top w:w="90" w:type="dxa"/>
              <w:start w:w="90" w:type="dxa"/>
              <w:bottom w:w="90" w:type="dxa"/>
              <w:end w:w="90" w:type="dxa"/>
            </w:tcMar>
            <w:vAlign w:val="center"/>
          </w:tcPr>
          <w:p>
            <w:r>
              <w:t>Applies settings across eligible managed apps; this is not a user/group assignment.</w:t>
            </w:r>
          </w:p>
        </w:tc>
      </w:tr>
    </w:tbl>
    <w:p/>
    <w:p>
      <w:pPr>
        <w:pStyle w:val="Heading1"/>
      </w:pPr>
      <w:r>
        <w:t>3. How It Works</w:t>
      </w:r>
    </w:p>
    <w:p>
      <w:r>
        <w:t>The script recreates the exported iOS managed-app-protection payload through the Microsoft Graph beta endpoint. It searches by exact display name, updates one match, creates when none exists, and stops on duplicates. No assignment endpoint is called. Existing assignments are preserved on update and a newly created policy remains unassigned.</w:t>
      </w:r>
    </w:p>
    <w:p>
      <w:pPr>
        <w:pStyle w:val="Heading1"/>
      </w:pPr>
      <w:r>
        <w:t>4. Why This Policy Is Important</w:t>
      </w:r>
    </w:p>
    <w:p>
      <w:r>
        <w:t>Application-level protection is especially important on mobile devices because corporate information is routinely accessed alongside personal applications and services. These controls constrain common transfer paths without requiring every restriction to be enforced at the device level, helping maintain a managed data boundary around Microsoft 365 and other protected applications.</w:t>
      </w:r>
    </w:p>
    <w:p>
      <w:pPr>
        <w:pStyle w:val="Heading1"/>
      </w:pPr>
      <w:r>
        <w:t>5. User Impact</w:t>
      </w:r>
    </w:p>
    <w:tbl>
      <w:tblPr>
        <w:tblW w:type="auto" w:w="0"/>
        <w:tblLook w:firstColumn="1" w:firstRow="1" w:lastColumn="0" w:lastRow="0" w:noHBand="0" w:noVBand="1" w:val="04A0"/>
      </w:tblPr>
      <w:tblGrid>
        <w:gridCol w:w="10224"/>
      </w:tblGrid>
      <w:tr>
        <w:trPr>
          <w:cantSplit/>
        </w:trPr>
        <w:tc>
          <w:tcPr>
            <w:tcW w:type="dxa" w:w="10224"/>
            <w:shd w:fill="EEF4FA"/>
            <w:tcMar>
              <w:top w:w="120" w:type="dxa"/>
              <w:start w:w="120" w:type="dxa"/>
              <w:bottom w:w="120" w:type="dxa"/>
              <w:end w:w="120" w:type="dxa"/>
            </w:tcMar>
          </w:tcPr>
          <w:p>
            <w:r>
              <w:t>Expected impact: Moderate to High. Users may be unable to copy corporate data into unmanaged apps, print protected content, take screenshots, use third-party keyboards, sync corporate contacts, save to arbitrary locations, or open managed links outside Microsoft Edge. These restrictions are intentional and should be pilot-tested against required business workflows.</w:t>
            </w:r>
          </w:p>
        </w:tc>
      </w:tr>
    </w:tbl>
    <w:p>
      <w:pPr>
        <w:pStyle w:val="Heading1"/>
      </w:pPr>
      <w:r>
        <w:t>6. Security Posture</w:t>
      </w:r>
    </w:p>
    <w:p>
      <w:r>
        <w:t>Enhanced mobile application data protection / MAM DLP.</w:t>
      </w:r>
    </w:p>
    <w:p>
      <w:pPr>
        <w:pStyle w:val="Heading1"/>
      </w:pPr>
      <w:r>
        <w:t>7. Deployment and Assignment</w:t>
      </w:r>
    </w:p>
    <w:p>
      <w:r>
        <w:t>The script does not assign users, groups, or devices. New policies remain unassigned and existing assignments are preserved. The technician should select the appropriate user population after validating the application set, compliance dependency, Microsoft Edge availability, contact-sync requirements, screenshot/printing needs, and other client-specific workflows.</w:t>
      </w:r>
    </w:p>
    <w:p>
      <w:pPr>
        <w:pStyle w:val="Heading1"/>
      </w:pPr>
      <w:r>
        <w:t>8. Approval Recommendation</w:t>
      </w:r>
    </w:p>
    <w:tbl>
      <w:tblPr>
        <w:tblW w:type="auto" w:w="0"/>
        <w:tblLook w:firstColumn="1" w:firstRow="1" w:lastColumn="0" w:lastRow="0" w:noHBand="0" w:noVBand="1" w:val="04A0"/>
      </w:tblPr>
      <w:tblGrid>
        <w:gridCol w:w="10224"/>
      </w:tblGrid>
      <w:tr>
        <w:trPr>
          <w:cantSplit/>
        </w:trPr>
        <w:tc>
          <w:tcPr>
            <w:tcW w:type="dxa" w:w="10224"/>
            <w:shd w:fill="E2F0D9"/>
            <w:tcMar>
              <w:top w:w="120" w:type="dxa"/>
              <w:start w:w="120" w:type="dxa"/>
              <w:bottom w:w="120" w:type="dxa"/>
              <w:end w:w="120" w:type="dxa"/>
            </w:tcMar>
          </w:tcPr>
          <w:p>
            <w:r>
              <w:t>Recommended for approval as an enhanced managed-app protection baseline for clients that require strong separation of corporate data on iOS/iPadOS. Deployment should remain technician-controlled and should include a pilot because several controls are deliberately restrictive.</w:t>
            </w:r>
          </w:p>
        </w:tc>
      </w:tr>
    </w:tbl>
    <w:p>
      <w:pPr>
        <w:pStyle w:val="Heading1"/>
      </w:pPr>
      <w:r>
        <w:t>9. Implementation Note / Exception</w:t>
      </w:r>
    </w:p>
    <w:tbl>
      <w:tblPr>
        <w:tblW w:type="auto" w:w="0"/>
        <w:tblLook w:firstColumn="1" w:firstRow="1" w:lastColumn="0" w:lastRow="0" w:noHBand="0" w:noVBand="1" w:val="04A0"/>
      </w:tblPr>
      <w:tblGrid>
        <w:gridCol w:w="10224"/>
      </w:tblGrid>
      <w:tr>
        <w:trPr>
          <w:cantSplit/>
        </w:trPr>
        <w:tc>
          <w:tcPr>
            <w:tcW w:type="dxa" w:w="10224"/>
            <w:shd w:fill="EEF4FA"/>
            <w:tcMar>
              <w:top w:w="120" w:type="dxa"/>
              <w:start w:w="120" w:type="dxa"/>
              <w:bottom w:w="120" w:type="dxa"/>
              <w:end w:w="120" w:type="dxa"/>
            </w:tcMar>
          </w:tcPr>
          <w:p>
            <w:r>
              <w:t>The current v1.1.0 script is the source of record. The uploaded v1.0.0 copies should be treated as superseded. Also, appGroupType = allApps defines the protected application scope; it does not constitute assignment to All Users or any other user group.</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Executive Policy Overview | Resilient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40" w:after="80"/>
    </w:pPr>
    <w:rPr>
      <w:rFonts w:asciiTheme="majorHAnsi" w:eastAsiaTheme="majorEastAsia" w:hAnsiTheme="majorHAnsi" w:cstheme="majorBidi" w:ascii="Aptos" w:hAnsi="Aptos"/>
      <w:b w:val="0"/>
      <w:i/>
      <w:iCs/>
      <w:color w:val="2F559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