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macOS Device Compliance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macOS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Recommended for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combines the core macOS compliance checks into a single baseline: firewall enabled, Gatekeeper limited to the Mac App Store and identified developers, storage encryption required, and baseline password controls including an eight-character alphanumeric password, simple-password blocking, and a 15-minute inactivity requirement.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Firewall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Mac firewall to be enabled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Gatekeeper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Mac App Store + identified developers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approved application-source posture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Storage encryption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FileVault/data-storage encryption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Required, alphanumeric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an alphanumeric device password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minimum password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passwords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Rejects simple passwords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Inactivity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15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password protection after inactivity</w:t>
            </w:r>
          </w:p>
        </w:tc>
      </w:tr>
    </w:tbl>
    <w:p>
      <w:pPr>
        <w:pStyle w:val="Heading1"/>
      </w:pPr>
      <w:r>
        <w:t>3. How It Works</w:t>
      </w:r>
    </w:p>
    <w:p>
      <w:r>
        <w:t>Intune evaluates a macOS compliance object with firewallEnabled, gatekeeperAllowedAppSource, storageRequireEncryption, passwordRequired, passwordBlockSimple, passwordMinimumLength, passwordRequiredType, and passwordMinutesOfInactivityBeforeLock configured. The script creates or updates the exact-name policy without assigning it.</w:t>
      </w:r>
    </w:p>
    <w:p>
      <w:pPr>
        <w:pStyle w:val="Heading1"/>
      </w:pPr>
      <w:r>
        <w:t>4. Why This Policy Is Important</w:t>
      </w:r>
    </w:p>
    <w:p>
      <w:r>
        <w:t>The policy gives the organization one measurable macOS compliance standard covering host firewall, application trust, encryption, and local authentication—four foundational controls that are commonly used together when determining whether a Mac is acceptable for corporate access.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may need to enable FileVault or firewall, use an acceptable Gatekeeper posture, strengthen a weak password, or comply with the 15-minute inactivity requirement before the Mac can meet the baseline.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Comprehensive macOS endpoint compliance baseline.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macOS compliance baseline, coordinated with matching configuration profiles that actually enforce the required settings.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does not configure these protections; it evaluates whether the device meets them. Configuration profiles should remain the enforcement mechanism, while compliance records the resulting state.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