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sz w:val="36"/>
        </w:rPr>
        <w:t>macOS Screen Lock and Password Policy</w:t>
      </w:r>
    </w:p>
    <w:p>
      <w:pPr>
        <w:jc w:val="center"/>
      </w:pPr>
      <w:r>
        <w:rPr>
          <w:b/>
          <w:sz w:val="22"/>
        </w:rPr>
        <w:t>Executive Policy Overview</w:t>
      </w:r>
    </w:p>
    <w:tbl>
      <w:tblPr>
        <w:tblW w:type="auto" w:w="0"/>
        <w:jc w:val="center"/>
        <w:tblLayout w:type="fixed"/>
        <w:tblLook w:firstColumn="1" w:firstRow="1" w:lastColumn="0" w:lastRow="0" w:noHBand="0" w:noVBand="1" w:val="04A0"/>
      </w:tblPr>
      <w:tblGrid>
        <w:gridCol w:w="5083"/>
        <w:gridCol w:w="5083"/>
      </w:tblGrid>
      <w:tr>
        <w:tc>
          <w:tcPr>
            <w:tcW w:type="dxa" w:w="2232"/>
            <w:vAlign w:val="center"/>
            <w:shd w:fill="E7EEF8"/>
          </w:tcPr>
          <w:p>
            <w:r>
              <w:rPr>
                <w:b/>
              </w:rPr>
              <w:t>Platform</w:t>
            </w:r>
          </w:p>
        </w:tc>
        <w:tc>
          <w:tcPr>
            <w:tcW w:type="dxa" w:w="7920"/>
            <w:vAlign w:val="center"/>
          </w:tcPr>
          <w:p>
            <w:r>
              <w:t>macOS</w:t>
            </w:r>
          </w:p>
        </w:tc>
      </w:tr>
      <w:tr>
        <w:tc>
          <w:tcPr>
            <w:tcW w:type="dxa" w:w="2232"/>
            <w:vAlign w:val="center"/>
            <w:shd w:fill="E7EEF8"/>
          </w:tcPr>
          <w:p>
            <w:r>
              <w:rPr>
                <w:b/>
              </w:rPr>
              <w:t>Cloud</w:t>
            </w:r>
          </w:p>
        </w:tc>
        <w:tc>
          <w:tcPr>
            <w:tcW w:type="dxa" w:w="7920"/>
            <w:vAlign w:val="center"/>
          </w:tcPr>
          <w:p>
            <w:r>
              <w:t>Microsoft 365 Commercial</w:t>
            </w:r>
          </w:p>
        </w:tc>
      </w:tr>
      <w:tr>
        <w:tc>
          <w:tcPr>
            <w:tcW w:type="dxa" w:w="2232"/>
            <w:vAlign w:val="center"/>
            <w:shd w:fill="E7EEF8"/>
          </w:tcPr>
          <w:p>
            <w:r>
              <w:rPr>
                <w:b/>
              </w:rPr>
              <w:t>Policy type</w:t>
            </w:r>
          </w:p>
        </w:tc>
        <w:tc>
          <w:tcPr>
            <w:tcW w:type="dxa" w:w="7920"/>
            <w:vAlign w:val="center"/>
          </w:tcPr>
          <w:p>
            <w:r>
              <w:t>Settings Catalog / Passcode</w:t>
            </w:r>
          </w:p>
        </w:tc>
      </w:tr>
      <w:tr>
        <w:tc>
          <w:tcPr>
            <w:tcW w:type="dxa" w:w="2232"/>
            <w:vAlign w:val="center"/>
            <w:shd w:fill="E7EEF8"/>
          </w:tcPr>
          <w:p>
            <w:r>
              <w:rPr>
                <w:b/>
              </w:rPr>
              <w:t>Deployment state</w:t>
            </w:r>
          </w:p>
        </w:tc>
        <w:tc>
          <w:tcPr>
            <w:tcW w:type="dxa" w:w="7920"/>
            <w:vAlign w:val="center"/>
          </w:tcPr>
          <w:p>
            <w:r>
              <w:t>Created unassigned; existing assignments preserved on update.</w:t>
            </w:r>
          </w:p>
        </w:tc>
      </w:tr>
    </w:tbl>
    <w:p/>
    <w:p>
      <w:pPr>
        <w:pStyle w:val="Heading1"/>
        <w:spacing w:before="160" w:after="80"/>
      </w:pPr>
      <w:r>
        <w:t>Executive Summary</w:t>
      </w:r>
    </w:p>
    <w:p>
      <w:pPr>
        <w:spacing w:after="100"/>
      </w:pPr>
      <w:r>
        <w:t>This policy establishes the macOS device-access baseline by requiring a password, requiring an alphanumeric password, setting a minimum length of 8 characters, locking after 15 minutes of inactivity, and requiring the password immediately after the lock condition is reached.</w:t>
      </w:r>
    </w:p>
    <w:p>
      <w:pPr>
        <w:pStyle w:val="Heading1"/>
        <w:spacing w:before="160" w:after="80"/>
      </w:pPr>
      <w:r>
        <w:t>What the Policy Does</w:t>
      </w:r>
    </w:p>
    <w:tbl>
      <w:tblPr>
        <w:tblStyle w:val="TableGrid"/>
        <w:tblW w:type="auto" w:w="0"/>
        <w:jc w:val="center"/>
        <w:tblLayout w:type="fixed"/>
        <w:tblLook w:firstColumn="1" w:firstRow="1" w:lastColumn="0" w:lastRow="0" w:noHBand="0" w:noVBand="1" w:val="04A0"/>
      </w:tblPr>
      <w:tblGrid>
        <w:gridCol w:w="3389"/>
        <w:gridCol w:w="3389"/>
        <w:gridCol w:w="3389"/>
      </w:tblGrid>
      <w:tr>
        <w:tc>
          <w:tcPr>
            <w:tcW w:type="dxa" w:w="3389"/>
            <w:shd w:fill="D9E2F3"/>
            <w:vAlign w:val="center"/>
          </w:tcPr>
          <w:p>
            <w:r>
              <w:rPr>
                <w:b/>
              </w:rPr>
              <w:t>Control</w:t>
            </w:r>
          </w:p>
        </w:tc>
        <w:tc>
          <w:tcPr>
            <w:tcW w:type="dxa" w:w="3389"/>
            <w:shd w:fill="D9E2F3"/>
            <w:vAlign w:val="center"/>
          </w:tcPr>
          <w:p>
            <w:r>
              <w:rPr>
                <w:b/>
              </w:rPr>
              <w:t>Configuration</w:t>
            </w:r>
          </w:p>
        </w:tc>
        <w:tc>
          <w:tcPr>
            <w:tcW w:type="dxa" w:w="3389"/>
            <w:shd w:fill="D9E2F3"/>
            <w:vAlign w:val="center"/>
          </w:tcPr>
          <w:p>
            <w:r>
              <w:rPr>
                <w:b/>
              </w:rPr>
              <w:t>Business effect</w:t>
            </w:r>
          </w:p>
        </w:tc>
      </w:tr>
      <w:tr>
        <w:tc>
          <w:tcPr>
            <w:tcW w:type="dxa" w:w="2880"/>
            <w:vAlign w:val="center"/>
          </w:tcPr>
          <w:p>
            <w:r>
              <w:t>Password</w:t>
            </w:r>
          </w:p>
        </w:tc>
        <w:tc>
          <w:tcPr>
            <w:tcW w:type="dxa" w:w="2520"/>
            <w:vAlign w:val="center"/>
          </w:tcPr>
          <w:p>
            <w:r>
              <w:t>Required</w:t>
            </w:r>
          </w:p>
        </w:tc>
        <w:tc>
          <w:tcPr>
            <w:tcW w:type="dxa" w:w="4752"/>
            <w:vAlign w:val="center"/>
          </w:tcPr>
          <w:p>
            <w:r>
              <w:t>Prevents unauthenticated access to the user session.</w:t>
            </w:r>
          </w:p>
        </w:tc>
      </w:tr>
      <w:tr>
        <w:tc>
          <w:tcPr>
            <w:tcW w:type="dxa" w:w="2880"/>
            <w:vAlign w:val="center"/>
          </w:tcPr>
          <w:p>
            <w:r>
              <w:t>Simple passwords</w:t>
            </w:r>
          </w:p>
        </w:tc>
        <w:tc>
          <w:tcPr>
            <w:tcW w:type="dxa" w:w="2520"/>
            <w:vAlign w:val="center"/>
          </w:tcPr>
          <w:p>
            <w:r>
              <w:t>Blocked by setting Allow Simple = false</w:t>
            </w:r>
          </w:p>
        </w:tc>
        <w:tc>
          <w:tcPr>
            <w:tcW w:type="dxa" w:w="4752"/>
            <w:vAlign w:val="center"/>
          </w:tcPr>
          <w:p>
            <w:r>
              <w:t>Reduces use of easily guessed passwords.</w:t>
            </w:r>
          </w:p>
        </w:tc>
      </w:tr>
      <w:tr>
        <w:tc>
          <w:tcPr>
            <w:tcW w:type="dxa" w:w="2880"/>
            <w:vAlign w:val="center"/>
          </w:tcPr>
          <w:p>
            <w:r>
              <w:t>Alphanumeric password</w:t>
            </w:r>
          </w:p>
        </w:tc>
        <w:tc>
          <w:tcPr>
            <w:tcW w:type="dxa" w:w="2520"/>
            <w:vAlign w:val="center"/>
          </w:tcPr>
          <w:p>
            <w:r>
              <w:t>Required</w:t>
            </w:r>
          </w:p>
        </w:tc>
        <w:tc>
          <w:tcPr>
            <w:tcW w:type="dxa" w:w="4752"/>
            <w:vAlign w:val="center"/>
          </w:tcPr>
          <w:p>
            <w:r>
              <w:t>Requires letters/numbers rather than numeric-only credentials.</w:t>
            </w:r>
          </w:p>
        </w:tc>
      </w:tr>
      <w:tr>
        <w:tc>
          <w:tcPr>
            <w:tcW w:type="dxa" w:w="2880"/>
            <w:vAlign w:val="center"/>
          </w:tcPr>
          <w:p>
            <w:r>
              <w:t>Minimum length</w:t>
            </w:r>
          </w:p>
        </w:tc>
        <w:tc>
          <w:tcPr>
            <w:tcW w:type="dxa" w:w="2520"/>
            <w:vAlign w:val="center"/>
          </w:tcPr>
          <w:p>
            <w:r>
              <w:t>8 characters</w:t>
            </w:r>
          </w:p>
        </w:tc>
        <w:tc>
          <w:tcPr>
            <w:tcW w:type="dxa" w:w="4752"/>
            <w:vAlign w:val="center"/>
          </w:tcPr>
          <w:p>
            <w:r>
              <w:t>Establishes a minimum credential length.</w:t>
            </w:r>
          </w:p>
        </w:tc>
      </w:tr>
      <w:tr>
        <w:tc>
          <w:tcPr>
            <w:tcW w:type="dxa" w:w="2880"/>
            <w:vAlign w:val="center"/>
          </w:tcPr>
          <w:p>
            <w:r>
              <w:t>Maximum inactivity</w:t>
            </w:r>
          </w:p>
        </w:tc>
        <w:tc>
          <w:tcPr>
            <w:tcW w:type="dxa" w:w="2520"/>
            <w:vAlign w:val="center"/>
          </w:tcPr>
          <w:p>
            <w:r>
              <w:t>15 minutes</w:t>
            </w:r>
          </w:p>
        </w:tc>
        <w:tc>
          <w:tcPr>
            <w:tcW w:type="dxa" w:w="4752"/>
            <w:vAlign w:val="center"/>
          </w:tcPr>
          <w:p>
            <w:r>
              <w:t>Locks an unattended Mac after the configured idle period.</w:t>
            </w:r>
          </w:p>
        </w:tc>
      </w:tr>
      <w:tr>
        <w:tc>
          <w:tcPr>
            <w:tcW w:type="dxa" w:w="2880"/>
            <w:vAlign w:val="center"/>
          </w:tcPr>
          <w:p>
            <w:r>
              <w:t>Maximum grace period</w:t>
            </w:r>
          </w:p>
        </w:tc>
        <w:tc>
          <w:tcPr>
            <w:tcW w:type="dxa" w:w="2520"/>
            <w:vAlign w:val="center"/>
          </w:tcPr>
          <w:p>
            <w:r>
              <w:t>0 minutes</w:t>
            </w:r>
          </w:p>
        </w:tc>
        <w:tc>
          <w:tcPr>
            <w:tcW w:type="dxa" w:w="4752"/>
            <w:vAlign w:val="center"/>
          </w:tcPr>
          <w:p>
            <w:r>
              <w:t>Requires the password immediately after lock.</w:t>
            </w:r>
          </w:p>
        </w:tc>
      </w:tr>
    </w:tbl>
    <w:p/>
    <w:p>
      <w:pPr>
        <w:pStyle w:val="Heading1"/>
        <w:spacing w:before="160" w:after="80"/>
      </w:pPr>
      <w:r>
        <w:t>How It Works</w:t>
      </w:r>
    </w:p>
    <w:p>
      <w:pPr>
        <w:spacing w:after="100"/>
      </w:pPr>
      <w:r>
        <w:t>The script resolves the current Intune Settings Catalog definitions for Apple passcode controls and applies six explicit settings. It validates the resulting settings after deployment and uses the Commercial Microsoft Graph environment.</w:t>
      </w:r>
    </w:p>
    <w:p>
      <w:pPr>
        <w:pStyle w:val="Heading1"/>
        <w:spacing w:before="160" w:after="80"/>
      </w:pPr>
      <w:r>
        <w:t>Why This Policy Is Important</w:t>
      </w:r>
    </w:p>
    <w:p>
      <w:pPr>
        <w:spacing w:after="100"/>
      </w:pPr>
      <w:r>
        <w:t>Password and automatic-lock controls reduce the likelihood that an unattended, lost, or physically accessed Mac exposes corporate applications, files, browser sessions, or authentication material.</w:t>
      </w:r>
    </w:p>
    <w:p>
      <w:pPr>
        <w:pStyle w:val="Heading1"/>
        <w:spacing w:before="160" w:after="80"/>
      </w:pPr>
      <w:r>
        <w:t>User Impact</w:t>
      </w:r>
    </w:p>
    <w:p>
      <w:pPr>
        <w:spacing w:after="100"/>
      </w:pPr>
      <w:r>
        <w:t>Expected impact: Moderate. Users must maintain an alphanumeric password of at least 8 characters, and idle devices lock after 15 minutes with immediate password reauthentication.</w:t>
      </w:r>
    </w:p>
    <w:p>
      <w:pPr>
        <w:pStyle w:val="Heading1"/>
        <w:spacing w:before="160" w:after="80"/>
      </w:pPr>
      <w:r>
        <w:t>Security Posture</w:t>
      </w:r>
    </w:p>
    <w:p>
      <w:pPr>
        <w:spacing w:after="100"/>
      </w:pPr>
      <w:r>
        <w:t>Baseline device-access protection appropriate for managed Macs that access organizational resources.</w:t>
      </w:r>
    </w:p>
    <w:p>
      <w:pPr>
        <w:pStyle w:val="Heading1"/>
        <w:spacing w:before="160" w:after="80"/>
      </w:pPr>
      <w:r>
        <w:t>Deployment and Assignment</w:t>
      </w:r>
    </w:p>
    <w:p>
      <w:pPr>
        <w:spacing w:after="100"/>
      </w:pPr>
      <w:r>
        <w:t>The execution path does not call an assignment endpoint. New policies remain unassigned and existing assignments are preserved.</w:t>
      </w:r>
    </w:p>
    <w:p>
      <w:pPr>
        <w:pStyle w:val="Heading1"/>
        <w:spacing w:before="160" w:after="80"/>
      </w:pPr>
      <w:r>
        <w:t>Approval Recommendation</w:t>
      </w:r>
    </w:p>
    <w:p>
      <w:pPr>
        <w:spacing w:after="100"/>
      </w:pPr>
      <w:r>
        <w:t>Recommended for approval as a standard macOS password and screen-lock baseline.</w:t>
      </w:r>
    </w:p>
    <w:p>
      <w:pPr>
        <w:pStyle w:val="Heading1"/>
        <w:spacing w:before="160" w:after="80"/>
      </w:pPr>
      <w:r>
        <w:t>Implementation Note / Exception</w:t>
      </w:r>
    </w:p>
    <w:p>
      <w:pPr>
        <w:spacing w:after="100"/>
      </w:pPr>
      <w:r>
        <w:t>The script still contains an unused helper function capable of assigning the policy to All Users. The function is not called by the current execution path, so the policy remains unassigned; however, that dead assignment code should be removed before the script is treated as the final source-of-record automation.</w:t>
      </w:r>
    </w:p>
    <w:p>
      <w:pPr>
        <w:pStyle w:val="Heading1"/>
        <w:spacing w:before="160" w:after="80"/>
      </w:pPr>
      <w:r>
        <w:t>Microsoft Reference</w:t>
      </w:r>
    </w:p>
    <w:p>
      <w:r>
        <w:t xml:space="preserve">Relevant Microsoft documentation: </w:t>
      </w:r>
      <w:hyperlink r:id="rId9">
        <w:r>
          <w:rPr>
            <w:color w:val="0563C1"/>
            <w:u w:val="single"/>
          </w:rPr>
          <w:t>Microsoft Learn</w:t>
        </w:r>
      </w:hyperlink>
    </w:p>
    <w:sectPr w:rsidR="00FC693F" w:rsidRPr="0006063C" w:rsidSect="00034616">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Resilient IT | Executive Policy Approval Overview</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learn.microsoft.com/en-us/intune/device-configuration/templates/ref-device-restrictions-apple" TargetMode="Externa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