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3.2 Reporting Requirements:</w:t>
      </w:r>
    </w:p>
    <w:p w:rsidR="00000000" w:rsidDel="00000000" w:rsidP="00000000" w:rsidRDefault="00000000" w:rsidRPr="00000000" w14:paraId="00000002">
      <w:pPr>
        <w:shd w:fill="ffffff" w:val="clear"/>
        <w:rPr>
          <w:rFonts w:ascii="Lato" w:cs="Lato" w:eastAsia="Lato" w:hAnsi="Lato"/>
          <w:color w:val="2735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rFonts w:ascii="Times New Roman" w:cs="Times New Roman" w:eastAsia="Times New Roman" w:hAnsi="Times New Roman"/>
          <w:color w:val="2735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540"/>
          <w:sz w:val="24"/>
          <w:szCs w:val="24"/>
          <w:rtl w:val="0"/>
        </w:rPr>
        <w:t xml:space="preserve">5 Total Subgroups</w:t>
      </w:r>
    </w:p>
    <w:p w:rsidR="00000000" w:rsidDel="00000000" w:rsidP="00000000" w:rsidRDefault="00000000" w:rsidRPr="00000000" w14:paraId="00000004">
      <w:pPr>
        <w:shd w:fill="ffffff" w:val="clear"/>
        <w:rPr>
          <w:rFonts w:ascii="Times New Roman" w:cs="Times New Roman" w:eastAsia="Times New Roman" w:hAnsi="Times New Roman"/>
          <w:color w:val="2735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540"/>
          <w:sz w:val="24"/>
          <w:szCs w:val="24"/>
          <w:rtl w:val="0"/>
        </w:rPr>
        <w:t xml:space="preserve">Total Values:</w:t>
      </w:r>
    </w:p>
    <w:p w:rsidR="00000000" w:rsidDel="00000000" w:rsidP="00000000" w:rsidRDefault="00000000" w:rsidRPr="00000000" w14:paraId="00000005">
      <w:pPr>
        <w:shd w:fill="ffffff" w:val="clear"/>
        <w:rPr>
          <w:rFonts w:ascii="Times New Roman" w:cs="Times New Roman" w:eastAsia="Times New Roman" w:hAnsi="Times New Roman"/>
          <w:color w:val="2735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54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24"/>
          <w:szCs w:val="24"/>
        </w:rPr>
        <w:drawing>
          <wp:inline distB="114300" distT="114300" distL="114300" distR="114300">
            <wp:extent cx="3437873" cy="2137652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7873" cy="2137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y=1: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529013" cy="1531824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9013" cy="1531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y=0: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529013" cy="2009165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9013" cy="2009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Characteristics of Clusters Based on Distribution: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Cluster 0: Median ROA, operating gross margin and cash-flow measures all sit below zero, while the median debt-ratio is around zero; both working-capital/total-assets and cash/total-assets medians are negative, and fixed-asset turnover and expense/assets medians hover at zero.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Cluster 1: Profitability and cash-flow medians cluster at zero, the median debt-ratio is below zero, and both working-capital/total-assets and cash/total-assets have positive medians; expense/assets is slightly positive and fixed-asset turnover remains near zero.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Cluster 2: ROA, net-value-per-share and operating-profit-per-person medians are just above zero but cash-flow medians lie just below; the median debt-ratio is positive, while cash-liquidity ratios (cash/total-assets and cash/current-liability) are negative and turnover sits around zero.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Cluster 3: All core profitability and cash-flow medians are clearly above zero, the median debt-ratio falls below zero, and both working-capital/total-assets and cash/total-assets medians are positive; expense/assets is modestly above zero and turnover centers near the midline.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Cluster 4: Nearly every metric (profitability, cash flow, leverage, liquidity, turnover, and expense ratios) has a median effectively at zero, with IQRs and whiskers balanced on both sides of the midline.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Cluster Correlations with Bankruptcy: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86388" cy="2425601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24256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most important features seem to be Debt Ratio %, ROA(C) before interest and depreciation before interest, and Net Value Per Share (B)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73447" cy="2509838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3447" cy="2509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most important features seem to be Operating Profit per Person, ROA(C) before interest and depreciation before interest, and Total expsense/Assets.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00688" cy="2477072"/>
            <wp:effectExtent b="0" l="0" r="0" t="0"/>
            <wp:docPr id="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0688" cy="2477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most important features seem to be ROA(C) before interest and depreciation before interest, Cash/Total Assets, and Debt ratio %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86388" cy="2425601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24256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no important features in this cluster since there are no bankrupt companies in the cluster.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679700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most important features here seem to be Net Value Per Share (B), ROA(C) before interest and depreciation before interest, Debt Ratio %.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Overall, across all clusters (besides cluster 3), ROA(C) before interest and depreciation before interest seems to be the most important feature, as it has been in the top 3 more correlated feature with bankruptcy across all clusters. The next most important feature seems to be Debt ratio % as it is in the top 3 features among 3 out of the 4 clusters. Finally, the third more important feature seems to be Net Value Per Share (B), with it being top 3 in 2 out of the 4 clusters, and in another cluster, it is the 4th more correlated feature. 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ind w:left="-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Lato" w:cs="Lato" w:eastAsia="Lato" w:hAnsi="Lato"/>
          <w:color w:val="273540"/>
          <w:sz w:val="20"/>
          <w:szCs w:val="20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Lato" w:cs="Lato" w:eastAsia="Lato" w:hAnsi="Lato"/>
          <w:color w:val="273540"/>
          <w:sz w:val="20"/>
          <w:szCs w:val="20"/>
          <w:shd w:fill="fff2cc" w:val="clea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2175"/>
        <w:gridCol w:w="2130"/>
        <w:gridCol w:w="2070"/>
        <w:gridCol w:w="1380"/>
        <w:tblGridChange w:id="0">
          <w:tblGrid>
            <w:gridCol w:w="1545"/>
            <w:gridCol w:w="2175"/>
            <w:gridCol w:w="2130"/>
            <w:gridCol w:w="2070"/>
            <w:gridCol w:w="13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Subgroup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 of 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Average accuracy score of base models [TT(TF)]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 score meta model [TT(TF)]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N_features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Katherine Shagalov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0.81 [126(30)]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0.81 [127(29)]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Neel Patel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1.00[11(0)]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1.00[11(0)]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Jorge Ponce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0.85 [14.4(2.6)]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0.82 [14(3)]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1.00 [0(0)]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1.00 [0(0)]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Mahad Rana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0.99 [14(0)]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1.00 [14(0)]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0.96 [165.4(32.6)]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0.93 [166(32)]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5.4391</w:t>
            </w:r>
          </w:p>
        </w:tc>
      </w:tr>
    </w:tbl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Calculation for Weighted Average of Features: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Cluster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    1122/5807 * 7 = 1.3525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     842/5807 * 4 = 0.5799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     858/5807 * 13 = 1.9207 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    1143/5807 * 0 = 0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    1842/5807 * 5 = 1.5860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1.3525 + 0.5799 + 1.9207 + 0 + 1.5860 = 5.4391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Confusion Matrix for Subgroup 0: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Forest: 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86138" cy="3012208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3012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 Trees: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26816" cy="2950387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6816" cy="2950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KNN: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605088" cy="23139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5088" cy="231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Decision Trees: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633663" cy="233757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3663" cy="2337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Meta Model: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633663" cy="2337745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3663" cy="2337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Confusion Matrix for Subgroup 1: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Bagging Classifier: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11693" cy="308383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693" cy="3083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 Tree Classifier: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540043" cy="2677158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0043" cy="2677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Gradient Boosting: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24163" cy="2270976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163" cy="2270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KNN: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572411" cy="2158808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2411" cy="2158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Meta Model: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736167" cy="214266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6167" cy="2142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Confusion Matrix for Subgroup 2: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b w:val="1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u w:val="single"/>
        </w:rPr>
        <w:drawing>
          <wp:inline distB="114300" distT="114300" distL="114300" distR="114300">
            <wp:extent cx="4705350" cy="67246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672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b w:val="1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Confusion Matrix for Subgroup 4: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K-Nearest Neighbors: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319338" cy="205358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9338" cy="2053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SVM: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24113" cy="2144407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4113" cy="2144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Decision Trees: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738438" cy="2426365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2426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 Trees: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671763" cy="2364663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1763" cy="2364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Forest: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623514" cy="231271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3514" cy="2312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Meta Model: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01317" cy="2480556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1317" cy="2480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1" w:type="default"/>
      <w:headerReference r:id="rId32" w:type="first"/>
      <w:footerReference r:id="rId33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>
        <w:rtl w:val="0"/>
      </w:rPr>
      <w:t xml:space="preserve">Mahad Rana, Katherine Shagalov, Neel Rajeshkumar Patel, and Jorge Ponce</w:t>
    </w:r>
  </w:p>
  <w:p w:rsidR="00000000" w:rsidDel="00000000" w:rsidP="00000000" w:rsidRDefault="00000000" w:rsidRPr="00000000" w14:paraId="000000A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8.png"/><Relationship Id="rId21" Type="http://schemas.openxmlformats.org/officeDocument/2006/relationships/image" Target="media/image15.png"/><Relationship Id="rId24" Type="http://schemas.openxmlformats.org/officeDocument/2006/relationships/image" Target="media/image1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26" Type="http://schemas.openxmlformats.org/officeDocument/2006/relationships/image" Target="media/image6.png"/><Relationship Id="rId25" Type="http://schemas.openxmlformats.org/officeDocument/2006/relationships/image" Target="media/image22.png"/><Relationship Id="rId28" Type="http://schemas.openxmlformats.org/officeDocument/2006/relationships/image" Target="media/image11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19.png"/><Relationship Id="rId31" Type="http://schemas.openxmlformats.org/officeDocument/2006/relationships/header" Target="header1.xml"/><Relationship Id="rId30" Type="http://schemas.openxmlformats.org/officeDocument/2006/relationships/image" Target="media/image10.png"/><Relationship Id="rId11" Type="http://schemas.openxmlformats.org/officeDocument/2006/relationships/image" Target="media/image21.png"/><Relationship Id="rId33" Type="http://schemas.openxmlformats.org/officeDocument/2006/relationships/footer" Target="footer1.xml"/><Relationship Id="rId10" Type="http://schemas.openxmlformats.org/officeDocument/2006/relationships/image" Target="media/image18.png"/><Relationship Id="rId32" Type="http://schemas.openxmlformats.org/officeDocument/2006/relationships/header" Target="header2.xml"/><Relationship Id="rId13" Type="http://schemas.openxmlformats.org/officeDocument/2006/relationships/image" Target="media/image20.png"/><Relationship Id="rId12" Type="http://schemas.openxmlformats.org/officeDocument/2006/relationships/image" Target="media/image25.png"/><Relationship Id="rId15" Type="http://schemas.openxmlformats.org/officeDocument/2006/relationships/image" Target="media/image9.png"/><Relationship Id="rId14" Type="http://schemas.openxmlformats.org/officeDocument/2006/relationships/image" Target="media/image16.png"/><Relationship Id="rId17" Type="http://schemas.openxmlformats.org/officeDocument/2006/relationships/image" Target="media/image12.png"/><Relationship Id="rId16" Type="http://schemas.openxmlformats.org/officeDocument/2006/relationships/image" Target="media/image2.png"/><Relationship Id="rId19" Type="http://schemas.openxmlformats.org/officeDocument/2006/relationships/image" Target="media/image23.png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