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E3A8A"/>
        </w:rPr>
        <w:t>AI-Powered Requirement Analysis &amp; Quality Report (Assignment 2)</w:t>
      </w:r>
    </w:p>
    <w:p>
      <w:r>
        <w:rPr>
          <w:i/>
          <w:sz w:val="18"/>
        </w:rPr>
        <w:t>Generated on: 2026-08-25 23:39:23 | Evaluation Informed by ISO/IEC/IEEE 29148 Principles | Demo Simulation</w:t>
      </w:r>
    </w:p>
    <w:p>
      <w:pPr>
        <w:pStyle w:val="Heading1"/>
      </w:pPr>
      <w:r>
        <w:t>1. Executive Summary &amp; Quality Scorecard</w:t>
      </w:r>
    </w:p>
    <w:p>
      <w:r>
        <w:t>• Baseline Quality (Without Clarification): 8/100 (Poor - 0% Testability)</w:t>
      </w:r>
    </w:p>
    <w:p>
      <w:r>
        <w:t>• Refined Quality (With AI Clarification): 96/100 (Excellent - 100% Testability)</w:t>
      </w:r>
    </w:p>
    <w:p>
      <w:r>
        <w:t>• Measured Quality Improvement: +88 Points Gain across ISO 29148 dimensions</w:t>
      </w:r>
    </w:p>
    <w:p>
      <w:pPr>
        <w:pStyle w:val="Heading1"/>
      </w:pPr>
      <w:r>
        <w:t>2. Stakeholder Clarification Q&amp;A Log</w:t>
      </w:r>
    </w:p>
    <w:p>
      <w:r>
        <w:rPr>
          <w:b/>
        </w:rPr>
        <w:t>Q1 [Performance]: What specific latency threshold defines acceptable performance?</w:t>
      </w:r>
    </w:p>
    <w:p>
      <w:r>
        <w:rPr>
          <w:color w:val="0D9488"/>
        </w:rPr>
        <w:t xml:space="preserve">  Stakeholder Clarification: Single resume parsing must be under 1.5s (95th percentile) and batch upload of 100 resumes must complete within 30 seconds.</w:t>
      </w:r>
    </w:p>
    <w:p>
      <w:r>
        <w:rPr>
          <w:b/>
        </w:rPr>
        <w:t>Q2 [Fairness]: What quantitative fairness metric and audit frequency should be enforced?</w:t>
      </w:r>
    </w:p>
    <w:p>
      <w:r>
        <w:rPr>
          <w:color w:val="0D9488"/>
        </w:rPr>
        <w:t xml:space="preserve">  Stakeholder Clarification: Disparate impact ratio between 0.80 and 1.25 across gender and college tiers; quarterly fairness audit.</w:t>
      </w:r>
    </w:p>
    <w:p>
      <w:r>
        <w:rPr>
          <w:b/>
        </w:rPr>
        <w:t>Q3 [Accuracy]: What objective accuracy metric defines "good enough for HR trust"?</w:t>
      </w:r>
    </w:p>
    <w:p>
      <w:r>
        <w:rPr>
          <w:color w:val="0D9488"/>
        </w:rPr>
        <w:t xml:space="preserve">  Stakeholder Clarification: Top-10 candidate precision &gt;= 85% and NDCG@10 &gt;= 0.82 evaluated against consensus of 3 senior recruiters.</w:t>
      </w:r>
    </w:p>
    <w:p>
      <w:r>
        <w:rPr>
          <w:b/>
        </w:rPr>
        <w:t>Q4 [Explainability]: How should candidate match reasoning be presented to recruiters?</w:t>
      </w:r>
    </w:p>
    <w:p>
      <w:r>
        <w:rPr>
          <w:color w:val="0D9488"/>
        </w:rPr>
        <w:t xml:space="preserve">  Stakeholder Clarification: Interactive match scorecard showing matched skills %, project complexity score, and top 3 justification reasons.</w:t>
      </w:r>
    </w:p>
    <w:p>
      <w:r>
        <w:rPr>
          <w:b/>
        </w:rPr>
        <w:t>Q5 [Ranking Algorithm]: How should skills, experience, and projects be weighted?</w:t>
      </w:r>
    </w:p>
    <w:p>
      <w:r>
        <w:rPr>
          <w:color w:val="0D9488"/>
        </w:rPr>
        <w:t xml:space="preserve">  Stakeholder Clarification: Formula: 45% skills match + 35% project complexity + 20% experience with tier normalization.</w:t>
      </w:r>
    </w:p>
    <w:p>
      <w:r>
        <w:rPr>
          <w:b/>
        </w:rPr>
        <w:t>Q6 [Data Ingestion]: What file formats and size limits must be supported?</w:t>
      </w:r>
    </w:p>
    <w:p>
      <w:r>
        <w:rPr>
          <w:color w:val="0D9488"/>
        </w:rPr>
        <w:t xml:space="preserve">  Stakeholder Clarification: Support PDF and DOCX up to 10MB per file with automated text extraction into validated JSON schema.</w:t>
      </w:r>
    </w:p>
    <w:p>
      <w:r>
        <w:rPr>
          <w:b/>
        </w:rPr>
        <w:t>Q7 [Project Scope]: What is the committed delivery milestone for the MVP?</w:t>
      </w:r>
    </w:p>
    <w:p>
      <w:r>
        <w:rPr>
          <w:color w:val="0D9488"/>
        </w:rPr>
        <w:t xml:space="preserve">  Stakeholder Clarification: 4-week MVP deliverable covering ingestion, JD matching, top-10 ranking, and scorecard export.</w:t>
      </w:r>
    </w:p>
    <w:p>
      <w:pPr>
        <w:pStyle w:val="Heading1"/>
      </w:pPr>
      <w:r>
        <w:t>3. Refined Functional Requirements (FR)</w:t>
      </w:r>
    </w:p>
    <w:p>
      <w:pPr>
        <w:pStyle w:val="Heading2"/>
      </w:pPr>
      <w:r>
        <w:t>FR-01: Resume Ingestion &amp; Parsing Engine [RequirementStatus.RESOLVED]</w:t>
      </w:r>
    </w:p>
    <w:p>
      <w:r>
        <w:t>Description: The system shall ingest resumes in PDF and DOCX formats (up to 10MB per file) and parse text into structured JSON schemas as specified by stakeholder: Support PDF and DOCX up to 10MB per file with automated text extraction into validated JSON schema..</w:t>
      </w:r>
    </w:p>
    <w:p>
      <w:r>
        <w:t>Acceptance Criteria:</w:t>
      </w:r>
    </w:p>
    <w:p>
      <w:r>
        <w:t xml:space="preserve">  • Given a valid PDF or DOCX resume under 10MB, When uploaded, Then the system extracts text and generates valid structured JSON.</w:t>
      </w:r>
    </w:p>
    <w:p>
      <w:r>
        <w:t xml:space="preserve">  • Given a corrupted or unsupported file type, When uploaded, Then the system returns an informative HTTP 422 error.</w:t>
      </w:r>
    </w:p>
    <w:p>
      <w:r>
        <w:t>Traceability: Clarification #q-data-01: 'Support PDF and DOCX up to 10MB per file with automated text extraction into validated JSON schema.'</w:t>
      </w:r>
    </w:p>
    <w:p>
      <w:pPr>
        <w:pStyle w:val="Heading2"/>
      </w:pPr>
      <w:r>
        <w:t>FR-02: Deterministic Multi-Factor Candidate Scoring Engine [RequirementStatus.RESOLVED]</w:t>
      </w:r>
    </w:p>
    <w:p>
      <w:r>
        <w:t>Description: The system shall calculate composite candidate relevance scores using stakeholder-defined weighting: Formula: 45% skills match + 35% project complexity + 20% experience with tier normalization..</w:t>
      </w:r>
    </w:p>
    <w:p>
      <w:r>
        <w:t>Acceptance Criteria:</w:t>
      </w:r>
    </w:p>
    <w:p>
      <w:r>
        <w:t xml:space="preserve">  • Given a job description and candidate profile, When scored, Then the final score strictly follows the stakeholder weighting formula.</w:t>
      </w:r>
    </w:p>
    <w:p>
      <w:r>
        <w:t xml:space="preserve">  • Given an exceptional fresher with high project complexity, When ranked against generic experience, Then the fresher outranks when composite score is higher.</w:t>
      </w:r>
    </w:p>
    <w:p>
      <w:r>
        <w:t>Traceability: Clarification #q-rel-01: 'Formula: 45% skills match + 35% project complexity + 20% experience with tier normalization.'</w:t>
      </w:r>
    </w:p>
    <w:p>
      <w:pPr>
        <w:pStyle w:val="Heading2"/>
      </w:pPr>
      <w:r>
        <w:t>FR-03: Structured Explainability &amp; Match Scorecard [RequirementStatus.RESOLVED]</w:t>
      </w:r>
    </w:p>
    <w:p>
      <w:r>
        <w:t>Description: The system shall generate an interactive candidate match scorecard satisfying stakeholder preference: Interactive match scorecard showing matched skills %, project complexity score, and top 3 justification reasons..</w:t>
      </w:r>
    </w:p>
    <w:p>
      <w:r>
        <w:t>Acceptance Criteria:</w:t>
      </w:r>
    </w:p>
    <w:p>
      <w:r>
        <w:t xml:space="preserve">  • Given a shortlisted candidate, When viewed in the UI, Then the system displays matched skills %, project complexity score, and top 3 justification reasons.</w:t>
      </w:r>
    </w:p>
    <w:p>
      <w:r>
        <w:t xml:space="preserve">  • Given recruiter requests match explanation, When requested, Then the explanation payload renders in &lt; 500ms.</w:t>
      </w:r>
    </w:p>
    <w:p>
      <w:r>
        <w:t>Traceability: Clarification #q-exp-01: 'Interactive match scorecard showing matched skills %, project complexity score, and top 3 justification reasons.'</w:t>
      </w:r>
    </w:p>
    <w:p>
      <w:pPr>
        <w:pStyle w:val="Heading2"/>
      </w:pPr>
      <w:r>
        <w:t>FR-04: Role-Based Recruiter &amp; Hiring Manager Dashboard [RequirementStatus.RESOLVED]</w:t>
      </w:r>
    </w:p>
    <w:p>
      <w:r>
        <w:t>Description: The system shall provide secure role-based portals for HR Recruiters and Hiring Managers to upload job descriptions, trigger bulk resume scoring, and export shortlists.</w:t>
      </w:r>
    </w:p>
    <w:p>
      <w:r>
        <w:t>Acceptance Criteria:</w:t>
      </w:r>
    </w:p>
    <w:p>
      <w:r>
        <w:t xml:space="preserve">  • Given authenticated recruiter, When uploading JD, Then analysis job is dispatched.</w:t>
      </w:r>
    </w:p>
    <w:p>
      <w:r>
        <w:t xml:space="preserve">  • Given unauthorized user, When accessing dashboard, Then HTTP 403 Forbidden is returned.</w:t>
      </w:r>
    </w:p>
    <w:p>
      <w:pPr>
        <w:pStyle w:val="Heading1"/>
      </w:pPr>
      <w:r>
        <w:t>4. Refined Non-Functional Requirements (NFR)</w:t>
      </w:r>
    </w:p>
    <w:p>
      <w:pPr>
        <w:pStyle w:val="Heading2"/>
      </w:pPr>
      <w:r>
        <w:t>NFR-PERF-01: Resume Parsing &amp; Ranking Latency SLO [Performance]</w:t>
      </w:r>
    </w:p>
    <w:p>
      <w:r>
        <w:t>Description: The system shall meet latency SLO: Single resume parsing must be under 1.5s (95th percentile) and batch upload of 100 resumes must complete within 30 seconds..</w:t>
      </w:r>
    </w:p>
    <w:p>
      <w:r>
        <w:t>Target Metric / SLO: Single resume parsing must be under 1.5s (95th percentile) and batch upload of 100 resumes must complete within 30 seconds.</w:t>
      </w:r>
    </w:p>
    <w:p>
      <w:r>
        <w:t>Verification Method: Automated Load Benchmark (k6/Locust) &amp; Datadog APM Tracing</w:t>
      </w:r>
    </w:p>
    <w:p>
      <w:pPr>
        <w:pStyle w:val="Heading2"/>
      </w:pPr>
      <w:r>
        <w:t>NFR-FAIR-01: Demographic Fairness &amp; Disparate Impact Compliance [Fairness]</w:t>
      </w:r>
    </w:p>
    <w:p>
      <w:r>
        <w:t>Description: The ranking algorithm shall enforce demographic fairness standard: Disparate impact ratio between 0.80 and 1.25 across gender and college tiers; quarterly fairness audit..</w:t>
      </w:r>
    </w:p>
    <w:p>
      <w:r>
        <w:t>Target Metric / SLO: Disparate impact ratio between 0.80 and 1.25 across gender and college tiers; quarterly fairness audit.</w:t>
      </w:r>
    </w:p>
    <w:p>
      <w:r>
        <w:t>Verification Method: Automated Fairness Audit Suite (AIF360/Fairlearn) &amp; PII Redaction Test</w:t>
      </w:r>
    </w:p>
    <w:p>
      <w:pPr>
        <w:pStyle w:val="Heading2"/>
      </w:pPr>
      <w:r>
        <w:t>NFR-ACC-01: Candidate Matching Accuracy &amp; HR Trust Benchmark [Accuracy]</w:t>
      </w:r>
    </w:p>
    <w:p>
      <w:r>
        <w:t>Description: The candidate shortlisting model shall achieve accuracy benchmark: Top-10 candidate precision &gt;= 85% and NDCG@10 &gt;= 0.82 evaluated against consensus of 3 senior recruiters..</w:t>
      </w:r>
    </w:p>
    <w:p>
      <w:r>
        <w:t>Target Metric / SLO: Top-10 candidate precision &gt;= 85% and NDCG@10 &gt;= 0.82 evaluated against consensus of 3 senior recruiters.</w:t>
      </w:r>
    </w:p>
    <w:p>
      <w:r>
        <w:t>Verification Method: Offline Evaluation Benchmark &amp; Human Recruiter Ground-Truth Test Set</w:t>
      </w:r>
    </w:p>
    <w:p>
      <w:pPr>
        <w:pStyle w:val="Heading2"/>
      </w:pPr>
      <w:r>
        <w:t>NFR-SCOPE-01: Committed MVP Release Milestone [Scope]</w:t>
      </w:r>
    </w:p>
    <w:p>
      <w:r>
        <w:t>Description: The project engineering team shall deliver the validated MVP deliverable compliant with: 4-week MVP deliverable covering ingestion, JD matching, top-10 ranking, and scorecard export..</w:t>
      </w:r>
    </w:p>
    <w:p>
      <w:r>
        <w:t>Target Metric / SLO: 4-week MVP deliverable covering ingestion, JD matching, top-10 ranking, and scorecard export.</w:t>
      </w:r>
    </w:p>
    <w:p>
      <w:r>
        <w:t>Verification Method: Sprint Milestone Verification &amp; Release Checklist Sign-off</w:t>
      </w:r>
    </w:p>
    <w:p>
      <w:pPr>
        <w:pStyle w:val="Heading2"/>
      </w:pPr>
      <w:r>
        <w:t>NFR-SEC-01: Candidate PII Protection &amp; Data Privacy [Security]</w:t>
      </w:r>
    </w:p>
    <w:p>
      <w:r>
        <w:t>Description: Candidate personally identifiable information (PII) must be stored with AES-256 encryption at rest and TLS 1.3 in transit.</w:t>
      </w:r>
    </w:p>
    <w:p>
      <w:r>
        <w:t>Target Metric / SLO: AES-256 encryption at rest, TLS 1.3 in transit, GDPR Article 32 compliant</w:t>
      </w:r>
    </w:p>
    <w:p>
      <w:r>
        <w:t>Verification Method: Automated Security &amp; Encryption Audit</w:t>
      </w:r>
    </w:p>
    <w:p>
      <w:pPr>
        <w:pStyle w:val="Heading2"/>
      </w:pPr>
      <w:r>
        <w:t>NFR-USAB-01: Recruiter Interface Usability Benchmark [Usability]</w:t>
      </w:r>
    </w:p>
    <w:p>
      <w:r>
        <w:t>Description: The recruiter dashboard interface shall achieve System Usability Scale (SUS) score &gt;= 80.0.</w:t>
      </w:r>
    </w:p>
    <w:p>
      <w:r>
        <w:t>Target Metric / SLO: System Usability Scale (SUS) &gt;= 80.0</w:t>
      </w:r>
    </w:p>
    <w:p>
      <w:r>
        <w:t>Verification Method: User Usability Testing</w:t>
      </w:r>
    </w:p>
    <w:p>
      <w:pPr>
        <w:pStyle w:val="Heading1"/>
      </w:pPr>
      <w:r>
        <w:t>5. Quality Comparison Audit Matrix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Quality Dimension</w:t>
            </w:r>
          </w:p>
        </w:tc>
        <w:tc>
          <w:tcPr>
            <w:tcW w:type="dxa" w:w="2160"/>
          </w:tcPr>
          <w:p>
            <w:r>
              <w:t>Without Clarification</w:t>
            </w:r>
          </w:p>
        </w:tc>
        <w:tc>
          <w:tcPr>
            <w:tcW w:type="dxa" w:w="2160"/>
          </w:tcPr>
          <w:p>
            <w:r>
              <w:t>With Clarification</w:t>
            </w:r>
          </w:p>
        </w:tc>
        <w:tc>
          <w:tcPr>
            <w:tcW w:type="dxa" w:w="2160"/>
          </w:tcPr>
          <w:p>
            <w:r>
              <w:t>Improvement</w:t>
            </w:r>
          </w:p>
        </w:tc>
      </w:tr>
      <w:tr>
        <w:tc>
          <w:tcPr>
            <w:tcW w:type="dxa" w:w="2160"/>
          </w:tcPr>
          <w:p>
            <w:r>
              <w:t>Overall Quality Index</w:t>
            </w:r>
          </w:p>
        </w:tc>
        <w:tc>
          <w:tcPr>
            <w:tcW w:type="dxa" w:w="2160"/>
          </w:tcPr>
          <w:p>
            <w:r>
              <w:t>8/100</w:t>
            </w:r>
          </w:p>
        </w:tc>
        <w:tc>
          <w:tcPr>
            <w:tcW w:type="dxa" w:w="2160"/>
          </w:tcPr>
          <w:p>
            <w:r>
              <w:t>96/100</w:t>
            </w:r>
          </w:p>
        </w:tc>
        <w:tc>
          <w:tcPr>
            <w:tcW w:type="dxa" w:w="2160"/>
          </w:tcPr>
          <w:p>
            <w:r>
              <w:t>+88 pts</w:t>
            </w:r>
          </w:p>
        </w:tc>
      </w:tr>
      <w:tr>
        <w:tc>
          <w:tcPr>
            <w:tcW w:type="dxa" w:w="2160"/>
          </w:tcPr>
          <w:p>
            <w:r>
              <w:t>Ambiguity Score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-100%</w:t>
            </w:r>
          </w:p>
        </w:tc>
      </w:tr>
      <w:tr>
        <w:tc>
          <w:tcPr>
            <w:tcW w:type="dxa" w:w="2160"/>
          </w:tcPr>
          <w:p>
            <w:r>
              <w:t>Testability &amp; Verifiability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+100%</w:t>
            </w:r>
          </w:p>
        </w:tc>
      </w:tr>
      <w:tr>
        <w:tc>
          <w:tcPr>
            <w:tcW w:type="dxa" w:w="2160"/>
          </w:tcPr>
          <w:p>
            <w:r>
              <w:t>Completeness Coverage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+100%</w:t>
            </w:r>
          </w:p>
        </w:tc>
      </w:tr>
      <w:tr>
        <w:tc>
          <w:tcPr>
            <w:tcW w:type="dxa" w:w="2160"/>
          </w:tcPr>
          <w:p>
            <w:r>
              <w:t>Specificity &amp; Measurability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90%</w:t>
            </w:r>
          </w:p>
        </w:tc>
        <w:tc>
          <w:tcPr>
            <w:tcW w:type="dxa" w:w="2160"/>
          </w:tcPr>
          <w:p>
            <w:r>
              <w:t>+90%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