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Machine learning-enabled digital twins for diagnostic and therapeutic purposes</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Neel Shah</w:t>
      </w:r>
      <w:r w:rsidDel="00000000" w:rsidR="00000000" w:rsidRPr="00000000">
        <w:rPr>
          <w:rFonts w:ascii="Times New Roman" w:cs="Times New Roman" w:eastAsia="Times New Roman" w:hAnsi="Times New Roman"/>
          <w:i w:val="1"/>
          <w:sz w:val="20"/>
          <w:szCs w:val="20"/>
          <w:vertAlign w:val="superscript"/>
          <w:rtl w:val="0"/>
        </w:rPr>
        <w:t xml:space="preserve">1</w:t>
      </w:r>
      <w:r w:rsidDel="00000000" w:rsidR="00000000" w:rsidRPr="00000000">
        <w:rPr>
          <w:rFonts w:ascii="Times New Roman" w:cs="Times New Roman" w:eastAsia="Times New Roman" w:hAnsi="Times New Roman"/>
          <w:i w:val="1"/>
          <w:sz w:val="20"/>
          <w:szCs w:val="20"/>
          <w:rtl w:val="0"/>
        </w:rPr>
        <w:t xml:space="preserve">, Jayansh Nagar</w:t>
      </w:r>
      <w:r w:rsidDel="00000000" w:rsidR="00000000" w:rsidRPr="00000000">
        <w:rPr>
          <w:rFonts w:ascii="Times New Roman" w:cs="Times New Roman" w:eastAsia="Times New Roman" w:hAnsi="Times New Roman"/>
          <w:i w:val="1"/>
          <w:sz w:val="20"/>
          <w:szCs w:val="20"/>
          <w:vertAlign w:val="superscript"/>
          <w:rtl w:val="0"/>
        </w:rPr>
        <w:t xml:space="preserve">2</w:t>
      </w:r>
      <w:r w:rsidDel="00000000" w:rsidR="00000000" w:rsidRPr="00000000">
        <w:rPr>
          <w:rFonts w:ascii="Times New Roman" w:cs="Times New Roman" w:eastAsia="Times New Roman" w:hAnsi="Times New Roman"/>
          <w:i w:val="1"/>
          <w:sz w:val="20"/>
          <w:szCs w:val="20"/>
          <w:rtl w:val="0"/>
        </w:rPr>
        <w:t xml:space="preserve"> and Dr. Nirav Bhatt</w:t>
      </w:r>
      <w:r w:rsidDel="00000000" w:rsidR="00000000" w:rsidRPr="00000000">
        <w:rPr>
          <w:rFonts w:ascii="Times New Roman" w:cs="Times New Roman" w:eastAsia="Times New Roman" w:hAnsi="Times New Roman"/>
          <w:i w:val="1"/>
          <w:sz w:val="20"/>
          <w:szCs w:val="20"/>
          <w:vertAlign w:val="superscript"/>
          <w:rtl w:val="0"/>
        </w:rPr>
        <w:t xml:space="preserve">3</w:t>
      </w: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vertAlign w:val="superscript"/>
          <w:rtl w:val="0"/>
        </w:rPr>
        <w:t xml:space="preserve">1-3</w:t>
      </w:r>
      <w:r w:rsidDel="00000000" w:rsidR="00000000" w:rsidRPr="00000000">
        <w:rPr>
          <w:rFonts w:ascii="Times New Roman" w:cs="Times New Roman" w:eastAsia="Times New Roman" w:hAnsi="Times New Roman"/>
          <w:i w:val="1"/>
          <w:sz w:val="18"/>
          <w:szCs w:val="18"/>
          <w:rtl w:val="0"/>
        </w:rPr>
        <w:t xml:space="preserve">Department of Artificial Intelligence And Machine Learning, Chandubhai S. Patel Institute of Technology, CHARUSAT University, Changa, India</w:t>
      </w:r>
    </w:p>
    <w:p w:rsidR="00000000" w:rsidDel="00000000" w:rsidP="00000000" w:rsidRDefault="00000000" w:rsidRPr="00000000" w14:paraId="00000006">
      <w:pPr>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Email: </w:t>
      </w:r>
      <w:hyperlink r:id="rId7">
        <w:r w:rsidDel="00000000" w:rsidR="00000000" w:rsidRPr="00000000">
          <w:rPr>
            <w:rFonts w:ascii="Times New Roman" w:cs="Times New Roman" w:eastAsia="Times New Roman" w:hAnsi="Times New Roman"/>
            <w:i w:val="1"/>
            <w:color w:val="0000ff"/>
            <w:sz w:val="18"/>
            <w:szCs w:val="18"/>
            <w:u w:val="single"/>
            <w:rtl w:val="0"/>
          </w:rPr>
          <w:t xml:space="preserve">neeldevenshah@gmail.com</w:t>
        </w:r>
      </w:hyperlink>
      <w:r w:rsidDel="00000000" w:rsidR="00000000" w:rsidRPr="00000000">
        <w:rPr>
          <w:rFonts w:ascii="Times New Roman" w:cs="Times New Roman" w:eastAsia="Times New Roman" w:hAnsi="Times New Roman"/>
          <w:i w:val="1"/>
          <w:sz w:val="18"/>
          <w:szCs w:val="18"/>
          <w:rtl w:val="0"/>
        </w:rPr>
        <w:t xml:space="preserve">, </w:t>
      </w:r>
      <w:hyperlink r:id="rId8">
        <w:r w:rsidDel="00000000" w:rsidR="00000000" w:rsidRPr="00000000">
          <w:rPr>
            <w:rFonts w:ascii="Times New Roman" w:cs="Times New Roman" w:eastAsia="Times New Roman" w:hAnsi="Times New Roman"/>
            <w:i w:val="1"/>
            <w:color w:val="1155cc"/>
            <w:sz w:val="18"/>
            <w:szCs w:val="18"/>
            <w:u w:val="single"/>
            <w:rtl w:val="0"/>
          </w:rPr>
          <w:t xml:space="preserve">jayanshnagar@gmail.com</w:t>
        </w:r>
      </w:hyperlink>
      <w:r w:rsidDel="00000000" w:rsidR="00000000" w:rsidRPr="00000000">
        <w:rPr>
          <w:rFonts w:ascii="Times New Roman" w:cs="Times New Roman" w:eastAsia="Times New Roman" w:hAnsi="Times New Roman"/>
          <w:i w:val="1"/>
          <w:sz w:val="18"/>
          <w:szCs w:val="18"/>
          <w:rtl w:val="0"/>
        </w:rPr>
        <w:t xml:space="preserve">, </w:t>
      </w:r>
      <w:hyperlink r:id="rId9">
        <w:r w:rsidDel="00000000" w:rsidR="00000000" w:rsidRPr="00000000">
          <w:rPr>
            <w:rFonts w:ascii="Times New Roman" w:cs="Times New Roman" w:eastAsia="Times New Roman" w:hAnsi="Times New Roman"/>
            <w:i w:val="1"/>
            <w:color w:val="0000ff"/>
            <w:sz w:val="18"/>
            <w:szCs w:val="18"/>
            <w:u w:val="single"/>
            <w:rtl w:val="0"/>
          </w:rPr>
          <w:t xml:space="preserve">niravbhatt.it@charusat.ac.in</w:t>
        </w:r>
      </w:hyperlink>
      <w:r w:rsidDel="00000000" w:rsidR="00000000" w:rsidRPr="00000000">
        <w:rPr>
          <w:rtl w:val="0"/>
        </w:rPr>
      </w:r>
    </w:p>
    <w:p w:rsidR="00000000" w:rsidDel="00000000" w:rsidP="00000000" w:rsidRDefault="00000000" w:rsidRPr="00000000" w14:paraId="00000007">
      <w:pPr>
        <w:spacing w:after="120" w:before="120" w:lineRule="auto"/>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8">
      <w:pPr>
        <w:spacing w:after="120" w:before="12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Abstract — </w:t>
      </w:r>
      <w:r w:rsidDel="00000000" w:rsidR="00000000" w:rsidRPr="00000000">
        <w:rPr>
          <w:rFonts w:ascii="Times New Roman" w:cs="Times New Roman" w:eastAsia="Times New Roman" w:hAnsi="Times New Roman"/>
          <w:color w:val="1c1917"/>
          <w:sz w:val="20"/>
          <w:szCs w:val="20"/>
          <w:highlight w:val="white"/>
          <w:rtl w:val="0"/>
        </w:rPr>
        <w:t xml:space="preserve">Digital twins offer virtual representations of patients by integrating diverse data modalities to enable personalized diagnostics and treatments. This chapter explores augmenting patient digital twins with deep learning for enhanced clinical decision support. Beginning with the fundamental concepts around digital twin technology and deep learning techniques, the discussion ranges to the discussion of state-of-the-art digital twins and deep learning models used in the field of diagnostic and therapeutics. Fusing high-fidelity digital profiling with complex pattern recognition using deep neural networks establishes a powerful platform for data-driven precision medicine. This synergistic approach allows for gaining a comprehensive understanding of individual patients for granular risk assessment. Personalized digital twins equipped with deep learning additionally enable the recommendation of optimal therapeutic interventions tailored to the specific needs of each patient. Combining multipartite patient simulations with artificial intelligence offers the next paradigm for preventative and participatory medicine centered around the individual. The immense promise along with technical and regulatory challenges are covered to provide a holistic perspective on this emerging interdisciplinary technology converging human medicine, virtual modeling, and artificial intelligence.</w:t>
      </w:r>
      <w:r w:rsidDel="00000000" w:rsidR="00000000" w:rsidRPr="00000000">
        <w:rPr>
          <w:rtl w:val="0"/>
        </w:rPr>
      </w:r>
    </w:p>
    <w:p w:rsidR="00000000" w:rsidDel="00000000" w:rsidP="00000000" w:rsidRDefault="00000000" w:rsidRPr="00000000" w14:paraId="00000009">
      <w:pPr>
        <w:spacing w:after="120" w:before="120" w:lineRule="auto"/>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A">
      <w:pPr>
        <w:spacing w:after="120" w:before="12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Keywords — Artificial Intelligence, Digital Twins, Healthcare, Medicine, Diagnostic, Therapeutic</w:t>
      </w:r>
    </w:p>
    <w:p w:rsidR="00000000" w:rsidDel="00000000" w:rsidP="00000000" w:rsidRDefault="00000000" w:rsidRPr="00000000" w14:paraId="0000000B">
      <w:pPr>
        <w:spacing w:after="115" w:before="245"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C">
      <w:pPr>
        <w:spacing w:after="115" w:before="245" w:line="240" w:lineRule="auto"/>
        <w:rPr>
          <w:rFonts w:ascii="Times New Roman" w:cs="Times New Roman" w:eastAsia="Times New Roman" w:hAnsi="Times New Roman"/>
          <w:smallCaps w:val="1"/>
          <w:sz w:val="16"/>
          <w:szCs w:val="16"/>
        </w:rPr>
      </w:pPr>
      <w:r w:rsidDel="00000000" w:rsidR="00000000" w:rsidRPr="00000000">
        <w:rPr>
          <w:rFonts w:ascii="Times New Roman" w:cs="Times New Roman" w:eastAsia="Times New Roman" w:hAnsi="Times New Roman"/>
          <w:smallCaps w:val="1"/>
          <w:sz w:val="20"/>
          <w:szCs w:val="20"/>
          <w:rtl w:val="0"/>
        </w:rPr>
        <w:t xml:space="preserve">1. I</w:t>
      </w:r>
      <w:r w:rsidDel="00000000" w:rsidR="00000000" w:rsidRPr="00000000">
        <w:rPr>
          <w:rFonts w:ascii="Times New Roman" w:cs="Times New Roman" w:eastAsia="Times New Roman" w:hAnsi="Times New Roman"/>
          <w:smallCaps w:val="1"/>
          <w:sz w:val="16"/>
          <w:szCs w:val="16"/>
          <w:rtl w:val="0"/>
        </w:rPr>
        <w:t xml:space="preserve">NTRODUCTION</w:t>
      </w:r>
    </w:p>
    <w:p w:rsidR="00000000" w:rsidDel="00000000" w:rsidP="00000000" w:rsidRDefault="00000000" w:rsidRPr="00000000" w14:paraId="0000000D">
      <w:pPr>
        <w:spacing w:after="120" w:befor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Healthcare is entering an era where abundant biomedical data plays an increasingly important role. Precision medicine, for example, attempts to “ensure that the right treatment is given to the right patient at the right time” by taking into account molecular characteristics, environment, health records, and lifestyle of each patient. However, generating actionable insights and knowledge from high-dimensional, complex, and heterogeneous biomedical data remains a major challenge in healthcare reform.</w:t>
      </w:r>
    </w:p>
    <w:p w:rsidR="00000000" w:rsidDel="00000000" w:rsidP="00000000" w:rsidRDefault="00000000" w:rsidRPr="00000000" w14:paraId="0000000E">
      <w:pPr>
        <w:spacing w:after="120" w:before="12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F">
      <w:pPr>
        <w:spacing w:after="120" w:befor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modern biomedical research, complex, heterogeneous, sparse, and generally unstructured electronic health records have emerged with a variety of data modalities, including imaging, sensor data, and text. Traditional statistical learning approaches, such as data mining and machine learning, usually require extensive data preprocessing and feature engineering to extract effective and reliable features, followed by building predictive models on the engineered features. Both steps entail many challenges in complex real-world data scenarios, especially with lack of sufficient domain knowledge.</w:t>
      </w:r>
    </w:p>
    <w:p w:rsidR="00000000" w:rsidDel="00000000" w:rsidP="00000000" w:rsidRDefault="00000000" w:rsidRPr="00000000" w14:paraId="00000010">
      <w:pPr>
        <w:spacing w:after="120" w:before="12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1">
      <w:pPr>
        <w:spacing w:after="120" w:befor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Deep learning a subset of machine learning has the potential to address many of these challenges and enable new possibilities for biomedical data analysis. In particular, deep learning allows end-to-end learning schemes and automatic complex feature representation learning directly from raw data, without the need for explicit data preprocessing or feature crafting. Deep learning models composed of multiple layers of information processing can automatically learn hierarchical representations and patterns in the data. With sufficient model complexity and data, deep learning has been shown to uncover intricate structures in large data sets using backpropagation to incrementally change its internal parameters.</w:t>
      </w:r>
    </w:p>
    <w:p w:rsidR="00000000" w:rsidDel="00000000" w:rsidP="00000000" w:rsidRDefault="00000000" w:rsidRPr="00000000" w14:paraId="00000012">
      <w:pPr>
        <w:spacing w:after="120" w:before="12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3">
      <w:pPr>
        <w:spacing w:after="120" w:befor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healthcare, deep learning has shown promising results across various applications, including medical imaging, electronic health records, genomics, and drug discovery. In medical imaging, deep learning can accurately detect abnormalities and diseases from imaging modalities like X-rays, CT scans, and MRI images. Deep learning natural language processing can extract insights from unstructured clinical notes and identify risk factors from lengthy patient histories. In genomics and pharmaceuticals, deep learning enables efficient analysis of large genetic and molecular datasets to help develop personalized medicine and accelerate drug discovery.</w:t>
      </w:r>
    </w:p>
    <w:p w:rsidR="00000000" w:rsidDel="00000000" w:rsidP="00000000" w:rsidRDefault="00000000" w:rsidRPr="00000000" w14:paraId="00000014">
      <w:pPr>
        <w:spacing w:after="120" w:before="12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spacing w:after="120" w:befor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However, there are still many open challenges in applying deep learning for healthcare. These include handling missing and inaccurate data in real-world records, ensuring patient data security and privacy regulations are met, explaining the predictions and decisions of complex deep learning models to doctors and patients, and continuously updating models to keep pace with evolving medical knowledge and maintain predictive accuracy over time. Designing solutions that are scalable to large healthcare systems with resource constraints is also essential for real clinical adoption and impact.</w:t>
      </w:r>
    </w:p>
    <w:p w:rsidR="00000000" w:rsidDel="00000000" w:rsidP="00000000" w:rsidRDefault="00000000" w:rsidRPr="00000000" w14:paraId="00000016">
      <w:pPr>
        <w:spacing w:after="120" w:before="12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spacing w:after="120" w:befor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chapter will explore the different conceptions, advancements in recent times, working, state-of-the-art technologies, challenges, and opportunities of digital twins and machine learning(including it’s types) for diagnostic and therapeutic purposes. We will begin by discussing the different conceptions that are related to digital twins and deep learning. We will then examine the advancements that these technologies offer, followed by the state-of-the-art models that we used in the industry of the diagnostic and therapeutic process. Finally, we will conclude by discussing the challenges and opportunities related to the modern diagnostic and therapeutic process.</w:t>
      </w:r>
    </w:p>
    <w:p w:rsidR="00000000" w:rsidDel="00000000" w:rsidP="00000000" w:rsidRDefault="00000000" w:rsidRPr="00000000" w14:paraId="00000018">
      <w:pPr>
        <w:spacing w:after="115" w:before="245" w:line="240" w:lineRule="auto"/>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2.1 Digital Twins</w:t>
      </w:r>
    </w:p>
    <w:p w:rsidR="00000000" w:rsidDel="00000000" w:rsidP="00000000" w:rsidRDefault="00000000" w:rsidRPr="00000000" w14:paraId="00000019">
      <w:pPr>
        <w:spacing w:after="120" w:befor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"digital twin" refers to a virtual replica of a physical asset or system that is used to understand and optimize its functions throughout its life cycle. Digital twins are intricate computer models that leverage real-time data and other information sources to enable continuous learning, reasoning, and dynamic recalibration of the system being represented. In essence, digital twins serve as living digital profiles that can be continually modified, updated, and refined to mirror changes in their real-world counterparts.</w:t>
      </w:r>
    </w:p>
    <w:p w:rsidR="00000000" w:rsidDel="00000000" w:rsidP="00000000" w:rsidRDefault="00000000" w:rsidRPr="00000000" w14:paraId="0000001A">
      <w:pPr>
        <w:spacing w:after="120" w:before="12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B">
      <w:pPr>
        <w:spacing w:after="120" w:befor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healthcare, digital twins hold tremendous potential across the entire spectrum of applications, from basic research to clinical practice and public health. Digital twins of individual patients, for instance, can assimilate multi-modal health data including medical images, genetics, electronic health records, and wearable device outputs. Advanced simulation of an individual’s biological processes, combined with machine learning and reasoning on pertinent available data, allows patient digital twins to serve as platforms for conducting virtual clinical trials, predicting future health trajectories, and optimizing interventions in a testbed environment with minimized risks. Beyond the individual level, digital twins can also be created for larger scale healthcare ecosystems like hospitals, cities, and entire populations. Here the focus shifts from personalization to holistic optimization of resource allocation, process enhancement, and policy planning leveraging system-wide vantage.</w:t>
      </w:r>
    </w:p>
    <w:p w:rsidR="00000000" w:rsidDel="00000000" w:rsidP="00000000" w:rsidRDefault="00000000" w:rsidRPr="00000000" w14:paraId="0000001C">
      <w:pPr>
        <w:spacing w:after="120" w:before="12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D">
      <w:pPr>
        <w:spacing w:after="120" w:befor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major competitive advantage of digital twins in driving healthcare transformation, compared to traditional analytical approaches, is their ability to uncover hidden insights through high-fidelity emulation combined with modern artificial intelligence. The innate support for continuously recording, monitoring, and controlling the digital profile as new data emerges allows digital twins to leap beyond static analysis. Predictive and prescriptive techniques powered by AI on this dynamic foundation opens endless possibilities for forecasting risk events, preemptively identifying failures and complications, testing potential solutions ahead of time, and enabling self-correcting mechanisms without real-world perturbation. In effect, digital twins elevate healthcare from reactive fire-fighting to scientifically grounded preventative care.</w:t>
      </w:r>
    </w:p>
    <w:p w:rsidR="00000000" w:rsidDel="00000000" w:rsidP="00000000" w:rsidRDefault="00000000" w:rsidRPr="00000000" w14:paraId="0000001E">
      <w:pPr>
        <w:spacing w:after="120" w:before="12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F">
      <w:pPr>
        <w:spacing w:after="120" w:befor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Concretely, numerous promising use cases and early successes of healthcare digital twins are already emerging across preventative and precision medicine. Digital therapeutics integrate patient twin profiles with AI-based interventions for data-driven disease management and lifestyle coaching. Digital twins show immense potential in expediting pharmaceutical research, enabling in-silico virtual drug trials with iterable experimentation. Surgical training and assistance can be augmented via digital twins simulating personalized anatomical models reconstructed from medical imaging along with customizable scenarios.</w:t>
      </w:r>
    </w:p>
    <w:p w:rsidR="00000000" w:rsidDel="00000000" w:rsidP="00000000" w:rsidRDefault="00000000" w:rsidRPr="00000000" w14:paraId="00000020">
      <w:pPr>
        <w:spacing w:after="115" w:before="245" w:line="240" w:lineRule="auto"/>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2.1.1 Working Of The Digital Twins</w:t>
      </w:r>
    </w:p>
    <w:p w:rsidR="00000000" w:rsidDel="00000000" w:rsidP="00000000" w:rsidRDefault="00000000" w:rsidRPr="00000000" w14:paraId="00000021">
      <w:pPr>
        <w:spacing w:after="120" w:before="12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2">
      <w:pPr>
        <w:spacing w:after="120" w:befor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concept of the digital twin (DT) was originally promoted by Tuegel et al. [20]. Other researchers such as [36] and [10] have proposed using DT as a "virtual sensor" to predict the lifetime of an aircraft structure and ensure structural integrity. This previous research has led to the definition of the DT airframe, which is a computational model of individual aircraft. As suggested by [1], these individualized models have the potential to improve aircraft management throughout their life cycle by enabling configuration checks through simulation and by acting as a virtual health monitor to predict future maintenance needs for each plane.</w:t>
      </w:r>
    </w:p>
    <w:p w:rsidR="00000000" w:rsidDel="00000000" w:rsidP="00000000" w:rsidRDefault="00000000" w:rsidRPr="00000000" w14:paraId="00000023">
      <w:pPr>
        <w:spacing w:after="120" w:before="12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4">
      <w:pPr>
        <w:spacing w:after="120" w:befor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 is important to understand that while a digital twin is an intelligent system, it is not necessarily completely autonomous [1]. Indeed, AI-based applications and digital twins continue to be widely used by many people, specifically in scenarios that require intervention to test new features, change physical properties, or provide answers such as diagnosis or treatment. DT technology includes continuous advances in artificial intelligence. It refers to unsupervised and supervised learning algorithms whose predictive competencies are refined by processing continuous sensory data obtained from physical twins and their encircled environment. This virtual mind uses predictive, descriptive, and prescriptive algorithms to carry out a sequence of tasks as a brilliant product [1].</w:t>
      </w:r>
    </w:p>
    <w:p w:rsidR="00000000" w:rsidDel="00000000" w:rsidP="00000000" w:rsidRDefault="00000000" w:rsidRPr="00000000" w14:paraId="00000025">
      <w:pPr>
        <w:spacing w:after="120" w:before="12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6">
      <w:pPr>
        <w:spacing w:after="120" w:befor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There are mainly three types of digital twins [2]:</w:t>
      </w:r>
    </w:p>
    <w:p w:rsidR="00000000" w:rsidDel="00000000" w:rsidP="00000000" w:rsidRDefault="00000000" w:rsidRPr="00000000" w14:paraId="00000027">
      <w:pPr>
        <w:spacing w:after="120" w:before="12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8">
      <w:pPr>
        <w:spacing w:after="120" w:before="12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Product twinning: It provides a virtual physical connection to analyze how a product performs under various conditions and make adjustments in the virtual world to ensure that the physical product will perform exactly as planned in the field.</w:t>
      </w:r>
    </w:p>
    <w:p w:rsidR="00000000" w:rsidDel="00000000" w:rsidP="00000000" w:rsidRDefault="00000000" w:rsidRPr="00000000" w14:paraId="00000029">
      <w:pPr>
        <w:spacing w:after="120" w:before="12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Process twinning: It is used to improve processes and workflows by allowing managers to tweak inputs and see how outputs are affected without the risk of upending existing workflows.</w:t>
      </w:r>
    </w:p>
    <w:p w:rsidR="00000000" w:rsidDel="00000000" w:rsidP="00000000" w:rsidRDefault="00000000" w:rsidRPr="00000000" w14:paraId="0000002A">
      <w:pPr>
        <w:spacing w:after="120" w:before="12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 System or performance digital twins: It capture, analyze, and act on operational data, providing insights for informed decisions to maintain effective interactions among the components of the system at the system level.</w:t>
      </w:r>
    </w:p>
    <w:p w:rsidR="00000000" w:rsidDel="00000000" w:rsidP="00000000" w:rsidRDefault="00000000" w:rsidRPr="00000000" w14:paraId="0000002B">
      <w:pPr>
        <w:spacing w:after="120" w:before="12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C">
      <w:pPr>
        <w:spacing w:after="120" w:befor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There are three forms of transmission channels that should be anticipated for digital twins [1]:</w:t>
      </w:r>
    </w:p>
    <w:p w:rsidR="00000000" w:rsidDel="00000000" w:rsidP="00000000" w:rsidRDefault="00000000" w:rsidRPr="00000000" w14:paraId="0000002D">
      <w:pPr>
        <w:spacing w:after="120" w:before="12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Among physical and virtual twins</w:t>
      </w:r>
    </w:p>
    <w:p w:rsidR="00000000" w:rsidDel="00000000" w:rsidP="00000000" w:rsidRDefault="00000000" w:rsidRPr="00000000" w14:paraId="0000002E">
      <w:pPr>
        <w:spacing w:after="120" w:before="12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Among ambient DT and isolated DT</w:t>
      </w:r>
    </w:p>
    <w:p w:rsidR="00000000" w:rsidDel="00000000" w:rsidP="00000000" w:rsidRDefault="00000000" w:rsidRPr="00000000" w14:paraId="0000002F">
      <w:pPr>
        <w:spacing w:after="120" w:before="12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 Among the DT and the domain specialists who engage with and control the DT</w:t>
      </w:r>
    </w:p>
    <w:p w:rsidR="00000000" w:rsidDel="00000000" w:rsidP="00000000" w:rsidRDefault="00000000" w:rsidRPr="00000000" w14:paraId="00000030">
      <w:pPr>
        <w:spacing w:after="120" w:before="12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1">
      <w:pPr>
        <w:pBdr>
          <w:top w:color="1c1917" w:space="0" w:sz="0" w:val="none"/>
          <w:left w:color="1c1917" w:space="0" w:sz="0" w:val="none"/>
          <w:bottom w:color="1c1917" w:space="0" w:sz="0" w:val="none"/>
          <w:right w:color="1c1917" w:space="0" w:sz="0" w:val="none"/>
          <w:between w:color="1c1917" w:space="0" w:sz="0" w:val="none"/>
        </w:pBdr>
        <w:shd w:fill="ffffff" w:val="clear"/>
        <w:ind w:left="1440"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1c1917"/>
          <w:sz w:val="20"/>
          <w:szCs w:val="20"/>
          <w:rtl w:val="0"/>
        </w:rPr>
        <w:t xml:space="preserve">&lt;An figure related to the digital twin to be added&gt;</w:t>
      </w:r>
      <w:r w:rsidDel="00000000" w:rsidR="00000000" w:rsidRPr="00000000">
        <w:rPr>
          <w:rtl w:val="0"/>
        </w:rPr>
      </w:r>
    </w:p>
    <w:p w:rsidR="00000000" w:rsidDel="00000000" w:rsidP="00000000" w:rsidRDefault="00000000" w:rsidRPr="00000000" w14:paraId="00000032">
      <w:pPr>
        <w:spacing w:after="120" w:before="12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3">
      <w:pPr>
        <w:spacing w:after="120" w:befor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According to [1], the data exchanged between a physical asset and digital twin needs to be stored on a data storage machine to ensure easy accessibility. In addition to dynamic data reflecting current conditions, this storage contains historical data that mirrors the physical twin's memory and records of past specialist and operational data. It also stores descriptive static data documenting essential, time-invariant characteristics of the physical twin. Overall, compiled data storage enables the digital twin model to reflect both the present state and cumulative historical profile of its corresponding physical twin.</w:t>
      </w:r>
    </w:p>
    <w:p w:rsidR="00000000" w:rsidDel="00000000" w:rsidP="00000000" w:rsidRDefault="00000000" w:rsidRPr="00000000" w14:paraId="00000034">
      <w:pPr>
        <w:spacing w:after="120" w:before="12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5">
      <w:pPr>
        <w:spacing w:after="120" w:befor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Digital twins possess abilities in self-adaptation and self-parameterization, enabling them to mimic physical twins throughout their lifecycle [7], [8]. To facilitate this resemblance, digital twins are designed in a highly parameterized and modular manner. As [8] describes, modularity isolates changes within modules to avoid widespread effects, while parameterization enables adaptable adjustments to the digital twin. Additionally, handling the high-dimensional data involved necessitates powerful decoding and analytics techniques. Data fusion algorithms, superior to those of individual sources, allow the integration of multiple data inputs to yield enhanced information quality and utility.</w:t>
      </w:r>
    </w:p>
    <w:p w:rsidR="00000000" w:rsidDel="00000000" w:rsidP="00000000" w:rsidRDefault="00000000" w:rsidRPr="00000000" w14:paraId="00000036">
      <w:pPr>
        <w:spacing w:after="120" w:before="12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7">
      <w:pPr>
        <w:spacing w:after="120" w:befor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Digital twins utilize predictive analytics techniques [11], [12] to forecast future states and upcoming needs like potential failures over a product's lifecycle. Building on predictive outputs, prescriptive analytics [13] then suggests applicable actions or alternatives given complex objectives, requirements, and limitations. As [35] notes, optimization algorithms enable identification of optimal solutions while accounting for data uncertainty. Beyond predictive and prescriptive functionalities, digital twins also encode the resulting prescriptions and optimization schemes using appropriate methodologies to represent high-dimensional characteristics. This encoding facilitates feedback sharing with both the physical twin and other nearby digital twins. Additionally, the interactive interface allows intended users to leverage the generated insights and monitor the digital twin's status.</w:t>
      </w:r>
    </w:p>
    <w:p w:rsidR="00000000" w:rsidDel="00000000" w:rsidP="00000000" w:rsidRDefault="00000000" w:rsidRPr="00000000" w14:paraId="00000038">
      <w:pPr>
        <w:spacing w:after="120" w:before="12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9">
      <w:pPr>
        <w:spacing w:after="120" w:befor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Ref. [1] describes two possible DT life cycles, from their design to their disposal.</w:t>
      </w:r>
    </w:p>
    <w:p w:rsidR="00000000" w:rsidDel="00000000" w:rsidP="00000000" w:rsidRDefault="00000000" w:rsidRPr="00000000" w14:paraId="0000003A">
      <w:pPr>
        <w:spacing w:after="120" w:before="12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first life cycle refers to an entity that does not yet exist, and in this scenario, the design</w:t>
      </w:r>
    </w:p>
    <w:p w:rsidR="00000000" w:rsidDel="00000000" w:rsidP="00000000" w:rsidRDefault="00000000" w:rsidRPr="00000000" w14:paraId="0000003B">
      <w:pPr>
        <w:spacing w:after="120" w:before="12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workflow concurrently creates each of the physical twin and its digital twin.</w:t>
      </w:r>
    </w:p>
    <w:p w:rsidR="00000000" w:rsidDel="00000000" w:rsidP="00000000" w:rsidRDefault="00000000" w:rsidRPr="00000000" w14:paraId="0000003C">
      <w:pPr>
        <w:spacing w:after="120" w:before="12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second lifecycle refers to an entity that already exists but has no DT in place, and in this</w:t>
      </w:r>
    </w:p>
    <w:p w:rsidR="00000000" w:rsidDel="00000000" w:rsidP="00000000" w:rsidRDefault="00000000" w:rsidRPr="00000000" w14:paraId="0000003D">
      <w:pPr>
        <w:spacing w:after="120" w:before="12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scenario, the design workflow focuses on extending the entity to be attached.</w:t>
      </w:r>
    </w:p>
    <w:p w:rsidR="00000000" w:rsidDel="00000000" w:rsidP="00000000" w:rsidRDefault="00000000" w:rsidRPr="00000000" w14:paraId="0000003E">
      <w:pPr>
        <w:spacing w:after="120" w:before="120" w:lineRule="auto"/>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F">
      <w:pPr>
        <w:spacing w:after="120" w:befor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Both life cycles share a common timeline. That is, first the design stage, then the development stage, the exploitation stage, and finally the disposal stage. In this first case, the DT begins to exist earlier than the physical entity as a prototype and is utilized by the designer in the design stage of the prototype entity [1]. At the beginning of the design stage, the prototype is utilized as if it were an actual entity, simulating, testing, modifying, and finally validating the design choices until a satisfactory results is determined. At some stage in this design cycle, designers use the following things:</w:t>
      </w:r>
    </w:p>
    <w:p w:rsidR="00000000" w:rsidDel="00000000" w:rsidP="00000000" w:rsidRDefault="00000000" w:rsidRPr="00000000" w14:paraId="00000040">
      <w:pPr>
        <w:spacing w:after="120" w:before="12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Historical data: The data that prototype obtains from different existing DTs associated with similar</w:t>
      </w:r>
    </w:p>
    <w:p w:rsidR="00000000" w:rsidDel="00000000" w:rsidP="00000000" w:rsidRDefault="00000000" w:rsidRPr="00000000" w14:paraId="00000041">
      <w:pPr>
        <w:spacing w:after="120" w:before="12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entities</w:t>
      </w:r>
    </w:p>
    <w:p w:rsidR="00000000" w:rsidDel="00000000" w:rsidP="00000000" w:rsidRDefault="00000000" w:rsidRPr="00000000" w14:paraId="00000042">
      <w:pPr>
        <w:spacing w:after="120" w:before="12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Static data: The data describing the past state of a DT; information about other connected DTs</w:t>
      </w:r>
    </w:p>
    <w:p w:rsidR="00000000" w:rsidDel="00000000" w:rsidP="00000000" w:rsidRDefault="00000000" w:rsidRPr="00000000" w14:paraId="00000043">
      <w:pPr>
        <w:spacing w:after="120" w:before="12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 The outcomes of simulations performed by the prototype, the prediction results calculated by the</w:t>
      </w:r>
    </w:p>
    <w:p w:rsidR="00000000" w:rsidDel="00000000" w:rsidP="00000000" w:rsidRDefault="00000000" w:rsidRPr="00000000" w14:paraId="00000044">
      <w:pPr>
        <w:spacing w:after="120" w:before="12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prototype, and its recommendations and optimization schema.</w:t>
      </w:r>
    </w:p>
    <w:p w:rsidR="00000000" w:rsidDel="00000000" w:rsidP="00000000" w:rsidRDefault="00000000" w:rsidRPr="00000000" w14:paraId="00000045">
      <w:pPr>
        <w:spacing w:after="120" w:before="12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6">
      <w:pPr>
        <w:spacing w:after="120" w:befor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Once an entity falls out of use due to obsolescence or other factors, the dismantling phase initiates. At this stage, the historical data archived within the product's digital twin is secured and granted to other digital twins and field experts. As such, designers and other specialists can leverage the accrued insights to refine and optimize future device production [1].</w:t>
      </w:r>
    </w:p>
    <w:p w:rsidR="00000000" w:rsidDel="00000000" w:rsidP="00000000" w:rsidRDefault="00000000" w:rsidRPr="00000000" w14:paraId="00000047">
      <w:pPr>
        <w:spacing w:after="120" w:before="12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8">
      <w:pPr>
        <w:spacing w:after="120" w:befor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second scenario differs in that the physical entity has already been deployed yet lacks a corresponding digital twin. Here, the design phase entails engineering new prototypes that undergo testing, refinement and validation procedures. Next, the development stage establishes integrations linking the tangible asset and the emerging digital twin model. Subsequently, during operations the prototype engages real-time monitoring as it mirrors the physical twin over the latter's useful life. Ultimately, the digital embodiment ceases activity upon the asset's decommissioning and dismantling.</w:t>
      </w:r>
    </w:p>
    <w:p w:rsidR="00000000" w:rsidDel="00000000" w:rsidP="00000000" w:rsidRDefault="00000000" w:rsidRPr="00000000" w14:paraId="00000049">
      <w:pPr>
        <w:spacing w:after="115" w:before="245" w:line="240" w:lineRule="auto"/>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2.2 Machine Learning</w:t>
      </w:r>
    </w:p>
    <w:p w:rsidR="00000000" w:rsidDel="00000000" w:rsidP="00000000" w:rsidRDefault="00000000" w:rsidRPr="00000000" w14:paraId="0000004A">
      <w:pPr>
        <w:pBdr>
          <w:top w:color="1c1917" w:space="0" w:sz="0" w:val="none"/>
          <w:left w:color="1c1917" w:space="0" w:sz="0" w:val="none"/>
          <w:bottom w:color="1c1917" w:space="0" w:sz="0" w:val="none"/>
          <w:right w:color="1c1917" w:space="0" w:sz="0" w:val="none"/>
          <w:between w:color="1c1917" w:space="0" w:sz="0" w:val="none"/>
        </w:pBdr>
        <w:shd w:fill="ffffff" w:val="clear"/>
        <w:rPr>
          <w:rFonts w:ascii="Times New Roman" w:cs="Times New Roman" w:eastAsia="Times New Roman" w:hAnsi="Times New Roman"/>
          <w:color w:val="1c1917"/>
          <w:sz w:val="20"/>
          <w:szCs w:val="20"/>
        </w:rPr>
      </w:pPr>
      <w:r w:rsidDel="00000000" w:rsidR="00000000" w:rsidRPr="00000000">
        <w:rPr>
          <w:rtl w:val="0"/>
        </w:rPr>
      </w:r>
    </w:p>
    <w:p w:rsidR="00000000" w:rsidDel="00000000" w:rsidP="00000000" w:rsidRDefault="00000000" w:rsidRPr="00000000" w14:paraId="0000004B">
      <w:pPr>
        <w:pBdr>
          <w:top w:color="1c1917" w:space="0" w:sz="0" w:val="none"/>
          <w:left w:color="1c1917" w:space="0" w:sz="0" w:val="none"/>
          <w:bottom w:color="1c1917" w:space="0" w:sz="0" w:val="none"/>
          <w:right w:color="1c1917" w:space="0" w:sz="0" w:val="none"/>
          <w:between w:color="1c1917" w:space="0" w:sz="0" w:val="none"/>
        </w:pBdr>
        <w:shd w:fill="ffffff" w:val="clear"/>
        <w:rPr>
          <w:rFonts w:ascii="Times New Roman" w:cs="Times New Roman" w:eastAsia="Times New Roman" w:hAnsi="Times New Roman"/>
          <w:color w:val="1c1917"/>
          <w:sz w:val="20"/>
          <w:szCs w:val="20"/>
        </w:rPr>
      </w:pPr>
      <w:r w:rsidDel="00000000" w:rsidR="00000000" w:rsidRPr="00000000">
        <w:rPr>
          <w:rFonts w:ascii="Times New Roman" w:cs="Times New Roman" w:eastAsia="Times New Roman" w:hAnsi="Times New Roman"/>
          <w:color w:val="1c1917"/>
          <w:sz w:val="20"/>
          <w:szCs w:val="20"/>
          <w:rtl w:val="0"/>
        </w:rPr>
        <w:t xml:space="preserve">The analysis of complex physiological data for enhanced diagnostics and therapeutics has been an active area of medical research for decades. Early approaches relied heavily on traditional statistical learning techniques such as regression, clustering, and Bayesian modeling to find patterns in limited datasets. However, these conventional machine learning methods have key limitations around manual feature engineering and model oversimplification that constrain performance in real-world clinical applications involving multivariate, nonlinear data.</w:t>
      </w:r>
    </w:p>
    <w:p w:rsidR="00000000" w:rsidDel="00000000" w:rsidP="00000000" w:rsidRDefault="00000000" w:rsidRPr="00000000" w14:paraId="0000004C">
      <w:pPr>
        <w:pBdr>
          <w:top w:color="1c1917" w:space="0" w:sz="0" w:val="none"/>
          <w:left w:color="1c1917" w:space="0" w:sz="0" w:val="none"/>
          <w:bottom w:color="1c1917" w:space="0" w:sz="0" w:val="none"/>
          <w:right w:color="1c1917" w:space="0" w:sz="0" w:val="none"/>
          <w:between w:color="1c1917" w:space="0" w:sz="0" w:val="none"/>
        </w:pBdr>
        <w:shd w:fill="ffffff" w:val="clear"/>
        <w:rPr>
          <w:rFonts w:ascii="Times New Roman" w:cs="Times New Roman" w:eastAsia="Times New Roman" w:hAnsi="Times New Roman"/>
          <w:color w:val="1c1917"/>
          <w:sz w:val="20"/>
          <w:szCs w:val="20"/>
        </w:rPr>
      </w:pPr>
      <w:r w:rsidDel="00000000" w:rsidR="00000000" w:rsidRPr="00000000">
        <w:rPr>
          <w:rtl w:val="0"/>
        </w:rPr>
      </w:r>
    </w:p>
    <w:p w:rsidR="00000000" w:rsidDel="00000000" w:rsidP="00000000" w:rsidRDefault="00000000" w:rsidRPr="00000000" w14:paraId="0000004D">
      <w:pPr>
        <w:pBdr>
          <w:top w:color="1c1917" w:space="0" w:sz="0" w:val="none"/>
          <w:left w:color="1c1917" w:space="0" w:sz="0" w:val="none"/>
          <w:bottom w:color="1c1917" w:space="0" w:sz="0" w:val="none"/>
          <w:right w:color="1c1917" w:space="0" w:sz="0" w:val="none"/>
          <w:between w:color="1c1917" w:space="0" w:sz="0" w:val="none"/>
        </w:pBdr>
        <w:shd w:fill="ffffff" w:val="clear"/>
        <w:rPr>
          <w:rFonts w:ascii="Times New Roman" w:cs="Times New Roman" w:eastAsia="Times New Roman" w:hAnsi="Times New Roman"/>
          <w:color w:val="1c1917"/>
          <w:sz w:val="20"/>
          <w:szCs w:val="20"/>
        </w:rPr>
      </w:pPr>
      <w:r w:rsidDel="00000000" w:rsidR="00000000" w:rsidRPr="00000000">
        <w:rPr>
          <w:rFonts w:ascii="Times New Roman" w:cs="Times New Roman" w:eastAsia="Times New Roman" w:hAnsi="Times New Roman"/>
          <w:color w:val="1c1917"/>
          <w:sz w:val="20"/>
          <w:szCs w:val="20"/>
          <w:rtl w:val="0"/>
        </w:rPr>
        <w:t xml:space="preserve">Machine learning refers to algorithms that have the ability to learn from data without being explicitly programmed. Within the field of machine learning, deep learning and reinforcement learning represent more advanced techniques that can overcome some of the limitations of more basic machine learning approaches.</w:t>
      </w:r>
    </w:p>
    <w:p w:rsidR="00000000" w:rsidDel="00000000" w:rsidP="00000000" w:rsidRDefault="00000000" w:rsidRPr="00000000" w14:paraId="0000004E">
      <w:pPr>
        <w:pBdr>
          <w:top w:color="1c1917" w:space="0" w:sz="0" w:val="none"/>
          <w:left w:color="1c1917" w:space="0" w:sz="0" w:val="none"/>
          <w:bottom w:color="1c1917" w:space="0" w:sz="0" w:val="none"/>
          <w:right w:color="1c1917" w:space="0" w:sz="0" w:val="none"/>
          <w:between w:color="1c1917" w:space="0" w:sz="0" w:val="none"/>
        </w:pBdr>
        <w:shd w:fill="ffffff" w:val="clear"/>
        <w:rPr>
          <w:rFonts w:ascii="Times New Roman" w:cs="Times New Roman" w:eastAsia="Times New Roman" w:hAnsi="Times New Roman"/>
          <w:color w:val="1c1917"/>
          <w:sz w:val="20"/>
          <w:szCs w:val="20"/>
        </w:rPr>
      </w:pPr>
      <w:r w:rsidDel="00000000" w:rsidR="00000000" w:rsidRPr="00000000">
        <w:rPr>
          <w:rtl w:val="0"/>
        </w:rPr>
      </w:r>
    </w:p>
    <w:p w:rsidR="00000000" w:rsidDel="00000000" w:rsidP="00000000" w:rsidRDefault="00000000" w:rsidRPr="00000000" w14:paraId="0000004F">
      <w:pPr>
        <w:pBdr>
          <w:top w:color="1c1917" w:space="0" w:sz="0" w:val="none"/>
          <w:left w:color="1c1917" w:space="0" w:sz="0" w:val="none"/>
          <w:bottom w:color="1c1917" w:space="0" w:sz="0" w:val="none"/>
          <w:right w:color="1c1917" w:space="0" w:sz="0" w:val="none"/>
          <w:between w:color="1c1917" w:space="0" w:sz="0" w:val="none"/>
        </w:pBdr>
        <w:shd w:fill="ffffff" w:val="clear"/>
        <w:ind w:left="1440" w:firstLine="720"/>
        <w:rPr>
          <w:rFonts w:ascii="Times New Roman" w:cs="Times New Roman" w:eastAsia="Times New Roman" w:hAnsi="Times New Roman"/>
          <w:b w:val="1"/>
          <w:color w:val="1c1917"/>
          <w:sz w:val="20"/>
          <w:szCs w:val="20"/>
        </w:rPr>
      </w:pPr>
      <w:r w:rsidDel="00000000" w:rsidR="00000000" w:rsidRPr="00000000">
        <w:rPr>
          <w:rFonts w:ascii="Times New Roman" w:cs="Times New Roman" w:eastAsia="Times New Roman" w:hAnsi="Times New Roman"/>
          <w:color w:val="1c1917"/>
          <w:sz w:val="20"/>
          <w:szCs w:val="20"/>
        </w:rPr>
        <w:drawing>
          <wp:inline distB="114300" distT="114300" distL="114300" distR="114300">
            <wp:extent cx="2260316" cy="2225675"/>
            <wp:effectExtent b="0" l="0" r="0" t="0"/>
            <wp:docPr id="1" name="image1.png"/>
            <a:graphic>
              <a:graphicData uri="http://schemas.openxmlformats.org/drawingml/2006/picture">
                <pic:pic>
                  <pic:nvPicPr>
                    <pic:cNvPr id="0" name="image1.png"/>
                    <pic:cNvPicPr preferRelativeResize="0"/>
                  </pic:nvPicPr>
                  <pic:blipFill>
                    <a:blip r:embed="rId10"/>
                    <a:srcRect b="3098" l="1638" r="2881" t="1950"/>
                    <a:stretch>
                      <a:fillRect/>
                    </a:stretch>
                  </pic:blipFill>
                  <pic:spPr>
                    <a:xfrm>
                      <a:off x="0" y="0"/>
                      <a:ext cx="2260316" cy="2225675"/>
                    </a:xfrm>
                    <a:prstGeom prst="rect"/>
                    <a:ln/>
                  </pic:spPr>
                </pic:pic>
              </a:graphicData>
            </a:graphic>
          </wp:inline>
        </w:drawing>
      </w:r>
      <w:r w:rsidDel="00000000" w:rsidR="00000000" w:rsidRPr="00000000">
        <w:rPr>
          <w:rFonts w:ascii="Times New Roman" w:cs="Times New Roman" w:eastAsia="Times New Roman" w:hAnsi="Times New Roman"/>
          <w:b w:val="1"/>
          <w:color w:val="1c1917"/>
          <w:sz w:val="20"/>
          <w:szCs w:val="20"/>
          <w:rtl w:val="0"/>
        </w:rPr>
        <w:t xml:space="preserve">&lt;TOBE CHANGED COPYRIGHT&gt;</w:t>
      </w:r>
    </w:p>
    <w:p w:rsidR="00000000" w:rsidDel="00000000" w:rsidP="00000000" w:rsidRDefault="00000000" w:rsidRPr="00000000" w14:paraId="00000050">
      <w:pPr>
        <w:pBdr>
          <w:top w:color="1c1917" w:space="0" w:sz="0" w:val="none"/>
          <w:left w:color="1c1917" w:space="0" w:sz="0" w:val="none"/>
          <w:bottom w:color="1c1917" w:space="0" w:sz="0" w:val="none"/>
          <w:right w:color="1c1917" w:space="0" w:sz="0" w:val="none"/>
          <w:between w:color="1c1917" w:space="0" w:sz="0" w:val="none"/>
        </w:pBdr>
        <w:shd w:fill="ffffff" w:val="clear"/>
        <w:rPr>
          <w:rFonts w:ascii="Times New Roman" w:cs="Times New Roman" w:eastAsia="Times New Roman" w:hAnsi="Times New Roman"/>
          <w:color w:val="1c1917"/>
          <w:sz w:val="20"/>
          <w:szCs w:val="20"/>
        </w:rPr>
      </w:pPr>
      <w:r w:rsidDel="00000000" w:rsidR="00000000" w:rsidRPr="00000000">
        <w:rPr>
          <w:rtl w:val="0"/>
        </w:rPr>
      </w:r>
    </w:p>
    <w:p w:rsidR="00000000" w:rsidDel="00000000" w:rsidP="00000000" w:rsidRDefault="00000000" w:rsidRPr="00000000" w14:paraId="00000051">
      <w:pPr>
        <w:pBdr>
          <w:top w:color="1c1917" w:space="0" w:sz="0" w:val="none"/>
          <w:left w:color="1c1917" w:space="0" w:sz="0" w:val="none"/>
          <w:bottom w:color="1c1917" w:space="0" w:sz="0" w:val="none"/>
          <w:right w:color="1c1917" w:space="0" w:sz="0" w:val="none"/>
          <w:between w:color="1c1917" w:space="0" w:sz="0" w:val="none"/>
        </w:pBdr>
        <w:shd w:fill="ffffff" w:val="clear"/>
        <w:rPr>
          <w:rFonts w:ascii="Times New Roman" w:cs="Times New Roman" w:eastAsia="Times New Roman" w:hAnsi="Times New Roman"/>
          <w:color w:val="1c1917"/>
          <w:sz w:val="20"/>
          <w:szCs w:val="20"/>
        </w:rPr>
      </w:pPr>
      <w:r w:rsidDel="00000000" w:rsidR="00000000" w:rsidRPr="00000000">
        <w:rPr>
          <w:rFonts w:ascii="Times New Roman" w:cs="Times New Roman" w:eastAsia="Times New Roman" w:hAnsi="Times New Roman"/>
          <w:color w:val="1c1917"/>
          <w:sz w:val="20"/>
          <w:szCs w:val="20"/>
          <w:rtl w:val="0"/>
        </w:rPr>
        <w:t xml:space="preserve">Specifically, traditional machine learning relies on human-engineered feature extraction and selection. This manual process results in machine learning models that are confined by the creativity and foresight of their designers. In contrast, deep learning employs sophisticated neural network architectures with many layers to automatically learn feature representations directly from raw data. This eliminates much of the manual effort while capturing intricate structures and patterns in the data.</w:t>
      </w:r>
    </w:p>
    <w:p w:rsidR="00000000" w:rsidDel="00000000" w:rsidP="00000000" w:rsidRDefault="00000000" w:rsidRPr="00000000" w14:paraId="00000052">
      <w:pPr>
        <w:pBdr>
          <w:top w:color="1c1917" w:space="0" w:sz="0" w:val="none"/>
          <w:left w:color="1c1917" w:space="0" w:sz="0" w:val="none"/>
          <w:bottom w:color="1c1917" w:space="0" w:sz="0" w:val="none"/>
          <w:right w:color="1c1917" w:space="0" w:sz="0" w:val="none"/>
          <w:between w:color="1c1917" w:space="0" w:sz="0" w:val="none"/>
        </w:pBdr>
        <w:shd w:fill="ffffff" w:val="clear"/>
        <w:rPr>
          <w:rFonts w:ascii="Times New Roman" w:cs="Times New Roman" w:eastAsia="Times New Roman" w:hAnsi="Times New Roman"/>
          <w:color w:val="1c1917"/>
          <w:sz w:val="20"/>
          <w:szCs w:val="20"/>
        </w:rPr>
      </w:pPr>
      <w:r w:rsidDel="00000000" w:rsidR="00000000" w:rsidRPr="00000000">
        <w:rPr>
          <w:rtl w:val="0"/>
        </w:rPr>
      </w:r>
    </w:p>
    <w:p w:rsidR="00000000" w:rsidDel="00000000" w:rsidP="00000000" w:rsidRDefault="00000000" w:rsidRPr="00000000" w14:paraId="00000053">
      <w:pPr>
        <w:pBdr>
          <w:top w:color="1c1917" w:space="0" w:sz="0" w:val="none"/>
          <w:left w:color="1c1917" w:space="0" w:sz="0" w:val="none"/>
          <w:bottom w:color="1c1917" w:space="0" w:sz="0" w:val="none"/>
          <w:right w:color="1c1917" w:space="0" w:sz="0" w:val="none"/>
          <w:between w:color="1c1917" w:space="0" w:sz="0" w:val="none"/>
        </w:pBdr>
        <w:shd w:fill="ffffff" w:val="clear"/>
        <w:rPr>
          <w:rFonts w:ascii="Times New Roman" w:cs="Times New Roman" w:eastAsia="Times New Roman" w:hAnsi="Times New Roman"/>
          <w:color w:val="1c1917"/>
          <w:sz w:val="20"/>
          <w:szCs w:val="20"/>
        </w:rPr>
      </w:pPr>
      <w:r w:rsidDel="00000000" w:rsidR="00000000" w:rsidRPr="00000000">
        <w:rPr>
          <w:rFonts w:ascii="Times New Roman" w:cs="Times New Roman" w:eastAsia="Times New Roman" w:hAnsi="Times New Roman"/>
          <w:color w:val="1c1917"/>
          <w:sz w:val="20"/>
          <w:szCs w:val="20"/>
          <w:rtl w:val="0"/>
        </w:rPr>
        <w:t xml:space="preserve">Deep learning has emerged over the last decade as a promising avenue to overcome many limitations of earlier machine learning approaches. Inspired by artificial neural networks, deep learning models compose multiple processing layers to automatically learn hierarchical representations and semantic patterns within large, raw datasets. In healthcare, these unique advantages have translated into major performance gains as deep learning algorithms continue to push state-of-the-art results across various challenges. Some examples include detecting cancer metastases, analyzing retina disease progression, predicting cardiovascular risk factors, and accelerating pharmaceutical research, all unlocking invaluable insights from rich medical imaging, electronic records, genomics and other physiological datasets. Beyond improved prognostics, deep learning also shows promising capabilities around diagnostic image analysis and tracking personalized treatment response over time. Real-time analytics at the point of care tailored to individual patients further enables personalized prescriptions powered by deep learning. </w:t>
      </w:r>
    </w:p>
    <w:p w:rsidR="00000000" w:rsidDel="00000000" w:rsidP="00000000" w:rsidRDefault="00000000" w:rsidRPr="00000000" w14:paraId="00000054">
      <w:pPr>
        <w:pBdr>
          <w:top w:color="1c1917" w:space="0" w:sz="0" w:val="none"/>
          <w:left w:color="1c1917" w:space="0" w:sz="0" w:val="none"/>
          <w:bottom w:color="1c1917" w:space="0" w:sz="0" w:val="none"/>
          <w:right w:color="1c1917" w:space="0" w:sz="0" w:val="none"/>
          <w:between w:color="1c1917" w:space="0" w:sz="0" w:val="none"/>
        </w:pBdr>
        <w:shd w:fill="ffffff" w:val="clear"/>
        <w:rPr>
          <w:rFonts w:ascii="Times New Roman" w:cs="Times New Roman" w:eastAsia="Times New Roman" w:hAnsi="Times New Roman"/>
          <w:color w:val="1c1917"/>
          <w:sz w:val="20"/>
          <w:szCs w:val="20"/>
        </w:rPr>
      </w:pPr>
      <w:r w:rsidDel="00000000" w:rsidR="00000000" w:rsidRPr="00000000">
        <w:rPr>
          <w:rtl w:val="0"/>
        </w:rPr>
      </w:r>
    </w:p>
    <w:p w:rsidR="00000000" w:rsidDel="00000000" w:rsidP="00000000" w:rsidRDefault="00000000" w:rsidRPr="00000000" w14:paraId="00000055">
      <w:pPr>
        <w:pBdr>
          <w:top w:color="1c1917" w:space="0" w:sz="0" w:val="none"/>
          <w:left w:color="1c1917" w:space="0" w:sz="0" w:val="none"/>
          <w:bottom w:color="1c1917" w:space="0" w:sz="0" w:val="none"/>
          <w:right w:color="1c1917" w:space="0" w:sz="0" w:val="none"/>
          <w:between w:color="1c1917" w:space="0" w:sz="0" w:val="none"/>
        </w:pBdr>
        <w:shd w:fill="ffffff" w:val="clear"/>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color w:val="1c1917"/>
          <w:sz w:val="20"/>
          <w:szCs w:val="20"/>
          <w:rtl w:val="0"/>
        </w:rPr>
        <w:t xml:space="preserve">Additionally, most conventional machine learning algorithms are focused on pattern recognition, classification, and mapping static inputs to outputs. Reinforcement learning goes beyond by actively interacting with a dynamic environment to determine optimal behaviors based on maximizing long-term rewards. This makes reinforcement learning more applicable to real-world scenarios like medical treatment optimization, game strategy development, and robotic control.</w:t>
      </w:r>
      <w:r w:rsidDel="00000000" w:rsidR="00000000" w:rsidRPr="00000000">
        <w:rPr>
          <w:rtl w:val="0"/>
        </w:rPr>
      </w:r>
    </w:p>
    <w:p w:rsidR="00000000" w:rsidDel="00000000" w:rsidP="00000000" w:rsidRDefault="00000000" w:rsidRPr="00000000" w14:paraId="00000056">
      <w:pPr>
        <w:spacing w:after="115" w:before="245" w:line="240" w:lineRule="auto"/>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2.2.1 Deep Learning</w:t>
      </w:r>
    </w:p>
    <w:p w:rsidR="00000000" w:rsidDel="00000000" w:rsidP="00000000" w:rsidRDefault="00000000" w:rsidRPr="00000000" w14:paraId="00000057">
      <w:pPr>
        <w:pBdr>
          <w:top w:color="1c1917" w:space="0" w:sz="0" w:val="none"/>
          <w:left w:color="1c1917" w:space="0" w:sz="0" w:val="none"/>
          <w:bottom w:color="1c1917" w:space="0" w:sz="0" w:val="none"/>
          <w:right w:color="1c1917" w:space="0" w:sz="0" w:val="none"/>
          <w:between w:color="1c1917" w:space="0" w:sz="0" w:val="none"/>
        </w:pBdr>
        <w:shd w:fill="ffffff" w:val="clear"/>
        <w:rPr>
          <w:rFonts w:ascii="Times New Roman" w:cs="Times New Roman" w:eastAsia="Times New Roman" w:hAnsi="Times New Roman"/>
          <w:color w:val="1c1917"/>
          <w:sz w:val="20"/>
          <w:szCs w:val="20"/>
        </w:rPr>
      </w:pPr>
      <w:r w:rsidDel="00000000" w:rsidR="00000000" w:rsidRPr="00000000">
        <w:rPr>
          <w:rtl w:val="0"/>
        </w:rPr>
      </w:r>
    </w:p>
    <w:p w:rsidR="00000000" w:rsidDel="00000000" w:rsidP="00000000" w:rsidRDefault="00000000" w:rsidRPr="00000000" w14:paraId="00000058">
      <w:pPr>
        <w:pBdr>
          <w:top w:color="1c1917" w:space="0" w:sz="0" w:val="none"/>
          <w:left w:color="1c1917" w:space="0" w:sz="0" w:val="none"/>
          <w:bottom w:color="1c1917" w:space="0" w:sz="0" w:val="none"/>
          <w:right w:color="1c1917" w:space="0" w:sz="0" w:val="none"/>
          <w:between w:color="1c1917" w:space="0" w:sz="0" w:val="none"/>
        </w:pBdr>
        <w:shd w:fill="ffffff" w:val="clear"/>
        <w:rPr>
          <w:rFonts w:ascii="Times New Roman" w:cs="Times New Roman" w:eastAsia="Times New Roman" w:hAnsi="Times New Roman"/>
          <w:color w:val="1c1917"/>
          <w:sz w:val="20"/>
          <w:szCs w:val="20"/>
        </w:rPr>
      </w:pPr>
      <w:r w:rsidDel="00000000" w:rsidR="00000000" w:rsidRPr="00000000">
        <w:rPr>
          <w:rFonts w:ascii="Times New Roman" w:cs="Times New Roman" w:eastAsia="Times New Roman" w:hAnsi="Times New Roman"/>
          <w:color w:val="1c1917"/>
          <w:sz w:val="20"/>
          <w:szCs w:val="20"/>
          <w:rtl w:val="0"/>
        </w:rPr>
        <w:t xml:space="preserve">The past decade has seen explosive growth in healthcare applications leveraging deep learning to unlock actionable insights from increasingly abundant medical data. Across modalities like medical imaging, electronic health records, genomics, and wearable outputs, deep learning has become integral to data-driven clinical decision making and transforming nearly every facet of patient care.</w:t>
      </w:r>
    </w:p>
    <w:p w:rsidR="00000000" w:rsidDel="00000000" w:rsidP="00000000" w:rsidRDefault="00000000" w:rsidRPr="00000000" w14:paraId="00000059">
      <w:pPr>
        <w:pBdr>
          <w:top w:color="1c1917" w:space="0" w:sz="0" w:val="none"/>
          <w:left w:color="1c1917" w:space="0" w:sz="0" w:val="none"/>
          <w:bottom w:color="1c1917" w:space="0" w:sz="0" w:val="none"/>
          <w:right w:color="1c1917" w:space="0" w:sz="0" w:val="none"/>
          <w:between w:color="1c1917" w:space="0" w:sz="0" w:val="none"/>
        </w:pBdr>
        <w:shd w:fill="ffffff" w:val="clear"/>
        <w:rPr>
          <w:rFonts w:ascii="Times New Roman" w:cs="Times New Roman" w:eastAsia="Times New Roman" w:hAnsi="Times New Roman"/>
          <w:color w:val="1c1917"/>
          <w:sz w:val="20"/>
          <w:szCs w:val="20"/>
        </w:rPr>
      </w:pPr>
      <w:r w:rsidDel="00000000" w:rsidR="00000000" w:rsidRPr="00000000">
        <w:rPr>
          <w:rtl w:val="0"/>
        </w:rPr>
      </w:r>
    </w:p>
    <w:p w:rsidR="00000000" w:rsidDel="00000000" w:rsidP="00000000" w:rsidRDefault="00000000" w:rsidRPr="00000000" w14:paraId="0000005A">
      <w:pPr>
        <w:pBdr>
          <w:top w:color="1c1917" w:space="0" w:sz="0" w:val="none"/>
          <w:left w:color="1c1917" w:space="0" w:sz="0" w:val="none"/>
          <w:bottom w:color="1c1917" w:space="0" w:sz="0" w:val="none"/>
          <w:right w:color="1c1917" w:space="0" w:sz="0" w:val="none"/>
          <w:between w:color="1c1917" w:space="0" w:sz="0" w:val="none"/>
        </w:pBdr>
        <w:shd w:fill="ffffff" w:val="clear"/>
        <w:rPr>
          <w:rFonts w:ascii="Times New Roman" w:cs="Times New Roman" w:eastAsia="Times New Roman" w:hAnsi="Times New Roman"/>
          <w:color w:val="1c1917"/>
          <w:sz w:val="20"/>
          <w:szCs w:val="20"/>
        </w:rPr>
      </w:pPr>
      <w:r w:rsidDel="00000000" w:rsidR="00000000" w:rsidRPr="00000000">
        <w:rPr>
          <w:rFonts w:ascii="Times New Roman" w:cs="Times New Roman" w:eastAsia="Times New Roman" w:hAnsi="Times New Roman"/>
          <w:color w:val="1c1917"/>
          <w:sz w:val="20"/>
          <w:szCs w:val="20"/>
          <w:rtl w:val="0"/>
        </w:rPr>
        <w:t xml:space="preserve">In diagnostics, one major advantage of deep learning is the capability to automate analysis of complex physiological signals and unstructured data that previously required specialized expertise. For example, deep learning algorithms can now identify diabetic retinopathy from retinal fundus images and classify skin lesions as malignant or benign with performance rivaling experienced specialists. Such intelligent screening and triage assistants can help overcome shortages of subspeciality experts especially in underserved communities. Deep learning applied on histopathology slides can accurately grade prostate cancer severity or segment brain tumors guided by sensor and sequencing data, demonstrating the integrative power of these versatile models.</w:t>
      </w:r>
    </w:p>
    <w:p w:rsidR="00000000" w:rsidDel="00000000" w:rsidP="00000000" w:rsidRDefault="00000000" w:rsidRPr="00000000" w14:paraId="0000005B">
      <w:pPr>
        <w:pBdr>
          <w:top w:color="1c1917" w:space="0" w:sz="0" w:val="none"/>
          <w:left w:color="1c1917" w:space="0" w:sz="0" w:val="none"/>
          <w:bottom w:color="1c1917" w:space="0" w:sz="0" w:val="none"/>
          <w:right w:color="1c1917" w:space="0" w:sz="0" w:val="none"/>
          <w:between w:color="1c1917" w:space="0" w:sz="0" w:val="none"/>
        </w:pBdr>
        <w:shd w:fill="ffffff" w:val="clear"/>
        <w:rPr>
          <w:rFonts w:ascii="Times New Roman" w:cs="Times New Roman" w:eastAsia="Times New Roman" w:hAnsi="Times New Roman"/>
          <w:color w:val="1c1917"/>
          <w:sz w:val="20"/>
          <w:szCs w:val="20"/>
        </w:rPr>
      </w:pPr>
      <w:r w:rsidDel="00000000" w:rsidR="00000000" w:rsidRPr="00000000">
        <w:rPr>
          <w:rtl w:val="0"/>
        </w:rPr>
      </w:r>
    </w:p>
    <w:p w:rsidR="00000000" w:rsidDel="00000000" w:rsidP="00000000" w:rsidRDefault="00000000" w:rsidRPr="00000000" w14:paraId="0000005C">
      <w:pPr>
        <w:pBdr>
          <w:top w:color="1c1917" w:space="0" w:sz="0" w:val="none"/>
          <w:left w:color="1c1917" w:space="0" w:sz="0" w:val="none"/>
          <w:bottom w:color="1c1917" w:space="0" w:sz="0" w:val="none"/>
          <w:right w:color="1c1917" w:space="0" w:sz="0" w:val="none"/>
          <w:between w:color="1c1917" w:space="0" w:sz="0" w:val="none"/>
        </w:pBdr>
        <w:shd w:fill="ffffff" w:val="clear"/>
        <w:rPr>
          <w:rFonts w:ascii="Times New Roman" w:cs="Times New Roman" w:eastAsia="Times New Roman" w:hAnsi="Times New Roman"/>
          <w:color w:val="1c1917"/>
          <w:sz w:val="20"/>
          <w:szCs w:val="20"/>
        </w:rPr>
      </w:pPr>
      <w:r w:rsidDel="00000000" w:rsidR="00000000" w:rsidRPr="00000000">
        <w:rPr>
          <w:rFonts w:ascii="Times New Roman" w:cs="Times New Roman" w:eastAsia="Times New Roman" w:hAnsi="Times New Roman"/>
          <w:color w:val="1c1917"/>
          <w:sz w:val="20"/>
          <w:szCs w:val="20"/>
          <w:rtl w:val="0"/>
        </w:rPr>
        <w:t xml:space="preserve">Beyond automation, deep learning opens new modalities for enhanced diagnostics by uncovering previously inaccessible insights. Models trained on raw waveform data can diagnose cardiac arrhythmia or sleep disorders where handcrafted features only achieved limited accuracy previously. Deep learning also enables “theranostics”, fusing imaging data with genomic markers in cancer to predict immunotherapy response and personalize optimal treatment plans. Multi-modal neural networks combining images, text reports and structured lab results show additional performance gains, learning robust data representations transferrable across related tasks.</w:t>
      </w:r>
    </w:p>
    <w:p w:rsidR="00000000" w:rsidDel="00000000" w:rsidP="00000000" w:rsidRDefault="00000000" w:rsidRPr="00000000" w14:paraId="0000005D">
      <w:pPr>
        <w:pBdr>
          <w:top w:color="1c1917" w:space="0" w:sz="0" w:val="none"/>
          <w:left w:color="1c1917" w:space="0" w:sz="0" w:val="none"/>
          <w:bottom w:color="1c1917" w:space="0" w:sz="0" w:val="none"/>
          <w:right w:color="1c1917" w:space="0" w:sz="0" w:val="none"/>
          <w:between w:color="1c1917" w:space="0" w:sz="0" w:val="none"/>
        </w:pBdr>
        <w:shd w:fill="ffffff" w:val="clear"/>
        <w:rPr>
          <w:rFonts w:ascii="Times New Roman" w:cs="Times New Roman" w:eastAsia="Times New Roman" w:hAnsi="Times New Roman"/>
          <w:color w:val="1c1917"/>
          <w:sz w:val="20"/>
          <w:szCs w:val="20"/>
        </w:rPr>
      </w:pPr>
      <w:r w:rsidDel="00000000" w:rsidR="00000000" w:rsidRPr="00000000">
        <w:rPr>
          <w:rtl w:val="0"/>
        </w:rPr>
      </w:r>
    </w:p>
    <w:p w:rsidR="00000000" w:rsidDel="00000000" w:rsidP="00000000" w:rsidRDefault="00000000" w:rsidRPr="00000000" w14:paraId="0000005E">
      <w:pPr>
        <w:pBdr>
          <w:top w:color="1c1917" w:space="0" w:sz="0" w:val="none"/>
          <w:left w:color="1c1917" w:space="0" w:sz="0" w:val="none"/>
          <w:bottom w:color="1c1917" w:space="0" w:sz="0" w:val="none"/>
          <w:right w:color="1c1917" w:space="0" w:sz="0" w:val="none"/>
          <w:between w:color="1c1917" w:space="0" w:sz="0" w:val="none"/>
        </w:pBdr>
        <w:shd w:fill="ffffff" w:val="clear"/>
        <w:rPr>
          <w:rFonts w:ascii="Times New Roman" w:cs="Times New Roman" w:eastAsia="Times New Roman" w:hAnsi="Times New Roman"/>
          <w:color w:val="1c1917"/>
          <w:sz w:val="20"/>
          <w:szCs w:val="20"/>
        </w:rPr>
      </w:pPr>
      <w:r w:rsidDel="00000000" w:rsidR="00000000" w:rsidRPr="00000000">
        <w:rPr>
          <w:rFonts w:ascii="Times New Roman" w:cs="Times New Roman" w:eastAsia="Times New Roman" w:hAnsi="Times New Roman"/>
          <w:color w:val="1c1917"/>
          <w:sz w:val="20"/>
          <w:szCs w:val="20"/>
          <w:rtl w:val="0"/>
        </w:rPr>
        <w:t xml:space="preserve">These versatile diagnostic applications lay the foundation for the next paradigm of predictive, preventative, personalized and participatory (P4) medicine centered around the proactive maintenance of health. Deep learning tools for early risk assessment and future forecasting allow intervening upstream before onset of disease. For instance, 5-year cardiovascular risk projections from longitudinal models provide actionable timeline for lifestyle changes over simple binary classification of existing conditions. Deep survival analysis on electronic health records accurately predicts mortality risk and reveals influential contributing factors in an interpretable manner.</w:t>
      </w:r>
    </w:p>
    <w:p w:rsidR="00000000" w:rsidDel="00000000" w:rsidP="00000000" w:rsidRDefault="00000000" w:rsidRPr="00000000" w14:paraId="0000005F">
      <w:pPr>
        <w:pBdr>
          <w:top w:color="1c1917" w:space="0" w:sz="0" w:val="none"/>
          <w:left w:color="1c1917" w:space="0" w:sz="0" w:val="none"/>
          <w:bottom w:color="1c1917" w:space="0" w:sz="0" w:val="none"/>
          <w:right w:color="1c1917" w:space="0" w:sz="0" w:val="none"/>
          <w:between w:color="1c1917" w:space="0" w:sz="0" w:val="none"/>
        </w:pBdr>
        <w:shd w:fill="ffffff" w:val="clear"/>
        <w:rPr>
          <w:rFonts w:ascii="Times New Roman" w:cs="Times New Roman" w:eastAsia="Times New Roman" w:hAnsi="Times New Roman"/>
          <w:color w:val="1c1917"/>
          <w:sz w:val="20"/>
          <w:szCs w:val="20"/>
        </w:rPr>
      </w:pPr>
      <w:r w:rsidDel="00000000" w:rsidR="00000000" w:rsidRPr="00000000">
        <w:rPr>
          <w:rtl w:val="0"/>
        </w:rPr>
      </w:r>
    </w:p>
    <w:p w:rsidR="00000000" w:rsidDel="00000000" w:rsidP="00000000" w:rsidRDefault="00000000" w:rsidRPr="00000000" w14:paraId="00000060">
      <w:pPr>
        <w:pBdr>
          <w:top w:color="1c1917" w:space="0" w:sz="0" w:val="none"/>
          <w:left w:color="1c1917" w:space="0" w:sz="0" w:val="none"/>
          <w:bottom w:color="1c1917" w:space="0" w:sz="0" w:val="none"/>
          <w:right w:color="1c1917" w:space="0" w:sz="0" w:val="none"/>
          <w:between w:color="1c1917" w:space="0" w:sz="0" w:val="none"/>
        </w:pBdr>
        <w:shd w:fill="ffffff" w:val="clear"/>
        <w:rPr>
          <w:rFonts w:ascii="Times New Roman" w:cs="Times New Roman" w:eastAsia="Times New Roman" w:hAnsi="Times New Roman"/>
          <w:color w:val="1c1917"/>
          <w:sz w:val="20"/>
          <w:szCs w:val="20"/>
        </w:rPr>
      </w:pPr>
      <w:r w:rsidDel="00000000" w:rsidR="00000000" w:rsidRPr="00000000">
        <w:rPr>
          <w:rFonts w:ascii="Times New Roman" w:cs="Times New Roman" w:eastAsia="Times New Roman" w:hAnsi="Times New Roman"/>
          <w:color w:val="1c1917"/>
          <w:sz w:val="20"/>
          <w:szCs w:val="20"/>
          <w:rtl w:val="0"/>
        </w:rPr>
        <w:t xml:space="preserve">Such prognostic capabilities combined with personalization via patient “digital twins” tackle the longstanding challenge of phenotypic heterogeneity, where clinical presentation differs greatly even for the same underlying condition. By accommodating diverse risk profiles and forecasting outcomes under variable scenarios, deep learning is poised to enable true precision medicine.</w:t>
      </w:r>
    </w:p>
    <w:p w:rsidR="00000000" w:rsidDel="00000000" w:rsidP="00000000" w:rsidRDefault="00000000" w:rsidRPr="00000000" w14:paraId="00000061">
      <w:pPr>
        <w:pBdr>
          <w:top w:color="1c1917" w:space="0" w:sz="0" w:val="none"/>
          <w:left w:color="1c1917" w:space="0" w:sz="0" w:val="none"/>
          <w:bottom w:color="1c1917" w:space="0" w:sz="0" w:val="none"/>
          <w:right w:color="1c1917" w:space="0" w:sz="0" w:val="none"/>
          <w:between w:color="1c1917" w:space="0" w:sz="0" w:val="none"/>
        </w:pBdr>
        <w:shd w:fill="ffffff" w:val="clear"/>
        <w:rPr>
          <w:rFonts w:ascii="Times New Roman" w:cs="Times New Roman" w:eastAsia="Times New Roman" w:hAnsi="Times New Roman"/>
          <w:color w:val="1c1917"/>
          <w:sz w:val="20"/>
          <w:szCs w:val="20"/>
        </w:rPr>
      </w:pPr>
      <w:r w:rsidDel="00000000" w:rsidR="00000000" w:rsidRPr="00000000">
        <w:rPr>
          <w:rtl w:val="0"/>
        </w:rPr>
      </w:r>
    </w:p>
    <w:p w:rsidR="00000000" w:rsidDel="00000000" w:rsidP="00000000" w:rsidRDefault="00000000" w:rsidRPr="00000000" w14:paraId="00000062">
      <w:pPr>
        <w:pBdr>
          <w:top w:color="1c1917" w:space="0" w:sz="0" w:val="none"/>
          <w:left w:color="1c1917" w:space="0" w:sz="0" w:val="none"/>
          <w:bottom w:color="1c1917" w:space="0" w:sz="0" w:val="none"/>
          <w:right w:color="1c1917" w:space="0" w:sz="0" w:val="none"/>
          <w:between w:color="1c1917" w:space="0" w:sz="0" w:val="none"/>
        </w:pBdr>
        <w:shd w:fill="ffffff" w:val="clear"/>
        <w:rPr>
          <w:rFonts w:ascii="Times New Roman" w:cs="Times New Roman" w:eastAsia="Times New Roman" w:hAnsi="Times New Roman"/>
          <w:color w:val="1c1917"/>
          <w:sz w:val="20"/>
          <w:szCs w:val="20"/>
        </w:rPr>
      </w:pPr>
      <w:r w:rsidDel="00000000" w:rsidR="00000000" w:rsidRPr="00000000">
        <w:rPr>
          <w:rFonts w:ascii="Times New Roman" w:cs="Times New Roman" w:eastAsia="Times New Roman" w:hAnsi="Times New Roman"/>
          <w:color w:val="1c1917"/>
          <w:sz w:val="20"/>
          <w:szCs w:val="20"/>
          <w:rtl w:val="0"/>
        </w:rPr>
        <w:t xml:space="preserve">On the therapeutics side, the key promises of deep learning include accelerating pharmaceutical research, optimizing medication dosing, and tracking treatment response. De novo drug generation using deep generative models and in-silico clinical trials via molecular or physiological simulations can fast-track discovery compared to conventional decade-long development pipelines. Reinforcement learning agents excel at dynamically personalizing dosages while accounting for pharmacokinetic differences and adverse reactions. Meanwhile, dimensionality reduction and self-supervised representation techniques help distill longitudinal patient histories into actionable embeddings for modeling disease progression.</w:t>
      </w:r>
    </w:p>
    <w:p w:rsidR="00000000" w:rsidDel="00000000" w:rsidP="00000000" w:rsidRDefault="00000000" w:rsidRPr="00000000" w14:paraId="00000063">
      <w:pPr>
        <w:spacing w:after="115" w:before="245" w:line="240" w:lineRule="auto"/>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2.2.2 Reinforcement Learning</w:t>
      </w:r>
    </w:p>
    <w:p w:rsidR="00000000" w:rsidDel="00000000" w:rsidP="00000000" w:rsidRDefault="00000000" w:rsidRPr="00000000" w14:paraId="00000064">
      <w:pPr>
        <w:pBdr>
          <w:top w:color="1c1917" w:space="0" w:sz="0" w:val="none"/>
          <w:left w:color="1c1917" w:space="0" w:sz="0" w:val="none"/>
          <w:bottom w:color="1c1917" w:space="0" w:sz="0" w:val="none"/>
          <w:right w:color="1c1917" w:space="0" w:sz="0" w:val="none"/>
          <w:between w:color="1c1917" w:space="0" w:sz="0" w:val="none"/>
        </w:pBdr>
        <w:shd w:fill="ffffff" w:val="clear"/>
        <w:rPr>
          <w:rFonts w:ascii="Times New Roman" w:cs="Times New Roman" w:eastAsia="Times New Roman" w:hAnsi="Times New Roman"/>
          <w:color w:val="1c1917"/>
          <w:sz w:val="20"/>
          <w:szCs w:val="20"/>
        </w:rPr>
      </w:pPr>
      <w:r w:rsidDel="00000000" w:rsidR="00000000" w:rsidRPr="00000000">
        <w:rPr>
          <w:rtl w:val="0"/>
        </w:rPr>
      </w:r>
    </w:p>
    <w:p w:rsidR="00000000" w:rsidDel="00000000" w:rsidP="00000000" w:rsidRDefault="00000000" w:rsidRPr="00000000" w14:paraId="00000065">
      <w:pPr>
        <w:pBdr>
          <w:top w:color="1c1917" w:space="0" w:sz="0" w:val="none"/>
          <w:left w:color="1c1917" w:space="0" w:sz="0" w:val="none"/>
          <w:bottom w:color="1c1917" w:space="0" w:sz="0" w:val="none"/>
          <w:right w:color="1c1917" w:space="0" w:sz="0" w:val="none"/>
          <w:between w:color="1c1917" w:space="0" w:sz="0" w:val="none"/>
        </w:pBdr>
        <w:shd w:fill="ffffff" w:val="clear"/>
        <w:rPr>
          <w:rFonts w:ascii="Times New Roman" w:cs="Times New Roman" w:eastAsia="Times New Roman" w:hAnsi="Times New Roman"/>
          <w:color w:val="1c1917"/>
          <w:sz w:val="20"/>
          <w:szCs w:val="20"/>
        </w:rPr>
      </w:pPr>
      <w:r w:rsidDel="00000000" w:rsidR="00000000" w:rsidRPr="00000000">
        <w:rPr>
          <w:rFonts w:ascii="Times New Roman" w:cs="Times New Roman" w:eastAsia="Times New Roman" w:hAnsi="Times New Roman"/>
          <w:color w:val="1c1917"/>
          <w:sz w:val="20"/>
          <w:szCs w:val="20"/>
          <w:rtl w:val="0"/>
        </w:rPr>
        <w:t xml:space="preserve">Reinforcement learning (RL) has emerged as a promising technique for enabling precision healthcare and powering digital twin applications. In precision healthcare, RL can be used to optimize treatment plans and interventions for patients in a way that maximizes long-term health outcomes on an individual basis. For example, RL agents can learn optimal medication dosing strategies that balance efficacy with minimizing side effects for a specific patient. They can also learn to titrate therapies and make changes over the course of an illness. The ability to tailor interventions through a continuous learning process makes RL well-suited for precision medicine’s goal of customized care </w:t>
      </w:r>
      <w:r w:rsidDel="00000000" w:rsidR="00000000" w:rsidRPr="00000000">
        <w:rPr>
          <w:rFonts w:ascii="Times New Roman" w:cs="Times New Roman" w:eastAsia="Times New Roman" w:hAnsi="Times New Roman"/>
          <w:color w:val="222222"/>
          <w:sz w:val="18"/>
          <w:szCs w:val="18"/>
          <w:highlight w:val="white"/>
          <w:rtl w:val="0"/>
        </w:rPr>
        <w:t xml:space="preserve">[NEW-RL-1]</w:t>
      </w:r>
      <w:r w:rsidDel="00000000" w:rsidR="00000000" w:rsidRPr="00000000">
        <w:rPr>
          <w:rFonts w:ascii="Times New Roman" w:cs="Times New Roman" w:eastAsia="Times New Roman" w:hAnsi="Times New Roman"/>
          <w:color w:val="1c1917"/>
          <w:sz w:val="20"/>
          <w:szCs w:val="20"/>
          <w:rtl w:val="0"/>
        </w:rPr>
        <w:t xml:space="preserve">.</w:t>
      </w:r>
    </w:p>
    <w:p w:rsidR="00000000" w:rsidDel="00000000" w:rsidP="00000000" w:rsidRDefault="00000000" w:rsidRPr="00000000" w14:paraId="00000066">
      <w:pPr>
        <w:pBdr>
          <w:top w:color="1c1917" w:space="0" w:sz="0" w:val="none"/>
          <w:left w:color="1c1917" w:space="0" w:sz="0" w:val="none"/>
          <w:bottom w:color="1c1917" w:space="0" w:sz="0" w:val="none"/>
          <w:right w:color="1c1917" w:space="0" w:sz="0" w:val="none"/>
          <w:between w:color="1c1917" w:space="0" w:sz="0" w:val="none"/>
        </w:pBdr>
        <w:shd w:fill="ffffff" w:val="clear"/>
        <w:rPr>
          <w:rFonts w:ascii="Times New Roman" w:cs="Times New Roman" w:eastAsia="Times New Roman" w:hAnsi="Times New Roman"/>
          <w:color w:val="1c1917"/>
          <w:sz w:val="20"/>
          <w:szCs w:val="20"/>
        </w:rPr>
      </w:pPr>
      <w:r w:rsidDel="00000000" w:rsidR="00000000" w:rsidRPr="00000000">
        <w:rPr>
          <w:rtl w:val="0"/>
        </w:rPr>
      </w:r>
    </w:p>
    <w:p w:rsidR="00000000" w:rsidDel="00000000" w:rsidP="00000000" w:rsidRDefault="00000000" w:rsidRPr="00000000" w14:paraId="00000067">
      <w:pPr>
        <w:pBdr>
          <w:top w:color="1c1917" w:space="0" w:sz="0" w:val="none"/>
          <w:left w:color="1c1917" w:space="0" w:sz="0" w:val="none"/>
          <w:bottom w:color="1c1917" w:space="0" w:sz="0" w:val="none"/>
          <w:right w:color="1c1917" w:space="0" w:sz="0" w:val="none"/>
          <w:between w:color="1c1917" w:space="0" w:sz="0" w:val="none"/>
        </w:pBdr>
        <w:shd w:fill="ffffff" w:val="clear"/>
        <w:rPr>
          <w:rFonts w:ascii="Times New Roman" w:cs="Times New Roman" w:eastAsia="Times New Roman" w:hAnsi="Times New Roman"/>
          <w:color w:val="1c1917"/>
          <w:sz w:val="20"/>
          <w:szCs w:val="20"/>
        </w:rPr>
      </w:pPr>
      <w:r w:rsidDel="00000000" w:rsidR="00000000" w:rsidRPr="00000000">
        <w:rPr>
          <w:rFonts w:ascii="Times New Roman" w:cs="Times New Roman" w:eastAsia="Times New Roman" w:hAnsi="Times New Roman"/>
          <w:color w:val="1c1917"/>
          <w:sz w:val="20"/>
          <w:szCs w:val="20"/>
          <w:rtl w:val="0"/>
        </w:rPr>
        <w:t xml:space="preserve">Reinforcement learning (RL) is a type of machine learning that involves an agent interacting with an environment to achieve a goal by maximizing rewards over time [E1-15]. The agent makes sequential decisions that influence the state of the environment. This decision-making process can be modeled as a Markov decision process (MDP) [E1-17], which has four main components: states representing the environment, actions taken by the agent, transition probabilities between states, and a reward function that provides feedback. The solution to the MDP is an optimal policy that maps states to actions to maximize reward.</w:t>
      </w:r>
    </w:p>
    <w:p w:rsidR="00000000" w:rsidDel="00000000" w:rsidP="00000000" w:rsidRDefault="00000000" w:rsidRPr="00000000" w14:paraId="00000068">
      <w:pPr>
        <w:pBdr>
          <w:top w:color="1c1917" w:space="0" w:sz="0" w:val="none"/>
          <w:left w:color="1c1917" w:space="0" w:sz="0" w:val="none"/>
          <w:bottom w:color="1c1917" w:space="0" w:sz="0" w:val="none"/>
          <w:right w:color="1c1917" w:space="0" w:sz="0" w:val="none"/>
          <w:between w:color="1c1917" w:space="0" w:sz="0" w:val="none"/>
        </w:pBdr>
        <w:shd w:fill="ffffff" w:val="clear"/>
        <w:rPr>
          <w:rFonts w:ascii="Times New Roman" w:cs="Times New Roman" w:eastAsia="Times New Roman" w:hAnsi="Times New Roman"/>
          <w:color w:val="1c1917"/>
          <w:sz w:val="20"/>
          <w:szCs w:val="20"/>
        </w:rPr>
      </w:pPr>
      <w:r w:rsidDel="00000000" w:rsidR="00000000" w:rsidRPr="00000000">
        <w:rPr>
          <w:rtl w:val="0"/>
        </w:rPr>
      </w:r>
    </w:p>
    <w:p w:rsidR="00000000" w:rsidDel="00000000" w:rsidP="00000000" w:rsidRDefault="00000000" w:rsidRPr="00000000" w14:paraId="00000069">
      <w:pPr>
        <w:pBdr>
          <w:top w:color="1c1917" w:space="0" w:sz="0" w:val="none"/>
          <w:left w:color="1c1917" w:space="0" w:sz="0" w:val="none"/>
          <w:bottom w:color="1c1917" w:space="0" w:sz="0" w:val="none"/>
          <w:right w:color="1c1917" w:space="0" w:sz="0" w:val="none"/>
          <w:between w:color="1c1917" w:space="0" w:sz="0" w:val="none"/>
        </w:pBdr>
        <w:shd w:fill="ffffff" w:val="clear"/>
        <w:rPr>
          <w:rFonts w:ascii="Times New Roman" w:cs="Times New Roman" w:eastAsia="Times New Roman" w:hAnsi="Times New Roman"/>
          <w:color w:val="1c1917"/>
          <w:sz w:val="20"/>
          <w:szCs w:val="20"/>
        </w:rPr>
      </w:pPr>
      <w:r w:rsidDel="00000000" w:rsidR="00000000" w:rsidRPr="00000000">
        <w:rPr>
          <w:rFonts w:ascii="Times New Roman" w:cs="Times New Roman" w:eastAsia="Times New Roman" w:hAnsi="Times New Roman"/>
          <w:color w:val="1c1917"/>
          <w:sz w:val="20"/>
          <w:szCs w:val="20"/>
          <w:rtl w:val="0"/>
        </w:rPr>
        <w:t xml:space="preserve">Specifically, at each timestep the RL agent observes the current state and chooses an action based on past experience. The action influences the next state based on stochastic transition dynamics. The agent receives evaluative feedback on its action in the form of a scalar reward signal. Through repeated trial-and-error experiences the agent can learn to select actions that tend to produce higher long-term reward [E1-16]. The goal is to optimize the policy for selecting actions to maximize expected cumulative future reward. RL is well-suited for goal-oriented learning problems where an agent must learn behaviors from interactively exploring and influencing its environment.</w:t>
      </w:r>
    </w:p>
    <w:p w:rsidR="00000000" w:rsidDel="00000000" w:rsidP="00000000" w:rsidRDefault="00000000" w:rsidRPr="00000000" w14:paraId="0000006A">
      <w:pPr>
        <w:pBdr>
          <w:top w:color="1c1917" w:space="0" w:sz="0" w:val="none"/>
          <w:left w:color="1c1917" w:space="0" w:sz="0" w:val="none"/>
          <w:bottom w:color="1c1917" w:space="0" w:sz="0" w:val="none"/>
          <w:right w:color="1c1917" w:space="0" w:sz="0" w:val="none"/>
          <w:between w:color="1c1917" w:space="0" w:sz="0" w:val="none"/>
        </w:pBdr>
        <w:shd w:fill="ffffff" w:val="clear"/>
        <w:rPr>
          <w:rFonts w:ascii="Times New Roman" w:cs="Times New Roman" w:eastAsia="Times New Roman" w:hAnsi="Times New Roman"/>
          <w:color w:val="1c1917"/>
          <w:sz w:val="20"/>
          <w:szCs w:val="20"/>
        </w:rPr>
      </w:pPr>
      <w:r w:rsidDel="00000000" w:rsidR="00000000" w:rsidRPr="00000000">
        <w:rPr>
          <w:rtl w:val="0"/>
        </w:rPr>
      </w:r>
    </w:p>
    <w:p w:rsidR="00000000" w:rsidDel="00000000" w:rsidP="00000000" w:rsidRDefault="00000000" w:rsidRPr="00000000" w14:paraId="0000006B">
      <w:pPr>
        <w:pBdr>
          <w:top w:color="1c1917" w:space="0" w:sz="0" w:val="none"/>
          <w:left w:color="1c1917" w:space="0" w:sz="0" w:val="none"/>
          <w:bottom w:color="1c1917" w:space="0" w:sz="0" w:val="none"/>
          <w:right w:color="1c1917" w:space="0" w:sz="0" w:val="none"/>
          <w:between w:color="1c1917" w:space="0" w:sz="0" w:val="none"/>
        </w:pBdr>
        <w:shd w:fill="ffffff" w:val="clear"/>
        <w:rPr>
          <w:rFonts w:ascii="Times New Roman" w:cs="Times New Roman" w:eastAsia="Times New Roman" w:hAnsi="Times New Roman"/>
          <w:color w:val="1c1917"/>
          <w:sz w:val="20"/>
          <w:szCs w:val="20"/>
        </w:rPr>
      </w:pPr>
      <w:r w:rsidDel="00000000" w:rsidR="00000000" w:rsidRPr="00000000">
        <w:rPr>
          <w:rFonts w:ascii="Times New Roman" w:cs="Times New Roman" w:eastAsia="Times New Roman" w:hAnsi="Times New Roman"/>
          <w:color w:val="1c1917"/>
          <w:sz w:val="20"/>
          <w:szCs w:val="20"/>
          <w:rtl w:val="0"/>
        </w:rPr>
        <w:t xml:space="preserve">Reinforcement learning shows promise for improving critical care in the ICU. The large volume and granular nature of patient data in the ICU is well-suited for reinforcement learning models that can analyze sequences of treatment decisions and outcomes [E1-21]. By exploring different treatment trajectories through repeated simulation, reinforcement learning agents can discover personalized treatment protocols that optimize long-term patient outcomes such as survival probability. A key advantage of reinforcement learning is the ability to automatically derive insights into effective treatment sequencing and timing without being explicitly programmed with clinical domain knowledge. As digital records grow to capture multi-scale patient dynamics, reinforcement learning has emerging potential both to recommend therapies for new ICU cases and to elucidate relationships between care pathways and outcomes using observational patient data.</w:t>
      </w:r>
    </w:p>
    <w:p w:rsidR="00000000" w:rsidDel="00000000" w:rsidP="00000000" w:rsidRDefault="00000000" w:rsidRPr="00000000" w14:paraId="0000006C">
      <w:pPr>
        <w:pBdr>
          <w:top w:color="1c1917" w:space="0" w:sz="0" w:val="none"/>
          <w:left w:color="1c1917" w:space="0" w:sz="0" w:val="none"/>
          <w:bottom w:color="1c1917" w:space="0" w:sz="0" w:val="none"/>
          <w:right w:color="1c1917" w:space="0" w:sz="0" w:val="none"/>
          <w:between w:color="1c1917" w:space="0" w:sz="0" w:val="none"/>
        </w:pBdr>
        <w:shd w:fill="ffffff" w:val="clear"/>
        <w:rPr>
          <w:rFonts w:ascii="Times New Roman" w:cs="Times New Roman" w:eastAsia="Times New Roman" w:hAnsi="Times New Roman"/>
          <w:color w:val="1c1917"/>
          <w:sz w:val="20"/>
          <w:szCs w:val="20"/>
        </w:rPr>
      </w:pPr>
      <w:r w:rsidDel="00000000" w:rsidR="00000000" w:rsidRPr="00000000">
        <w:rPr>
          <w:rtl w:val="0"/>
        </w:rPr>
      </w:r>
    </w:p>
    <w:p w:rsidR="00000000" w:rsidDel="00000000" w:rsidP="00000000" w:rsidRDefault="00000000" w:rsidRPr="00000000" w14:paraId="0000006D">
      <w:pPr>
        <w:pBdr>
          <w:top w:color="1c1917" w:space="0" w:sz="0" w:val="none"/>
          <w:left w:color="1c1917" w:space="0" w:sz="0" w:val="none"/>
          <w:bottom w:color="1c1917" w:space="0" w:sz="0" w:val="none"/>
          <w:right w:color="1c1917" w:space="0" w:sz="0" w:val="none"/>
          <w:between w:color="1c1917" w:space="0" w:sz="0" w:val="none"/>
        </w:pBdr>
        <w:shd w:fill="ffffff" w:val="clear"/>
        <w:rPr>
          <w:rFonts w:ascii="Times New Roman" w:cs="Times New Roman" w:eastAsia="Times New Roman" w:hAnsi="Times New Roman"/>
          <w:color w:val="1c1917"/>
          <w:sz w:val="20"/>
          <w:szCs w:val="20"/>
        </w:rPr>
      </w:pPr>
      <w:r w:rsidDel="00000000" w:rsidR="00000000" w:rsidRPr="00000000">
        <w:rPr>
          <w:rFonts w:ascii="Times New Roman" w:cs="Times New Roman" w:eastAsia="Times New Roman" w:hAnsi="Times New Roman"/>
          <w:color w:val="1c1917"/>
          <w:sz w:val="20"/>
          <w:szCs w:val="20"/>
          <w:rtl w:val="0"/>
        </w:rPr>
        <w:t xml:space="preserve">Digital twins powered by RL have also shown potential for transforming precision healthcare. RL can enable the digital twin to serve as an artificial patient for in silico clinical trials to predict the outcomes of interventions in ways that replicate real-world variability across patient populations. Researchers have already demonstrated using RL-enhanced digital twins of cardiac patients for testing personalized treatment plans to find the best ones for specific individuals before having patients undergo them </w:t>
      </w:r>
      <w:r w:rsidDel="00000000" w:rsidR="00000000" w:rsidRPr="00000000">
        <w:rPr>
          <w:rFonts w:ascii="Times New Roman" w:cs="Times New Roman" w:eastAsia="Times New Roman" w:hAnsi="Times New Roman"/>
          <w:color w:val="222222"/>
          <w:sz w:val="18"/>
          <w:szCs w:val="18"/>
          <w:highlight w:val="white"/>
          <w:rtl w:val="0"/>
        </w:rPr>
        <w:t xml:space="preserve">[NEW-RL-3]</w:t>
      </w:r>
      <w:r w:rsidDel="00000000" w:rsidR="00000000" w:rsidRPr="00000000">
        <w:rPr>
          <w:rFonts w:ascii="Times New Roman" w:cs="Times New Roman" w:eastAsia="Times New Roman" w:hAnsi="Times New Roman"/>
          <w:color w:val="1c1917"/>
          <w:sz w:val="20"/>
          <w:szCs w:val="20"/>
          <w:rtl w:val="0"/>
        </w:rPr>
        <w:t xml:space="preserve">.</w:t>
      </w:r>
    </w:p>
    <w:p w:rsidR="00000000" w:rsidDel="00000000" w:rsidP="00000000" w:rsidRDefault="00000000" w:rsidRPr="00000000" w14:paraId="0000006E">
      <w:pPr>
        <w:pBdr>
          <w:top w:color="1c1917" w:space="0" w:sz="0" w:val="none"/>
          <w:left w:color="1c1917" w:space="0" w:sz="0" w:val="none"/>
          <w:bottom w:color="1c1917" w:space="0" w:sz="0" w:val="none"/>
          <w:right w:color="1c1917" w:space="0" w:sz="0" w:val="none"/>
          <w:between w:color="1c1917" w:space="0" w:sz="0" w:val="none"/>
        </w:pBdr>
        <w:shd w:fill="ffffff" w:val="clear"/>
        <w:rPr>
          <w:rFonts w:ascii="Times New Roman" w:cs="Times New Roman" w:eastAsia="Times New Roman" w:hAnsi="Times New Roman"/>
          <w:color w:val="1c1917"/>
          <w:sz w:val="20"/>
          <w:szCs w:val="20"/>
        </w:rPr>
      </w:pPr>
      <w:r w:rsidDel="00000000" w:rsidR="00000000" w:rsidRPr="00000000">
        <w:rPr>
          <w:rtl w:val="0"/>
        </w:rPr>
      </w:r>
    </w:p>
    <w:p w:rsidR="00000000" w:rsidDel="00000000" w:rsidP="00000000" w:rsidRDefault="00000000" w:rsidRPr="00000000" w14:paraId="0000006F">
      <w:pPr>
        <w:pBdr>
          <w:top w:color="1c1917" w:space="0" w:sz="0" w:val="none"/>
          <w:left w:color="1c1917" w:space="0" w:sz="0" w:val="none"/>
          <w:bottom w:color="1c1917" w:space="0" w:sz="0" w:val="none"/>
          <w:right w:color="1c1917" w:space="0" w:sz="0" w:val="none"/>
          <w:between w:color="1c1917" w:space="0" w:sz="0" w:val="none"/>
        </w:pBdr>
        <w:shd w:fill="ffffff" w:val="clear"/>
        <w:rPr>
          <w:rFonts w:ascii="Times New Roman" w:cs="Times New Roman" w:eastAsia="Times New Roman" w:hAnsi="Times New Roman"/>
          <w:color w:val="1c1917"/>
          <w:sz w:val="20"/>
          <w:szCs w:val="20"/>
        </w:rPr>
      </w:pPr>
      <w:r w:rsidDel="00000000" w:rsidR="00000000" w:rsidRPr="00000000">
        <w:rPr>
          <w:rFonts w:ascii="Times New Roman" w:cs="Times New Roman" w:eastAsia="Times New Roman" w:hAnsi="Times New Roman"/>
          <w:color w:val="1c1917"/>
          <w:sz w:val="20"/>
          <w:szCs w:val="20"/>
          <w:rtl w:val="0"/>
        </w:rPr>
        <w:t xml:space="preserve">RL and digital twins can be integrated for online adaptation of care as a patient’s illness progresses </w:t>
      </w:r>
      <w:r w:rsidDel="00000000" w:rsidR="00000000" w:rsidRPr="00000000">
        <w:rPr>
          <w:rFonts w:ascii="Times New Roman" w:cs="Times New Roman" w:eastAsia="Times New Roman" w:hAnsi="Times New Roman"/>
          <w:color w:val="222222"/>
          <w:sz w:val="18"/>
          <w:szCs w:val="18"/>
          <w:highlight w:val="white"/>
          <w:rtl w:val="0"/>
        </w:rPr>
        <w:t xml:space="preserve">[NEW-RL-2]</w:t>
      </w:r>
      <w:r w:rsidDel="00000000" w:rsidR="00000000" w:rsidRPr="00000000">
        <w:rPr>
          <w:rFonts w:ascii="Times New Roman" w:cs="Times New Roman" w:eastAsia="Times New Roman" w:hAnsi="Times New Roman"/>
          <w:color w:val="1c1917"/>
          <w:sz w:val="20"/>
          <w:szCs w:val="20"/>
          <w:rtl w:val="0"/>
        </w:rPr>
        <w:t xml:space="preserve">. The digital twin provides a risk-free virtual environment for the RL agent to continuously explore updated interventions in line with the evolution of the patient’s condition and preferences, as telehealth data informs the model updates. This allows for intelligent optimization of tailored precision treatments over longer periods. Such a framework could even support shared decision-making in which the human provider collaborates with the AI system in choosing the best care pathway. Over time, as more patient digital twins get implemented, the RL models can expand their datasets to make recommendations better informed by broader evidence.</w:t>
      </w:r>
    </w:p>
    <w:p w:rsidR="00000000" w:rsidDel="00000000" w:rsidP="00000000" w:rsidRDefault="00000000" w:rsidRPr="00000000" w14:paraId="00000070">
      <w:pPr>
        <w:pBdr>
          <w:top w:color="1c1917" w:space="0" w:sz="0" w:val="none"/>
          <w:left w:color="1c1917" w:space="0" w:sz="0" w:val="none"/>
          <w:bottom w:color="1c1917" w:space="0" w:sz="0" w:val="none"/>
          <w:right w:color="1c1917" w:space="0" w:sz="0" w:val="none"/>
          <w:between w:color="1c1917" w:space="0" w:sz="0" w:val="none"/>
        </w:pBdr>
        <w:shd w:fill="ffffff" w:val="clear"/>
        <w:rPr>
          <w:rFonts w:ascii="Times New Roman" w:cs="Times New Roman" w:eastAsia="Times New Roman" w:hAnsi="Times New Roman"/>
          <w:color w:val="1c1917"/>
          <w:sz w:val="20"/>
          <w:szCs w:val="20"/>
        </w:rPr>
      </w:pPr>
      <w:r w:rsidDel="00000000" w:rsidR="00000000" w:rsidRPr="00000000">
        <w:rPr>
          <w:rtl w:val="0"/>
        </w:rPr>
      </w:r>
    </w:p>
    <w:p w:rsidR="00000000" w:rsidDel="00000000" w:rsidP="00000000" w:rsidRDefault="00000000" w:rsidRPr="00000000" w14:paraId="00000071">
      <w:pPr>
        <w:pBdr>
          <w:top w:color="1c1917" w:space="0" w:sz="0" w:val="none"/>
          <w:left w:color="1c1917" w:space="0" w:sz="0" w:val="none"/>
          <w:bottom w:color="1c1917" w:space="0" w:sz="0" w:val="none"/>
          <w:right w:color="1c1917" w:space="0" w:sz="0" w:val="none"/>
          <w:between w:color="1c1917" w:space="0" w:sz="0" w:val="none"/>
        </w:pBdr>
        <w:shd w:fill="ffffff" w:val="clear"/>
        <w:rPr>
          <w:rFonts w:ascii="Times New Roman" w:cs="Times New Roman" w:eastAsia="Times New Roman" w:hAnsi="Times New Roman"/>
          <w:color w:val="1c1917"/>
          <w:sz w:val="20"/>
          <w:szCs w:val="20"/>
        </w:rPr>
      </w:pPr>
      <w:r w:rsidDel="00000000" w:rsidR="00000000" w:rsidRPr="00000000">
        <w:rPr>
          <w:rFonts w:ascii="Times New Roman" w:cs="Times New Roman" w:eastAsia="Times New Roman" w:hAnsi="Times New Roman"/>
          <w:color w:val="1c1917"/>
          <w:sz w:val="20"/>
          <w:szCs w:val="20"/>
          <w:rtl w:val="0"/>
        </w:rPr>
        <w:t xml:space="preserve">While RL-based precision healthcare powered by digital twins shows promise, there are still challenges to overcome. Patient health data can be complex, subjective and sparse, especially early in an illness. This can make developing useful digital twin models difficult. There are also barriers in implementing model updates from disparate data sources like wearables and electronic health records. From an RL standpoint, the available sample sizes for training may be inadequate for effectively optimizing personalized plans for patients with rare conditions. Safety considerations around automated AI systems recommending therapies also remain.</w:t>
      </w:r>
    </w:p>
    <w:p w:rsidR="00000000" w:rsidDel="00000000" w:rsidP="00000000" w:rsidRDefault="00000000" w:rsidRPr="00000000" w14:paraId="00000072">
      <w:pPr>
        <w:pBdr>
          <w:top w:color="1c1917" w:space="0" w:sz="0" w:val="none"/>
          <w:left w:color="1c1917" w:space="0" w:sz="0" w:val="none"/>
          <w:bottom w:color="1c1917" w:space="0" w:sz="0" w:val="none"/>
          <w:right w:color="1c1917" w:space="0" w:sz="0" w:val="none"/>
          <w:between w:color="1c1917" w:space="0" w:sz="0" w:val="none"/>
        </w:pBdr>
        <w:shd w:fill="ffffff" w:val="clear"/>
        <w:rPr>
          <w:rFonts w:ascii="Times New Roman" w:cs="Times New Roman" w:eastAsia="Times New Roman" w:hAnsi="Times New Roman"/>
          <w:color w:val="1c1917"/>
          <w:sz w:val="20"/>
          <w:szCs w:val="20"/>
        </w:rPr>
      </w:pPr>
      <w:r w:rsidDel="00000000" w:rsidR="00000000" w:rsidRPr="00000000">
        <w:rPr>
          <w:rtl w:val="0"/>
        </w:rPr>
      </w:r>
    </w:p>
    <w:p w:rsidR="00000000" w:rsidDel="00000000" w:rsidP="00000000" w:rsidRDefault="00000000" w:rsidRPr="00000000" w14:paraId="00000073">
      <w:pPr>
        <w:spacing w:after="115" w:before="245" w:line="240" w:lineRule="auto"/>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3. State-Of-The-Art Works In The Diagnostic And Therapeutic Industry</w:t>
      </w:r>
    </w:p>
    <w:p w:rsidR="00000000" w:rsidDel="00000000" w:rsidP="00000000" w:rsidRDefault="00000000" w:rsidRPr="00000000" w14:paraId="00000074">
      <w:pPr>
        <w:pBdr>
          <w:top w:color="1c1917" w:space="0" w:sz="0" w:val="none"/>
          <w:left w:color="1c1917" w:space="0" w:sz="0" w:val="none"/>
          <w:bottom w:color="1c1917" w:space="0" w:sz="0" w:val="none"/>
          <w:right w:color="1c1917" w:space="0" w:sz="0" w:val="none"/>
          <w:between w:color="1c1917" w:space="0" w:sz="0" w:val="none"/>
        </w:pBdr>
        <w:shd w:fill="ffffff" w:val="clear"/>
        <w:rPr>
          <w:rFonts w:ascii="Times New Roman" w:cs="Times New Roman" w:eastAsia="Times New Roman" w:hAnsi="Times New Roman"/>
          <w:color w:val="1c1917"/>
          <w:sz w:val="20"/>
          <w:szCs w:val="20"/>
          <w:highlight w:val="white"/>
        </w:rPr>
      </w:pPr>
      <w:r w:rsidDel="00000000" w:rsidR="00000000" w:rsidRPr="00000000">
        <w:rPr>
          <w:rFonts w:ascii="Times New Roman" w:cs="Times New Roman" w:eastAsia="Times New Roman" w:hAnsi="Times New Roman"/>
          <w:color w:val="1c1917"/>
          <w:sz w:val="20"/>
          <w:szCs w:val="20"/>
          <w:highlight w:val="white"/>
          <w:rtl w:val="0"/>
        </w:rPr>
        <w:t xml:space="preserve">Digital twins with an integration with machine learning(artificial intelligence) are poised to transform modern healthcare through advanced simulation capabilities. Digital twins create virtual patient models integrating multi-modal data including medical records, genetics, and sensor streams. These living digital profiles enable highly personalized care through predictive diagnostics, tailored treatments, and continuous risk monitoring specific to the individual. Meanwhile, machine learning handles complex physiological data analysis to uncover early indicators across imaging, 'omics, and electronic health records for enhanced precision medicine.</w:t>
      </w:r>
    </w:p>
    <w:p w:rsidR="00000000" w:rsidDel="00000000" w:rsidP="00000000" w:rsidRDefault="00000000" w:rsidRPr="00000000" w14:paraId="00000075">
      <w:pPr>
        <w:pBdr>
          <w:top w:color="1c1917" w:space="0" w:sz="0" w:val="none"/>
          <w:left w:color="1c1917" w:space="0" w:sz="0" w:val="none"/>
          <w:bottom w:color="1c1917" w:space="0" w:sz="0" w:val="none"/>
          <w:right w:color="1c1917" w:space="0" w:sz="0" w:val="none"/>
          <w:between w:color="1c1917" w:space="0" w:sz="0" w:val="none"/>
        </w:pBdr>
        <w:shd w:fill="ffffff" w:val="clear"/>
        <w:rPr>
          <w:rFonts w:ascii="Times New Roman" w:cs="Times New Roman" w:eastAsia="Times New Roman" w:hAnsi="Times New Roman"/>
          <w:color w:val="1c1917"/>
          <w:sz w:val="20"/>
          <w:szCs w:val="20"/>
          <w:highlight w:val="white"/>
        </w:rPr>
      </w:pPr>
      <w:r w:rsidDel="00000000" w:rsidR="00000000" w:rsidRPr="00000000">
        <w:rPr>
          <w:rtl w:val="0"/>
        </w:rPr>
      </w:r>
    </w:p>
    <w:p w:rsidR="00000000" w:rsidDel="00000000" w:rsidP="00000000" w:rsidRDefault="00000000" w:rsidRPr="00000000" w14:paraId="00000076">
      <w:pPr>
        <w:pBdr>
          <w:top w:color="1c1917" w:space="0" w:sz="0" w:val="none"/>
          <w:left w:color="1c1917" w:space="0" w:sz="0" w:val="none"/>
          <w:bottom w:color="1c1917" w:space="0" w:sz="0" w:val="none"/>
          <w:right w:color="1c1917" w:space="0" w:sz="0" w:val="none"/>
          <w:between w:color="1c1917" w:space="0" w:sz="0" w:val="none"/>
        </w:pBdr>
        <w:shd w:fill="ffffff" w:val="clear"/>
        <w:rPr>
          <w:rFonts w:ascii="Times New Roman" w:cs="Times New Roman" w:eastAsia="Times New Roman" w:hAnsi="Times New Roman"/>
          <w:color w:val="1c1917"/>
          <w:sz w:val="20"/>
          <w:szCs w:val="20"/>
          <w:highlight w:val="white"/>
        </w:rPr>
      </w:pPr>
      <w:r w:rsidDel="00000000" w:rsidR="00000000" w:rsidRPr="00000000">
        <w:rPr>
          <w:rFonts w:ascii="Times New Roman" w:cs="Times New Roman" w:eastAsia="Times New Roman" w:hAnsi="Times New Roman"/>
          <w:color w:val="1c1917"/>
          <w:sz w:val="20"/>
          <w:szCs w:val="20"/>
          <w:highlight w:val="white"/>
          <w:rtl w:val="0"/>
        </w:rPr>
        <w:t xml:space="preserve">Table 1 provides a comprehensive overview of several cutting-edge deep learning models that are transforming and advancing various areas within the healthcare diagnostics and therapeutics industry. In particular, the table summarizes key details about innovative deep-learning approaches across medical imaging, electronic health records, genomics, and drug discovery.</w:t>
      </w:r>
    </w:p>
    <w:p w:rsidR="00000000" w:rsidDel="00000000" w:rsidP="00000000" w:rsidRDefault="00000000" w:rsidRPr="00000000" w14:paraId="00000077">
      <w:pPr>
        <w:spacing w:after="120" w:before="240" w:lineRule="auto"/>
        <w:ind w:firstLine="54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TABLE I. STATE-OF-THE-ART DEEP LEARNING MODELS IN THE DIAGNOSTIC AND THERAPEUTIC INDUSTRY</w:t>
      </w:r>
    </w:p>
    <w:p w:rsidR="00000000" w:rsidDel="00000000" w:rsidP="00000000" w:rsidRDefault="00000000" w:rsidRPr="00000000" w14:paraId="00000078">
      <w:pPr>
        <w:ind w:left="720" w:firstLine="0"/>
        <w:jc w:val="center"/>
        <w:rPr>
          <w:rFonts w:ascii="Times New Roman" w:cs="Times New Roman" w:eastAsia="Times New Roman" w:hAnsi="Times New Roman"/>
          <w:sz w:val="16"/>
          <w:szCs w:val="16"/>
        </w:rPr>
      </w:pPr>
      <w:r w:rsidDel="00000000" w:rsidR="00000000" w:rsidRPr="00000000">
        <w:rPr>
          <w:rtl w:val="0"/>
        </w:rPr>
      </w:r>
    </w:p>
    <w:tbl>
      <w:tblPr>
        <w:tblStyle w:val="Table1"/>
        <w:tblW w:w="877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1125"/>
        <w:gridCol w:w="1020"/>
        <w:gridCol w:w="4650"/>
        <w:tblGridChange w:id="0">
          <w:tblGrid>
            <w:gridCol w:w="1980"/>
            <w:gridCol w:w="1125"/>
            <w:gridCol w:w="1020"/>
            <w:gridCol w:w="4650"/>
          </w:tblGrid>
        </w:tblGridChange>
      </w:tblGrid>
      <w:tr>
        <w:trPr>
          <w:cantSplit w:val="0"/>
          <w:trHeight w:val="30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79">
            <w:pPr>
              <w:widowControl w:val="0"/>
              <w:spacing w:lin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Title</w:t>
            </w:r>
          </w:p>
        </w:tc>
        <w:tc>
          <w:tcPr>
            <w:shd w:fill="auto" w:val="clear"/>
            <w:tcMar>
              <w:top w:w="100.0" w:type="dxa"/>
              <w:left w:w="100.0" w:type="dxa"/>
              <w:bottom w:w="100.0" w:type="dxa"/>
              <w:right w:w="100.0" w:type="dxa"/>
            </w:tcMar>
          </w:tcPr>
          <w:p w:rsidR="00000000" w:rsidDel="00000000" w:rsidP="00000000" w:rsidRDefault="00000000" w:rsidRPr="00000000" w14:paraId="0000007A">
            <w:pPr>
              <w:widowControl w:val="0"/>
              <w:spacing w:lin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Authors</w:t>
            </w:r>
          </w:p>
        </w:tc>
        <w:tc>
          <w:tcPr>
            <w:shd w:fill="auto" w:val="clear"/>
            <w:tcMar>
              <w:top w:w="100.0" w:type="dxa"/>
              <w:left w:w="100.0" w:type="dxa"/>
              <w:bottom w:w="100.0" w:type="dxa"/>
              <w:right w:w="100.0" w:type="dxa"/>
            </w:tcMar>
          </w:tcPr>
          <w:p w:rsidR="00000000" w:rsidDel="00000000" w:rsidP="00000000" w:rsidRDefault="00000000" w:rsidRPr="00000000" w14:paraId="0000007B">
            <w:pPr>
              <w:widowControl w:val="0"/>
              <w:spacing w:lin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Year</w:t>
            </w:r>
          </w:p>
        </w:tc>
        <w:tc>
          <w:tcPr>
            <w:shd w:fill="auto" w:val="clear"/>
            <w:tcMar>
              <w:top w:w="100.0" w:type="dxa"/>
              <w:left w:w="100.0" w:type="dxa"/>
              <w:bottom w:w="100.0" w:type="dxa"/>
              <w:right w:w="100.0" w:type="dxa"/>
            </w:tcMar>
          </w:tcPr>
          <w:p w:rsidR="00000000" w:rsidDel="00000000" w:rsidP="00000000" w:rsidRDefault="00000000" w:rsidRPr="00000000" w14:paraId="0000007C">
            <w:pPr>
              <w:widowControl w:val="0"/>
              <w:spacing w:lin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Brief Description</w:t>
            </w:r>
          </w:p>
        </w:tc>
      </w:tr>
      <w:tr>
        <w:trPr>
          <w:cantSplit w:val="0"/>
          <w:trHeight w:val="103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7D">
            <w:pPr>
              <w:spacing w:after="120"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SYNDEEP: a deep learning approach for the prediction of cancer drug synergy. [3]</w:t>
            </w:r>
          </w:p>
        </w:tc>
        <w:tc>
          <w:tcPr>
            <w:shd w:fill="auto" w:val="clear"/>
            <w:tcMar>
              <w:top w:w="100.0" w:type="dxa"/>
              <w:left w:w="100.0" w:type="dxa"/>
              <w:bottom w:w="100.0" w:type="dxa"/>
              <w:right w:w="100.0" w:type="dxa"/>
            </w:tcMar>
          </w:tcPr>
          <w:p w:rsidR="00000000" w:rsidDel="00000000" w:rsidP="00000000" w:rsidRDefault="00000000" w:rsidRPr="00000000" w14:paraId="0000007E">
            <w:pPr>
              <w:spacing w:after="120"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Torkamannia et al.</w:t>
            </w:r>
          </w:p>
        </w:tc>
        <w:tc>
          <w:tcPr>
            <w:shd w:fill="auto" w:val="clear"/>
            <w:tcMar>
              <w:top w:w="100.0" w:type="dxa"/>
              <w:left w:w="100.0" w:type="dxa"/>
              <w:bottom w:w="100.0" w:type="dxa"/>
              <w:right w:w="100.0" w:type="dxa"/>
            </w:tcMar>
          </w:tcPr>
          <w:p w:rsidR="00000000" w:rsidDel="00000000" w:rsidP="00000000" w:rsidRDefault="00000000" w:rsidRPr="00000000" w14:paraId="0000007F">
            <w:pPr>
              <w:spacing w:after="120"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2023</w:t>
            </w:r>
          </w:p>
        </w:tc>
        <w:tc>
          <w:tcPr>
            <w:shd w:fill="auto" w:val="clear"/>
            <w:tcMar>
              <w:top w:w="100.0" w:type="dxa"/>
              <w:left w:w="100.0" w:type="dxa"/>
              <w:bottom w:w="100.0" w:type="dxa"/>
              <w:right w:w="100.0" w:type="dxa"/>
            </w:tcMar>
          </w:tcPr>
          <w:p w:rsidR="00000000" w:rsidDel="00000000" w:rsidP="00000000" w:rsidRDefault="00000000" w:rsidRPr="00000000" w14:paraId="00000080">
            <w:pPr>
              <w:spacing w:after="120"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The study presented an advanced method for forecasting synergy in drug combinations, utilizing a diverse set of information such as physicochemical properties, genomic data, protein-protein interactions, and protein-metabolite interactions. This comprehensive approach indicates a thorough exploration of the factors influencing synergistic effects in various drug combinations.</w:t>
            </w:r>
          </w:p>
        </w:tc>
      </w:tr>
      <w:tr>
        <w:trPr>
          <w:cantSplit w:val="0"/>
          <w:trHeight w:val="793"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81">
            <w:pPr>
              <w:spacing w:after="120"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An Ensembled Framework for Human Breast Cancer Survivability Prediction Using Deep Learning [6]</w:t>
            </w:r>
          </w:p>
        </w:tc>
        <w:tc>
          <w:tcPr>
            <w:shd w:fill="auto" w:val="clear"/>
            <w:tcMar>
              <w:top w:w="100.0" w:type="dxa"/>
              <w:left w:w="100.0" w:type="dxa"/>
              <w:bottom w:w="100.0" w:type="dxa"/>
              <w:right w:w="100.0" w:type="dxa"/>
            </w:tcMar>
          </w:tcPr>
          <w:p w:rsidR="00000000" w:rsidDel="00000000" w:rsidP="00000000" w:rsidRDefault="00000000" w:rsidRPr="00000000" w14:paraId="00000082">
            <w:pPr>
              <w:spacing w:after="120"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Mustafa et al.</w:t>
            </w:r>
          </w:p>
        </w:tc>
        <w:tc>
          <w:tcPr>
            <w:shd w:fill="auto" w:val="clear"/>
            <w:tcMar>
              <w:top w:w="100.0" w:type="dxa"/>
              <w:left w:w="100.0" w:type="dxa"/>
              <w:bottom w:w="100.0" w:type="dxa"/>
              <w:right w:w="100.0" w:type="dxa"/>
            </w:tcMar>
          </w:tcPr>
          <w:p w:rsidR="00000000" w:rsidDel="00000000" w:rsidP="00000000" w:rsidRDefault="00000000" w:rsidRPr="00000000" w14:paraId="00000083">
            <w:pPr>
              <w:spacing w:after="120"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2023</w:t>
            </w:r>
          </w:p>
        </w:tc>
        <w:tc>
          <w:tcPr>
            <w:shd w:fill="auto" w:val="clear"/>
            <w:tcMar>
              <w:top w:w="100.0" w:type="dxa"/>
              <w:left w:w="100.0" w:type="dxa"/>
              <w:bottom w:w="100.0" w:type="dxa"/>
              <w:right w:w="100.0" w:type="dxa"/>
            </w:tcMar>
          </w:tcPr>
          <w:p w:rsidR="00000000" w:rsidDel="00000000" w:rsidP="00000000" w:rsidRDefault="00000000" w:rsidRPr="00000000" w14:paraId="00000084">
            <w:pPr>
              <w:spacing w:after="120"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The study proposed a novel method of predicting cancer survival, categorizing it into two groups: long-term and short-term survival.</w:t>
            </w:r>
          </w:p>
        </w:tc>
      </w:tr>
      <w:tr>
        <w:trPr>
          <w:cantSplit w:val="0"/>
          <w:trHeight w:val="33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85">
            <w:pPr>
              <w:spacing w:after="120"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Deep learning-based dose prediction in radiotherapy planning for head and neck cancer [5]</w:t>
            </w:r>
          </w:p>
        </w:tc>
        <w:tc>
          <w:tcPr>
            <w:shd w:fill="auto" w:val="clear"/>
            <w:tcMar>
              <w:top w:w="100.0" w:type="dxa"/>
              <w:left w:w="100.0" w:type="dxa"/>
              <w:bottom w:w="100.0" w:type="dxa"/>
              <w:right w:w="100.0" w:type="dxa"/>
            </w:tcMar>
          </w:tcPr>
          <w:p w:rsidR="00000000" w:rsidDel="00000000" w:rsidP="00000000" w:rsidRDefault="00000000" w:rsidRPr="00000000" w14:paraId="00000086">
            <w:pPr>
              <w:spacing w:after="120"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Teng et al.</w:t>
            </w:r>
          </w:p>
        </w:tc>
        <w:tc>
          <w:tcPr>
            <w:shd w:fill="auto" w:val="clear"/>
            <w:tcMar>
              <w:top w:w="100.0" w:type="dxa"/>
              <w:left w:w="100.0" w:type="dxa"/>
              <w:bottom w:w="100.0" w:type="dxa"/>
              <w:right w:w="100.0" w:type="dxa"/>
            </w:tcMar>
          </w:tcPr>
          <w:p w:rsidR="00000000" w:rsidDel="00000000" w:rsidP="00000000" w:rsidRDefault="00000000" w:rsidRPr="00000000" w14:paraId="00000087">
            <w:pPr>
              <w:spacing w:after="120"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2023</w:t>
            </w:r>
          </w:p>
        </w:tc>
        <w:tc>
          <w:tcPr>
            <w:shd w:fill="auto" w:val="clear"/>
            <w:tcMar>
              <w:top w:w="100.0" w:type="dxa"/>
              <w:left w:w="100.0" w:type="dxa"/>
              <w:bottom w:w="100.0" w:type="dxa"/>
              <w:right w:w="100.0" w:type="dxa"/>
            </w:tcMar>
          </w:tcPr>
          <w:p w:rsidR="00000000" w:rsidDel="00000000" w:rsidP="00000000" w:rsidRDefault="00000000" w:rsidRPr="00000000" w14:paraId="00000088">
            <w:pPr>
              <w:spacing w:after="120"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This study presents a deep learning-based approach for dose distribution prediction in radiotherapy planning for head and neck cancer.</w:t>
            </w:r>
          </w:p>
        </w:tc>
      </w:tr>
      <w:tr>
        <w:trPr>
          <w:cantSplit w:val="0"/>
          <w:trHeight w:val="39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89">
            <w:pPr>
              <w:spacing w:after="120"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Robust deep learning model for prognostic stratification of pancreatic ductal adenocarcinoma patients [4]</w:t>
            </w:r>
          </w:p>
        </w:tc>
        <w:tc>
          <w:tcPr>
            <w:shd w:fill="auto" w:val="clear"/>
            <w:tcMar>
              <w:top w:w="100.0" w:type="dxa"/>
              <w:left w:w="100.0" w:type="dxa"/>
              <w:bottom w:w="100.0" w:type="dxa"/>
              <w:right w:w="100.0" w:type="dxa"/>
            </w:tcMar>
          </w:tcPr>
          <w:p w:rsidR="00000000" w:rsidDel="00000000" w:rsidP="00000000" w:rsidRDefault="00000000" w:rsidRPr="00000000" w14:paraId="0000008A">
            <w:pPr>
              <w:spacing w:after="120"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Ju et al.</w:t>
            </w:r>
          </w:p>
        </w:tc>
        <w:tc>
          <w:tcPr>
            <w:shd w:fill="auto" w:val="clear"/>
            <w:tcMar>
              <w:top w:w="100.0" w:type="dxa"/>
              <w:left w:w="100.0" w:type="dxa"/>
              <w:bottom w:w="100.0" w:type="dxa"/>
              <w:right w:w="100.0" w:type="dxa"/>
            </w:tcMar>
          </w:tcPr>
          <w:p w:rsidR="00000000" w:rsidDel="00000000" w:rsidP="00000000" w:rsidRDefault="00000000" w:rsidRPr="00000000" w14:paraId="0000008B">
            <w:pPr>
              <w:spacing w:after="120"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2021</w:t>
            </w:r>
          </w:p>
        </w:tc>
        <w:tc>
          <w:tcPr>
            <w:shd w:fill="auto" w:val="clear"/>
            <w:tcMar>
              <w:top w:w="100.0" w:type="dxa"/>
              <w:left w:w="100.0" w:type="dxa"/>
              <w:bottom w:w="100.0" w:type="dxa"/>
              <w:right w:w="100.0" w:type="dxa"/>
            </w:tcMar>
          </w:tcPr>
          <w:p w:rsidR="00000000" w:rsidDel="00000000" w:rsidP="00000000" w:rsidRDefault="00000000" w:rsidRPr="00000000" w14:paraId="0000008C">
            <w:pPr>
              <w:spacing w:after="120"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The study presented a sophisticated deep learning algorithm for identifying subtypes of pancreatic ductal adenocarcinoma (PDAC), a type of pancreatic cancer, based on their prognosis. The model has been developed to detect two subtypes of the cancer and to predict the likelihood of disease progression and recovery chances for the patients.</w:t>
            </w:r>
          </w:p>
        </w:tc>
      </w:tr>
      <w:tr>
        <w:trPr>
          <w:cantSplit w:val="0"/>
          <w:trHeight w:val="106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8D">
            <w:pPr>
              <w:spacing w:after="120"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Fully Automatic Deep Learning Framework for Pancreatic Ductal Adenocarcinoma Detection on Computed Tomography [9]</w:t>
            </w:r>
          </w:p>
        </w:tc>
        <w:tc>
          <w:tcPr>
            <w:shd w:fill="auto" w:val="clear"/>
            <w:tcMar>
              <w:top w:w="100.0" w:type="dxa"/>
              <w:left w:w="100.0" w:type="dxa"/>
              <w:bottom w:w="100.0" w:type="dxa"/>
              <w:right w:w="100.0" w:type="dxa"/>
            </w:tcMar>
          </w:tcPr>
          <w:p w:rsidR="00000000" w:rsidDel="00000000" w:rsidP="00000000" w:rsidRDefault="00000000" w:rsidRPr="00000000" w14:paraId="0000008E">
            <w:pPr>
              <w:spacing w:after="120"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Alves et al.</w:t>
            </w:r>
          </w:p>
        </w:tc>
        <w:tc>
          <w:tcPr>
            <w:shd w:fill="auto" w:val="clear"/>
            <w:tcMar>
              <w:top w:w="100.0" w:type="dxa"/>
              <w:left w:w="100.0" w:type="dxa"/>
              <w:bottom w:w="100.0" w:type="dxa"/>
              <w:right w:w="100.0" w:type="dxa"/>
            </w:tcMar>
          </w:tcPr>
          <w:p w:rsidR="00000000" w:rsidDel="00000000" w:rsidP="00000000" w:rsidRDefault="00000000" w:rsidRPr="00000000" w14:paraId="0000008F">
            <w:pPr>
              <w:spacing w:after="120"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2021</w:t>
            </w:r>
          </w:p>
        </w:tc>
        <w:tc>
          <w:tcPr>
            <w:shd w:fill="auto" w:val="clear"/>
            <w:tcMar>
              <w:top w:w="100.0" w:type="dxa"/>
              <w:left w:w="100.0" w:type="dxa"/>
              <w:bottom w:w="100.0" w:type="dxa"/>
              <w:right w:w="100.0" w:type="dxa"/>
            </w:tcMar>
          </w:tcPr>
          <w:p w:rsidR="00000000" w:rsidDel="00000000" w:rsidP="00000000" w:rsidRDefault="00000000" w:rsidRPr="00000000" w14:paraId="00000090">
            <w:pPr>
              <w:spacing w:after="120"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The study presents a fully automated deep learning framework for detecting pancreatic ductal adenocarcinoma (PDAC) on contrast-enhanced computed tomography (CE-CT) scans.</w:t>
            </w:r>
          </w:p>
        </w:tc>
      </w:tr>
    </w:tbl>
    <w:p w:rsidR="00000000" w:rsidDel="00000000" w:rsidP="00000000" w:rsidRDefault="00000000" w:rsidRPr="00000000" w14:paraId="00000091">
      <w:pPr>
        <w:pBdr>
          <w:top w:color="1c1917" w:space="0" w:sz="0" w:val="none"/>
          <w:left w:color="1c1917" w:space="0" w:sz="0" w:val="none"/>
          <w:bottom w:color="1c1917" w:space="0" w:sz="0" w:val="none"/>
          <w:right w:color="1c1917" w:space="0" w:sz="0" w:val="none"/>
          <w:between w:color="1c1917" w:space="0" w:sz="0" w:val="none"/>
        </w:pBdr>
        <w:shd w:fill="ffffff" w:val="clear"/>
        <w:rPr>
          <w:rFonts w:ascii="Times New Roman" w:cs="Times New Roman" w:eastAsia="Times New Roman" w:hAnsi="Times New Roman"/>
          <w:color w:val="1c1917"/>
          <w:sz w:val="20"/>
          <w:szCs w:val="20"/>
          <w:highlight w:val="white"/>
        </w:rPr>
      </w:pPr>
      <w:r w:rsidDel="00000000" w:rsidR="00000000" w:rsidRPr="00000000">
        <w:rPr>
          <w:rtl w:val="0"/>
        </w:rPr>
      </w:r>
    </w:p>
    <w:p w:rsidR="00000000" w:rsidDel="00000000" w:rsidP="00000000" w:rsidRDefault="00000000" w:rsidRPr="00000000" w14:paraId="00000092">
      <w:pPr>
        <w:pBdr>
          <w:top w:color="1c1917" w:space="0" w:sz="0" w:val="none"/>
          <w:left w:color="1c1917" w:space="0" w:sz="0" w:val="none"/>
          <w:bottom w:color="1c1917" w:space="0" w:sz="0" w:val="none"/>
          <w:right w:color="1c1917" w:space="0" w:sz="0" w:val="none"/>
          <w:between w:color="1c1917" w:space="0" w:sz="0" w:val="none"/>
        </w:pBdr>
        <w:shd w:fill="ffffff" w:val="clear"/>
        <w:rPr>
          <w:rFonts w:ascii="Times New Roman" w:cs="Times New Roman" w:eastAsia="Times New Roman" w:hAnsi="Times New Roman"/>
          <w:color w:val="1c1917"/>
          <w:sz w:val="20"/>
          <w:szCs w:val="20"/>
          <w:highlight w:val="white"/>
        </w:rPr>
      </w:pPr>
      <w:r w:rsidDel="00000000" w:rsidR="00000000" w:rsidRPr="00000000">
        <w:rPr>
          <w:rFonts w:ascii="Times New Roman" w:cs="Times New Roman" w:eastAsia="Times New Roman" w:hAnsi="Times New Roman"/>
          <w:color w:val="1c1917"/>
          <w:sz w:val="20"/>
          <w:szCs w:val="20"/>
          <w:highlight w:val="white"/>
          <w:rtl w:val="0"/>
        </w:rPr>
        <w:t xml:space="preserve">Table 2 provides a comprehensive overview of cutting-edge digital twins that are driving major advancements across the healthcare ecosystem. Key examples include cardiac digital twins for predicting heart failure, brain network twins for neurodegenerative conditions, and replication of the airflow in the human lungs.</w:t>
      </w:r>
    </w:p>
    <w:p w:rsidR="00000000" w:rsidDel="00000000" w:rsidP="00000000" w:rsidRDefault="00000000" w:rsidRPr="00000000" w14:paraId="00000093">
      <w:pPr>
        <w:pBdr>
          <w:top w:color="1c1917" w:space="0" w:sz="0" w:val="none"/>
          <w:left w:color="1c1917" w:space="0" w:sz="0" w:val="none"/>
          <w:bottom w:color="1c1917" w:space="0" w:sz="0" w:val="none"/>
          <w:right w:color="1c1917" w:space="0" w:sz="0" w:val="none"/>
          <w:between w:color="1c1917" w:space="0" w:sz="0" w:val="none"/>
        </w:pBdr>
        <w:shd w:fill="ffffff" w:val="clear"/>
        <w:rPr>
          <w:rFonts w:ascii="Times New Roman" w:cs="Times New Roman" w:eastAsia="Times New Roman" w:hAnsi="Times New Roman"/>
          <w:color w:val="1c1917"/>
          <w:sz w:val="20"/>
          <w:szCs w:val="20"/>
          <w:highlight w:val="white"/>
        </w:rPr>
      </w:pPr>
      <w:r w:rsidDel="00000000" w:rsidR="00000000" w:rsidRPr="00000000">
        <w:rPr>
          <w:rtl w:val="0"/>
        </w:rPr>
      </w:r>
    </w:p>
    <w:p w:rsidR="00000000" w:rsidDel="00000000" w:rsidP="00000000" w:rsidRDefault="00000000" w:rsidRPr="00000000" w14:paraId="00000094">
      <w:pPr>
        <w:ind w:left="72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TABLE II. STATE-OF-THE-ART DIGITAL TWINS IN THE DIAGNOSTIC AND THERAPEUTIC INDUSTRY</w:t>
      </w:r>
    </w:p>
    <w:p w:rsidR="00000000" w:rsidDel="00000000" w:rsidP="00000000" w:rsidRDefault="00000000" w:rsidRPr="00000000" w14:paraId="00000095">
      <w:pPr>
        <w:ind w:left="720" w:firstLine="0"/>
        <w:jc w:val="center"/>
        <w:rPr>
          <w:rFonts w:ascii="Times New Roman" w:cs="Times New Roman" w:eastAsia="Times New Roman" w:hAnsi="Times New Roman"/>
          <w:sz w:val="16"/>
          <w:szCs w:val="16"/>
        </w:rPr>
      </w:pPr>
      <w:r w:rsidDel="00000000" w:rsidR="00000000" w:rsidRPr="00000000">
        <w:rPr>
          <w:rtl w:val="0"/>
        </w:rPr>
      </w:r>
    </w:p>
    <w:tbl>
      <w:tblPr>
        <w:tblStyle w:val="Table2"/>
        <w:tblW w:w="877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1125"/>
        <w:gridCol w:w="1020"/>
        <w:gridCol w:w="4650"/>
        <w:tblGridChange w:id="0">
          <w:tblGrid>
            <w:gridCol w:w="1980"/>
            <w:gridCol w:w="1125"/>
            <w:gridCol w:w="1020"/>
            <w:gridCol w:w="4650"/>
          </w:tblGrid>
        </w:tblGridChange>
      </w:tblGrid>
      <w:tr>
        <w:trPr>
          <w:cantSplit w:val="0"/>
          <w:trHeight w:val="30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96">
            <w:pPr>
              <w:widowControl w:val="0"/>
              <w:spacing w:lin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Title</w:t>
            </w:r>
          </w:p>
        </w:tc>
        <w:tc>
          <w:tcPr>
            <w:shd w:fill="auto" w:val="clear"/>
            <w:tcMar>
              <w:top w:w="100.0" w:type="dxa"/>
              <w:left w:w="100.0" w:type="dxa"/>
              <w:bottom w:w="100.0" w:type="dxa"/>
              <w:right w:w="100.0" w:type="dxa"/>
            </w:tcMar>
          </w:tcPr>
          <w:p w:rsidR="00000000" w:rsidDel="00000000" w:rsidP="00000000" w:rsidRDefault="00000000" w:rsidRPr="00000000" w14:paraId="00000097">
            <w:pPr>
              <w:widowControl w:val="0"/>
              <w:spacing w:lin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Authors</w:t>
            </w:r>
          </w:p>
        </w:tc>
        <w:tc>
          <w:tcPr>
            <w:shd w:fill="auto" w:val="clear"/>
            <w:tcMar>
              <w:top w:w="100.0" w:type="dxa"/>
              <w:left w:w="100.0" w:type="dxa"/>
              <w:bottom w:w="100.0" w:type="dxa"/>
              <w:right w:w="100.0" w:type="dxa"/>
            </w:tcMar>
          </w:tcPr>
          <w:p w:rsidR="00000000" w:rsidDel="00000000" w:rsidP="00000000" w:rsidRDefault="00000000" w:rsidRPr="00000000" w14:paraId="00000098">
            <w:pPr>
              <w:widowControl w:val="0"/>
              <w:spacing w:lin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Year</w:t>
            </w:r>
          </w:p>
        </w:tc>
        <w:tc>
          <w:tcPr>
            <w:shd w:fill="auto" w:val="clear"/>
            <w:tcMar>
              <w:top w:w="100.0" w:type="dxa"/>
              <w:left w:w="100.0" w:type="dxa"/>
              <w:bottom w:w="100.0" w:type="dxa"/>
              <w:right w:w="100.0" w:type="dxa"/>
            </w:tcMar>
          </w:tcPr>
          <w:p w:rsidR="00000000" w:rsidDel="00000000" w:rsidP="00000000" w:rsidRDefault="00000000" w:rsidRPr="00000000" w14:paraId="00000099">
            <w:pPr>
              <w:widowControl w:val="0"/>
              <w:spacing w:lin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Brief Description</w:t>
            </w:r>
          </w:p>
        </w:tc>
      </w:tr>
      <w:tr>
        <w:trPr>
          <w:cantSplit w:val="0"/>
          <w:trHeight w:val="151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9A">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The Living Heart Project: A robust and integrative simulator for human heart function [18].</w:t>
            </w:r>
          </w:p>
        </w:tc>
        <w:tc>
          <w:tcPr>
            <w:shd w:fill="auto" w:val="clear"/>
            <w:tcMar>
              <w:top w:w="100.0" w:type="dxa"/>
              <w:left w:w="100.0" w:type="dxa"/>
              <w:bottom w:w="100.0" w:type="dxa"/>
              <w:right w:w="100.0" w:type="dxa"/>
            </w:tcMar>
          </w:tcPr>
          <w:p w:rsidR="00000000" w:rsidDel="00000000" w:rsidP="00000000" w:rsidRDefault="00000000" w:rsidRPr="00000000" w14:paraId="0000009B">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Baillarget al.</w:t>
            </w:r>
          </w:p>
        </w:tc>
        <w:tc>
          <w:tcPr>
            <w:shd w:fill="auto" w:val="clear"/>
            <w:tcMar>
              <w:top w:w="100.0" w:type="dxa"/>
              <w:left w:w="100.0" w:type="dxa"/>
              <w:bottom w:w="100.0" w:type="dxa"/>
              <w:right w:w="100.0" w:type="dxa"/>
            </w:tcMar>
          </w:tcPr>
          <w:p w:rsidR="00000000" w:rsidDel="00000000" w:rsidP="00000000" w:rsidRDefault="00000000" w:rsidRPr="00000000" w14:paraId="0000009C">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2014</w:t>
            </w:r>
          </w:p>
        </w:tc>
        <w:tc>
          <w:tcPr>
            <w:shd w:fill="auto" w:val="clear"/>
            <w:tcMar>
              <w:top w:w="100.0" w:type="dxa"/>
              <w:left w:w="100.0" w:type="dxa"/>
              <w:bottom w:w="100.0" w:type="dxa"/>
              <w:right w:w="100.0" w:type="dxa"/>
            </w:tcMar>
          </w:tcPr>
          <w:p w:rsidR="00000000" w:rsidDel="00000000" w:rsidP="00000000" w:rsidRDefault="00000000" w:rsidRPr="00000000" w14:paraId="0000009D">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The paper presents a state-of-the-art simulator for a four-chamber human heart model based on computer topography and magnetic resonance images. The study visualizes electrical potential and mechanical deformation throughout the cardiac cycle.</w:t>
            </w:r>
          </w:p>
        </w:tc>
      </w:tr>
      <w:tr>
        <w:trPr>
          <w:cantSplit w:val="0"/>
          <w:trHeight w:val="793"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9E">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An In Silico Subject-Variability Study of Upper Airway Morphological Influence on the Airflow Regime in a Tracheobronchial Tree [19].</w:t>
            </w:r>
          </w:p>
        </w:tc>
        <w:tc>
          <w:tcPr>
            <w:shd w:fill="auto" w:val="clear"/>
            <w:tcMar>
              <w:top w:w="100.0" w:type="dxa"/>
              <w:left w:w="100.0" w:type="dxa"/>
              <w:bottom w:w="100.0" w:type="dxa"/>
              <w:right w:w="100.0" w:type="dxa"/>
            </w:tcMar>
          </w:tcPr>
          <w:p w:rsidR="00000000" w:rsidDel="00000000" w:rsidP="00000000" w:rsidRDefault="00000000" w:rsidRPr="00000000" w14:paraId="0000009F">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Feng et al.</w:t>
            </w:r>
          </w:p>
        </w:tc>
        <w:tc>
          <w:tcPr>
            <w:shd w:fill="auto" w:val="clear"/>
            <w:tcMar>
              <w:top w:w="100.0" w:type="dxa"/>
              <w:left w:w="100.0" w:type="dxa"/>
              <w:bottom w:w="100.0" w:type="dxa"/>
              <w:right w:w="100.0" w:type="dxa"/>
            </w:tcMar>
          </w:tcPr>
          <w:p w:rsidR="00000000" w:rsidDel="00000000" w:rsidP="00000000" w:rsidRDefault="00000000" w:rsidRPr="00000000" w14:paraId="000000A0">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2017</w:t>
            </w:r>
          </w:p>
        </w:tc>
        <w:tc>
          <w:tcPr>
            <w:shd w:fill="auto" w:val="clear"/>
            <w:tcMar>
              <w:top w:w="100.0" w:type="dxa"/>
              <w:left w:w="100.0" w:type="dxa"/>
              <w:bottom w:w="100.0" w:type="dxa"/>
              <w:right w:w="100.0" w:type="dxa"/>
            </w:tcMar>
          </w:tcPr>
          <w:p w:rsidR="00000000" w:rsidDel="00000000" w:rsidP="00000000" w:rsidRDefault="00000000" w:rsidRPr="00000000" w14:paraId="000000A1">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The study utilized a sophisticated computational model called Computational Fluid-Particle Dynamics (CFPD) to simulate the flow of air in three different configurations of the human lung airways. The main objective of the research was to identify the morphological factors that significantly influence the airflow patterns and the movement of nanoparticles in the respiratory system.</w:t>
            </w:r>
          </w:p>
        </w:tc>
      </w:tr>
      <w:tr>
        <w:trPr>
          <w:cantSplit w:val="0"/>
          <w:trHeight w:val="33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A2">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 digital twin model for evidence-based clinical decision support in multiple myeloma treatment [38]</w:t>
            </w:r>
          </w:p>
        </w:tc>
        <w:tc>
          <w:tcPr>
            <w:shd w:fill="auto" w:val="clear"/>
            <w:tcMar>
              <w:top w:w="100.0" w:type="dxa"/>
              <w:left w:w="100.0" w:type="dxa"/>
              <w:bottom w:w="100.0" w:type="dxa"/>
              <w:right w:w="100.0" w:type="dxa"/>
            </w:tcMar>
          </w:tcPr>
          <w:p w:rsidR="00000000" w:rsidDel="00000000" w:rsidP="00000000" w:rsidRDefault="00000000" w:rsidRPr="00000000" w14:paraId="000000A3">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Grieb et al.</w:t>
            </w:r>
          </w:p>
        </w:tc>
        <w:tc>
          <w:tcPr>
            <w:shd w:fill="auto" w:val="clear"/>
            <w:tcMar>
              <w:top w:w="100.0" w:type="dxa"/>
              <w:left w:w="100.0" w:type="dxa"/>
              <w:bottom w:w="100.0" w:type="dxa"/>
              <w:right w:w="100.0" w:type="dxa"/>
            </w:tcMar>
          </w:tcPr>
          <w:p w:rsidR="00000000" w:rsidDel="00000000" w:rsidP="00000000" w:rsidRDefault="00000000" w:rsidRPr="00000000" w14:paraId="000000A4">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2023</w:t>
            </w:r>
          </w:p>
        </w:tc>
        <w:tc>
          <w:tcPr>
            <w:shd w:fill="auto" w:val="clear"/>
            <w:tcMar>
              <w:top w:w="100.0" w:type="dxa"/>
              <w:left w:w="100.0" w:type="dxa"/>
              <w:bottom w:w="100.0" w:type="dxa"/>
              <w:right w:w="100.0" w:type="dxa"/>
            </w:tcMar>
          </w:tcPr>
          <w:p w:rsidR="00000000" w:rsidDel="00000000" w:rsidP="00000000" w:rsidRDefault="00000000" w:rsidRPr="00000000" w14:paraId="000000A5">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The paper presents an innovative digital twin model called Multiple Myeloma Digital Twin (MMDT), which is aimed at providing evidence-based clinical decision support for the treatment of multiple myeloma (MM). The primary goal of the MMDT is to predict therapeutic outcomes and distinguish effective treatment options from the ones that might not work. One significant feature of the model is its focus on explainability and interpretability while evaluating treatment outcomes.</w:t>
            </w:r>
          </w:p>
        </w:tc>
      </w:tr>
      <w:tr>
        <w:trPr>
          <w:cantSplit w:val="0"/>
          <w:trHeight w:val="39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A6">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Toward precision medicine using a “digital twin” approach: modeling</w:t>
            </w:r>
          </w:p>
          <w:p w:rsidR="00000000" w:rsidDel="00000000" w:rsidP="00000000" w:rsidRDefault="00000000" w:rsidRPr="00000000" w14:paraId="000000A7">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the onset of disease‑specific brain</w:t>
            </w:r>
          </w:p>
          <w:p w:rsidR="00000000" w:rsidDel="00000000" w:rsidP="00000000" w:rsidRDefault="00000000" w:rsidRPr="00000000" w14:paraId="000000A8">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atrophy in individuals with multiple sclerosis [39]</w:t>
            </w:r>
          </w:p>
        </w:tc>
        <w:tc>
          <w:tcPr>
            <w:shd w:fill="auto" w:val="clear"/>
            <w:tcMar>
              <w:top w:w="100.0" w:type="dxa"/>
              <w:left w:w="100.0" w:type="dxa"/>
              <w:bottom w:w="100.0" w:type="dxa"/>
              <w:right w:w="100.0" w:type="dxa"/>
            </w:tcMar>
          </w:tcPr>
          <w:p w:rsidR="00000000" w:rsidDel="00000000" w:rsidP="00000000" w:rsidRDefault="00000000" w:rsidRPr="00000000" w14:paraId="000000A9">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Cen et al.</w:t>
            </w:r>
          </w:p>
        </w:tc>
        <w:tc>
          <w:tcPr>
            <w:shd w:fill="auto" w:val="clear"/>
            <w:tcMar>
              <w:top w:w="100.0" w:type="dxa"/>
              <w:left w:w="100.0" w:type="dxa"/>
              <w:bottom w:w="100.0" w:type="dxa"/>
              <w:right w:w="100.0" w:type="dxa"/>
            </w:tcMar>
          </w:tcPr>
          <w:p w:rsidR="00000000" w:rsidDel="00000000" w:rsidP="00000000" w:rsidRDefault="00000000" w:rsidRPr="00000000" w14:paraId="000000AA">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2023</w:t>
            </w:r>
          </w:p>
        </w:tc>
        <w:tc>
          <w:tcPr>
            <w:shd w:fill="auto" w:val="clear"/>
            <w:tcMar>
              <w:top w:w="100.0" w:type="dxa"/>
              <w:left w:w="100.0" w:type="dxa"/>
              <w:bottom w:w="100.0" w:type="dxa"/>
              <w:right w:w="100.0" w:type="dxa"/>
            </w:tcMar>
          </w:tcPr>
          <w:p w:rsidR="00000000" w:rsidDel="00000000" w:rsidP="00000000" w:rsidRDefault="00000000" w:rsidRPr="00000000" w14:paraId="000000AB">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The paper introduces a new method called "digital twin" for precision medicine in people with multiple sclerosis (MS). The focus is on modeling the occurrence of disease-specific brain atrophy through brain MRI. To achieve this, the study uses longitudinal data and a well-fitted spline model derived from a large cross-sectional dataset on normal aging. The study also compares various mixed spline models to identify the ideal fit for the research purpose.</w:t>
            </w:r>
          </w:p>
        </w:tc>
      </w:tr>
    </w:tbl>
    <w:p w:rsidR="00000000" w:rsidDel="00000000" w:rsidP="00000000" w:rsidRDefault="00000000" w:rsidRPr="00000000" w14:paraId="000000AC">
      <w:pPr>
        <w:pBdr>
          <w:top w:color="1c1917" w:space="0" w:sz="0" w:val="none"/>
          <w:left w:color="1c1917" w:space="0" w:sz="0" w:val="none"/>
          <w:bottom w:color="1c1917" w:space="0" w:sz="0" w:val="none"/>
          <w:right w:color="1c1917" w:space="0" w:sz="0" w:val="none"/>
          <w:between w:color="1c1917" w:space="0" w:sz="0" w:val="none"/>
        </w:pBdr>
        <w:shd w:fill="ffffff" w:val="clear"/>
        <w:rPr>
          <w:rFonts w:ascii="Times New Roman" w:cs="Times New Roman" w:eastAsia="Times New Roman" w:hAnsi="Times New Roman"/>
          <w:color w:val="1c1917"/>
          <w:sz w:val="20"/>
          <w:szCs w:val="20"/>
          <w:highlight w:val="white"/>
        </w:rPr>
      </w:pPr>
      <w:r w:rsidDel="00000000" w:rsidR="00000000" w:rsidRPr="00000000">
        <w:rPr>
          <w:rtl w:val="0"/>
        </w:rPr>
      </w:r>
    </w:p>
    <w:p w:rsidR="00000000" w:rsidDel="00000000" w:rsidP="00000000" w:rsidRDefault="00000000" w:rsidRPr="00000000" w14:paraId="000000AD">
      <w:pPr>
        <w:pBdr>
          <w:top w:color="1c1917" w:space="0" w:sz="0" w:val="none"/>
          <w:left w:color="1c1917" w:space="0" w:sz="0" w:val="none"/>
          <w:bottom w:color="1c1917" w:space="0" w:sz="0" w:val="none"/>
          <w:right w:color="1c1917" w:space="0" w:sz="0" w:val="none"/>
          <w:between w:color="1c1917" w:space="0" w:sz="0" w:val="none"/>
        </w:pBdr>
        <w:shd w:fill="ffffff" w:val="clear"/>
        <w:rPr>
          <w:rFonts w:ascii="Times New Roman" w:cs="Times New Roman" w:eastAsia="Times New Roman" w:hAnsi="Times New Roman"/>
          <w:color w:val="1c1917"/>
          <w:sz w:val="20"/>
          <w:szCs w:val="20"/>
          <w:highlight w:val="white"/>
        </w:rPr>
      </w:pPr>
      <w:r w:rsidDel="00000000" w:rsidR="00000000" w:rsidRPr="00000000">
        <w:rPr>
          <w:rFonts w:ascii="Times New Roman" w:cs="Times New Roman" w:eastAsia="Times New Roman" w:hAnsi="Times New Roman"/>
          <w:color w:val="1c1917"/>
          <w:sz w:val="20"/>
          <w:szCs w:val="20"/>
          <w:highlight w:val="white"/>
          <w:rtl w:val="0"/>
        </w:rPr>
        <w:t xml:space="preserve">Table 3 provides a comprehensive overview of pioneering digital twin systems powered by integrated deep learning for transforming healthcare diagnostics and therapeutics. These combined platforms harness the strengths of physics-based simulations and data-driven AI for enhanced insights.</w:t>
      </w:r>
    </w:p>
    <w:p w:rsidR="00000000" w:rsidDel="00000000" w:rsidP="00000000" w:rsidRDefault="00000000" w:rsidRPr="00000000" w14:paraId="000000AE">
      <w:pPr>
        <w:pBdr>
          <w:top w:color="1c1917" w:space="0" w:sz="0" w:val="none"/>
          <w:left w:color="1c1917" w:space="0" w:sz="0" w:val="none"/>
          <w:bottom w:color="1c1917" w:space="0" w:sz="0" w:val="none"/>
          <w:right w:color="1c1917" w:space="0" w:sz="0" w:val="none"/>
          <w:between w:color="1c1917" w:space="0" w:sz="0" w:val="none"/>
        </w:pBdr>
        <w:shd w:fill="ffffff" w:val="clear"/>
        <w:rPr>
          <w:rFonts w:ascii="Times New Roman" w:cs="Times New Roman" w:eastAsia="Times New Roman" w:hAnsi="Times New Roman"/>
          <w:color w:val="1c1917"/>
          <w:sz w:val="20"/>
          <w:szCs w:val="20"/>
          <w:highlight w:val="white"/>
        </w:rPr>
      </w:pPr>
      <w:r w:rsidDel="00000000" w:rsidR="00000000" w:rsidRPr="00000000">
        <w:rPr>
          <w:rtl w:val="0"/>
        </w:rPr>
      </w:r>
    </w:p>
    <w:p w:rsidR="00000000" w:rsidDel="00000000" w:rsidP="00000000" w:rsidRDefault="00000000" w:rsidRPr="00000000" w14:paraId="000000AF">
      <w:pPr>
        <w:ind w:left="72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TABLE III. STATE-OF-THE-ART COMBINATIONS OF DIGITAL TWIN AND DEEP LEARNING MODELS IN THE DIAGNOSTIC AND THERAPEUTIC INDUSTRY</w:t>
      </w:r>
    </w:p>
    <w:tbl>
      <w:tblPr>
        <w:tblStyle w:val="Table3"/>
        <w:tblW w:w="876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02"/>
        <w:gridCol w:w="1087"/>
        <w:gridCol w:w="1320"/>
        <w:gridCol w:w="4651"/>
        <w:tblGridChange w:id="0">
          <w:tblGrid>
            <w:gridCol w:w="1702"/>
            <w:gridCol w:w="1087"/>
            <w:gridCol w:w="1320"/>
            <w:gridCol w:w="4651"/>
          </w:tblGrid>
        </w:tblGridChange>
      </w:tblGrid>
      <w:tr>
        <w:trPr>
          <w:cantSplit w:val="0"/>
          <w:trHeight w:val="30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B0">
            <w:pPr>
              <w:widowControl w:val="0"/>
              <w:spacing w:lin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Title</w:t>
            </w:r>
          </w:p>
        </w:tc>
        <w:tc>
          <w:tcPr>
            <w:shd w:fill="auto" w:val="clear"/>
            <w:tcMar>
              <w:top w:w="100.0" w:type="dxa"/>
              <w:left w:w="100.0" w:type="dxa"/>
              <w:bottom w:w="100.0" w:type="dxa"/>
              <w:right w:w="100.0" w:type="dxa"/>
            </w:tcMar>
          </w:tcPr>
          <w:p w:rsidR="00000000" w:rsidDel="00000000" w:rsidP="00000000" w:rsidRDefault="00000000" w:rsidRPr="00000000" w14:paraId="000000B1">
            <w:pPr>
              <w:widowControl w:val="0"/>
              <w:spacing w:lin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Authors</w:t>
            </w:r>
          </w:p>
        </w:tc>
        <w:tc>
          <w:tcPr>
            <w:shd w:fill="auto" w:val="clear"/>
            <w:tcMar>
              <w:top w:w="100.0" w:type="dxa"/>
              <w:left w:w="100.0" w:type="dxa"/>
              <w:bottom w:w="100.0" w:type="dxa"/>
              <w:right w:w="100.0" w:type="dxa"/>
            </w:tcMar>
          </w:tcPr>
          <w:p w:rsidR="00000000" w:rsidDel="00000000" w:rsidP="00000000" w:rsidRDefault="00000000" w:rsidRPr="00000000" w14:paraId="000000B2">
            <w:pPr>
              <w:widowControl w:val="0"/>
              <w:spacing w:lin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Year</w:t>
            </w:r>
          </w:p>
        </w:tc>
        <w:tc>
          <w:tcPr>
            <w:shd w:fill="auto" w:val="clear"/>
            <w:tcMar>
              <w:top w:w="100.0" w:type="dxa"/>
              <w:left w:w="100.0" w:type="dxa"/>
              <w:bottom w:w="100.0" w:type="dxa"/>
              <w:right w:w="100.0" w:type="dxa"/>
            </w:tcMar>
          </w:tcPr>
          <w:p w:rsidR="00000000" w:rsidDel="00000000" w:rsidP="00000000" w:rsidRDefault="00000000" w:rsidRPr="00000000" w14:paraId="000000B3">
            <w:pPr>
              <w:widowControl w:val="0"/>
              <w:spacing w:lin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Brief Description</w:t>
            </w:r>
          </w:p>
        </w:tc>
      </w:tr>
      <w:tr>
        <w:trPr>
          <w:cantSplit w:val="0"/>
          <w:trHeight w:val="30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B4">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Future of Large Language Models and Digital Twins in Precision Healthcare: A Symmetric Literature Review [37]</w:t>
            </w:r>
          </w:p>
        </w:tc>
        <w:tc>
          <w:tcPr>
            <w:shd w:fill="auto" w:val="clear"/>
            <w:tcMar>
              <w:top w:w="100.0" w:type="dxa"/>
              <w:left w:w="100.0" w:type="dxa"/>
              <w:bottom w:w="100.0" w:type="dxa"/>
              <w:right w:w="100.0" w:type="dxa"/>
            </w:tcMar>
          </w:tcPr>
          <w:p w:rsidR="00000000" w:rsidDel="00000000" w:rsidP="00000000" w:rsidRDefault="00000000" w:rsidRPr="00000000" w14:paraId="000000B5">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Shah et al.</w:t>
            </w:r>
          </w:p>
        </w:tc>
        <w:tc>
          <w:tcPr>
            <w:shd w:fill="auto" w:val="clear"/>
            <w:tcMar>
              <w:top w:w="100.0" w:type="dxa"/>
              <w:left w:w="100.0" w:type="dxa"/>
              <w:bottom w:w="100.0" w:type="dxa"/>
              <w:right w:w="100.0" w:type="dxa"/>
            </w:tcMar>
          </w:tcPr>
          <w:p w:rsidR="00000000" w:rsidDel="00000000" w:rsidP="00000000" w:rsidRDefault="00000000" w:rsidRPr="00000000" w14:paraId="000000B6">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2023</w:t>
            </w:r>
          </w:p>
        </w:tc>
        <w:tc>
          <w:tcPr>
            <w:shd w:fill="auto" w:val="clear"/>
            <w:tcMar>
              <w:top w:w="100.0" w:type="dxa"/>
              <w:left w:w="100.0" w:type="dxa"/>
              <w:bottom w:w="100.0" w:type="dxa"/>
              <w:right w:w="100.0" w:type="dxa"/>
            </w:tcMar>
          </w:tcPr>
          <w:p w:rsidR="00000000" w:rsidDel="00000000" w:rsidP="00000000" w:rsidRDefault="00000000" w:rsidRPr="00000000" w14:paraId="000000B7">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This study had proposed a state-of-the-art technology that combines a large language model(example chatGPT) and a digital twin that can be used to create models specific to patients to help with diagnosis, treatment planning, therapy planning, checking the effectiveness of drugs on individuals, and many other cases.</w:t>
            </w:r>
          </w:p>
        </w:tc>
      </w:tr>
      <w:tr>
        <w:trPr>
          <w:cantSplit w:val="0"/>
          <w:trHeight w:val="30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B8">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Toward an artificial intelligence‐assisted framework for reconstructing the digital twin of vertebra and predicting its fracture response [31].</w:t>
            </w:r>
          </w:p>
        </w:tc>
        <w:tc>
          <w:tcPr>
            <w:shd w:fill="auto" w:val="clear"/>
            <w:tcMar>
              <w:top w:w="100.0" w:type="dxa"/>
              <w:left w:w="100.0" w:type="dxa"/>
              <w:bottom w:w="100.0" w:type="dxa"/>
              <w:right w:w="100.0" w:type="dxa"/>
            </w:tcMar>
          </w:tcPr>
          <w:p w:rsidR="00000000" w:rsidDel="00000000" w:rsidP="00000000" w:rsidRDefault="00000000" w:rsidRPr="00000000" w14:paraId="000000B9">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Ahmadiet al.</w:t>
            </w:r>
          </w:p>
        </w:tc>
        <w:tc>
          <w:tcPr>
            <w:shd w:fill="auto" w:val="clear"/>
            <w:tcMar>
              <w:top w:w="100.0" w:type="dxa"/>
              <w:left w:w="100.0" w:type="dxa"/>
              <w:bottom w:w="100.0" w:type="dxa"/>
              <w:right w:w="100.0" w:type="dxa"/>
            </w:tcMar>
          </w:tcPr>
          <w:p w:rsidR="00000000" w:rsidDel="00000000" w:rsidP="00000000" w:rsidRDefault="00000000" w:rsidRPr="00000000" w14:paraId="000000BA">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2022</w:t>
            </w:r>
          </w:p>
        </w:tc>
        <w:tc>
          <w:tcPr>
            <w:shd w:fill="auto" w:val="clear"/>
            <w:tcMar>
              <w:top w:w="100.0" w:type="dxa"/>
              <w:left w:w="100.0" w:type="dxa"/>
              <w:bottom w:w="100.0" w:type="dxa"/>
              <w:right w:w="100.0" w:type="dxa"/>
            </w:tcMar>
          </w:tcPr>
          <w:p w:rsidR="00000000" w:rsidDel="00000000" w:rsidP="00000000" w:rsidRDefault="00000000" w:rsidRPr="00000000" w14:paraId="000000BB">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The paper describes a new framework called ReconGAN which uses AI to create a realistic digital twin of the human vertebra. The framework also predicts the risk of vertebral fractures (VF). The study shows that using digital twins generated by the ReconGAN framework can predict the risk of VF. The feasibility study involved a cancer patient with spinal metastasis.</w:t>
            </w:r>
          </w:p>
        </w:tc>
      </w:tr>
      <w:tr>
        <w:trPr>
          <w:cantSplit w:val="0"/>
          <w:trHeight w:val="1659"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BC">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Development and Verification of a Digital Twin Patient Model to Predict Specific Treatment Response During the First 24 Hours of Sepsis [14].</w:t>
            </w:r>
          </w:p>
        </w:tc>
        <w:tc>
          <w:tcPr>
            <w:shd w:fill="auto" w:val="clear"/>
            <w:tcMar>
              <w:top w:w="100.0" w:type="dxa"/>
              <w:left w:w="100.0" w:type="dxa"/>
              <w:bottom w:w="100.0" w:type="dxa"/>
              <w:right w:w="100.0" w:type="dxa"/>
            </w:tcMar>
          </w:tcPr>
          <w:p w:rsidR="00000000" w:rsidDel="00000000" w:rsidP="00000000" w:rsidRDefault="00000000" w:rsidRPr="00000000" w14:paraId="000000BD">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Lal et al.</w:t>
            </w:r>
          </w:p>
        </w:tc>
        <w:tc>
          <w:tcPr>
            <w:shd w:fill="auto" w:val="clear"/>
            <w:tcMar>
              <w:top w:w="100.0" w:type="dxa"/>
              <w:left w:w="100.0" w:type="dxa"/>
              <w:bottom w:w="100.0" w:type="dxa"/>
              <w:right w:w="100.0" w:type="dxa"/>
            </w:tcMar>
          </w:tcPr>
          <w:p w:rsidR="00000000" w:rsidDel="00000000" w:rsidP="00000000" w:rsidRDefault="00000000" w:rsidRPr="00000000" w14:paraId="000000BE">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2020</w:t>
            </w:r>
          </w:p>
        </w:tc>
        <w:tc>
          <w:tcPr>
            <w:shd w:fill="auto" w:val="clear"/>
            <w:tcMar>
              <w:top w:w="100.0" w:type="dxa"/>
              <w:left w:w="100.0" w:type="dxa"/>
              <w:bottom w:w="100.0" w:type="dxa"/>
              <w:right w:w="100.0" w:type="dxa"/>
            </w:tcMar>
          </w:tcPr>
          <w:p w:rsidR="00000000" w:rsidDel="00000000" w:rsidP="00000000" w:rsidRDefault="00000000" w:rsidRPr="00000000" w14:paraId="000000BF">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The paper presents validated digital twin models of critically ill patients that use an artificial intelligence approach to predict treatment responses in the first 24 hours of sepsis. The models define causal relationships among organ systems and specific treatments using directed acyclic graphs, thereby enhancing the precision and reliability of the predictions.</w:t>
            </w:r>
          </w:p>
        </w:tc>
      </w:tr>
    </w:tbl>
    <w:p w:rsidR="00000000" w:rsidDel="00000000" w:rsidP="00000000" w:rsidRDefault="00000000" w:rsidRPr="00000000" w14:paraId="000000C0">
      <w:pPr>
        <w:pBdr>
          <w:top w:color="1c1917" w:space="0" w:sz="0" w:val="none"/>
          <w:left w:color="1c1917" w:space="0" w:sz="0" w:val="none"/>
          <w:bottom w:color="1c1917" w:space="0" w:sz="0" w:val="none"/>
          <w:right w:color="1c1917" w:space="0" w:sz="0" w:val="none"/>
          <w:between w:color="1c1917" w:space="0" w:sz="0" w:val="none"/>
        </w:pBdr>
        <w:shd w:fill="ffffff" w:val="clear"/>
        <w:rPr>
          <w:rFonts w:ascii="Times New Roman" w:cs="Times New Roman" w:eastAsia="Times New Roman" w:hAnsi="Times New Roman"/>
          <w:color w:val="1c1917"/>
          <w:sz w:val="20"/>
          <w:szCs w:val="20"/>
          <w:highlight w:val="white"/>
        </w:rPr>
      </w:pPr>
      <w:r w:rsidDel="00000000" w:rsidR="00000000" w:rsidRPr="00000000">
        <w:rPr>
          <w:rtl w:val="0"/>
        </w:rPr>
      </w:r>
    </w:p>
    <w:p w:rsidR="00000000" w:rsidDel="00000000" w:rsidP="00000000" w:rsidRDefault="00000000" w:rsidRPr="00000000" w14:paraId="000000C1">
      <w:pPr>
        <w:pBdr>
          <w:top w:color="1c1917" w:space="0" w:sz="0" w:val="none"/>
          <w:left w:color="1c1917" w:space="0" w:sz="0" w:val="none"/>
          <w:bottom w:color="1c1917" w:space="0" w:sz="0" w:val="none"/>
          <w:right w:color="1c1917" w:space="0" w:sz="0" w:val="none"/>
          <w:between w:color="1c1917" w:space="0" w:sz="0" w:val="none"/>
        </w:pBdr>
        <w:shd w:fill="ffffff" w:val="clea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color w:val="1c1917"/>
          <w:sz w:val="20"/>
          <w:szCs w:val="20"/>
          <w:highlight w:val="white"/>
          <w:rtl w:val="0"/>
        </w:rPr>
        <w:t xml:space="preserve">Table 4 provides a comprehensive overview of pioneering digital twin systems powered by integrated reinforcement learning for transforming healthcare diagnostics and therapeutics. These combined platforms harness the strengths of physics-based simulations and data-driven AI for enhanced insights.</w:t>
      </w:r>
      <w:r w:rsidDel="00000000" w:rsidR="00000000" w:rsidRPr="00000000">
        <w:rPr>
          <w:rtl w:val="0"/>
        </w:rPr>
      </w:r>
    </w:p>
    <w:p w:rsidR="00000000" w:rsidDel="00000000" w:rsidP="00000000" w:rsidRDefault="00000000" w:rsidRPr="00000000" w14:paraId="000000C2">
      <w:pPr>
        <w:spacing w:after="120" w:before="240" w:lineRule="auto"/>
        <w:ind w:firstLine="54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TABLE III. STATE-OF-THE-ART REINFORCEMENT LEARNING MODELS IN THE DIAGNOSTIC AND THERAPEUTIC INDUSTRY</w:t>
      </w:r>
    </w:p>
    <w:p w:rsidR="00000000" w:rsidDel="00000000" w:rsidP="00000000" w:rsidRDefault="00000000" w:rsidRPr="00000000" w14:paraId="000000C3">
      <w:pPr>
        <w:ind w:left="720" w:firstLine="0"/>
        <w:jc w:val="center"/>
        <w:rPr>
          <w:rFonts w:ascii="Times New Roman" w:cs="Times New Roman" w:eastAsia="Times New Roman" w:hAnsi="Times New Roman"/>
          <w:sz w:val="16"/>
          <w:szCs w:val="16"/>
        </w:rPr>
      </w:pPr>
      <w:r w:rsidDel="00000000" w:rsidR="00000000" w:rsidRPr="00000000">
        <w:rPr>
          <w:rtl w:val="0"/>
        </w:rPr>
      </w:r>
    </w:p>
    <w:tbl>
      <w:tblPr>
        <w:tblStyle w:val="Table4"/>
        <w:tblW w:w="877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1125"/>
        <w:gridCol w:w="1020"/>
        <w:gridCol w:w="4650"/>
        <w:tblGridChange w:id="0">
          <w:tblGrid>
            <w:gridCol w:w="1980"/>
            <w:gridCol w:w="1125"/>
            <w:gridCol w:w="1020"/>
            <w:gridCol w:w="4650"/>
          </w:tblGrid>
        </w:tblGridChange>
      </w:tblGrid>
      <w:tr>
        <w:trPr>
          <w:cantSplit w:val="0"/>
          <w:trHeight w:val="30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C4">
            <w:pPr>
              <w:widowControl w:val="0"/>
              <w:spacing w:lin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Title</w:t>
            </w:r>
          </w:p>
        </w:tc>
        <w:tc>
          <w:tcPr>
            <w:shd w:fill="auto" w:val="clear"/>
            <w:tcMar>
              <w:top w:w="100.0" w:type="dxa"/>
              <w:left w:w="100.0" w:type="dxa"/>
              <w:bottom w:w="100.0" w:type="dxa"/>
              <w:right w:w="100.0" w:type="dxa"/>
            </w:tcMar>
          </w:tcPr>
          <w:p w:rsidR="00000000" w:rsidDel="00000000" w:rsidP="00000000" w:rsidRDefault="00000000" w:rsidRPr="00000000" w14:paraId="000000C5">
            <w:pPr>
              <w:widowControl w:val="0"/>
              <w:spacing w:lin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Authors</w:t>
            </w:r>
          </w:p>
        </w:tc>
        <w:tc>
          <w:tcPr>
            <w:shd w:fill="auto" w:val="clear"/>
            <w:tcMar>
              <w:top w:w="100.0" w:type="dxa"/>
              <w:left w:w="100.0" w:type="dxa"/>
              <w:bottom w:w="100.0" w:type="dxa"/>
              <w:right w:w="100.0" w:type="dxa"/>
            </w:tcMar>
          </w:tcPr>
          <w:p w:rsidR="00000000" w:rsidDel="00000000" w:rsidP="00000000" w:rsidRDefault="00000000" w:rsidRPr="00000000" w14:paraId="000000C6">
            <w:pPr>
              <w:widowControl w:val="0"/>
              <w:spacing w:lin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Year</w:t>
            </w:r>
          </w:p>
        </w:tc>
        <w:tc>
          <w:tcPr>
            <w:shd w:fill="auto" w:val="clear"/>
            <w:tcMar>
              <w:top w:w="100.0" w:type="dxa"/>
              <w:left w:w="100.0" w:type="dxa"/>
              <w:bottom w:w="100.0" w:type="dxa"/>
              <w:right w:w="100.0" w:type="dxa"/>
            </w:tcMar>
          </w:tcPr>
          <w:p w:rsidR="00000000" w:rsidDel="00000000" w:rsidP="00000000" w:rsidRDefault="00000000" w:rsidRPr="00000000" w14:paraId="000000C7">
            <w:pPr>
              <w:widowControl w:val="0"/>
              <w:spacing w:lin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Brief Description</w:t>
            </w:r>
          </w:p>
        </w:tc>
      </w:tr>
      <w:tr>
        <w:trPr>
          <w:cantSplit w:val="0"/>
          <w:trHeight w:val="1719.492187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C8">
            <w:pPr>
              <w:spacing w:after="120"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Simulation-based optimization of radiotherapy: Agent-based modeling and reinforcement learning [E2-166]</w:t>
            </w:r>
          </w:p>
        </w:tc>
        <w:tc>
          <w:tcPr>
            <w:shd w:fill="auto" w:val="clear"/>
            <w:tcMar>
              <w:top w:w="100.0" w:type="dxa"/>
              <w:left w:w="100.0" w:type="dxa"/>
              <w:bottom w:w="100.0" w:type="dxa"/>
              <w:right w:w="100.0" w:type="dxa"/>
            </w:tcMar>
          </w:tcPr>
          <w:p w:rsidR="00000000" w:rsidDel="00000000" w:rsidP="00000000" w:rsidRDefault="00000000" w:rsidRPr="00000000" w14:paraId="000000C9">
            <w:pPr>
              <w:spacing w:after="120"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Jalalimanesh et al.</w:t>
            </w:r>
          </w:p>
        </w:tc>
        <w:tc>
          <w:tcPr>
            <w:shd w:fill="auto" w:val="clear"/>
            <w:tcMar>
              <w:top w:w="100.0" w:type="dxa"/>
              <w:left w:w="100.0" w:type="dxa"/>
              <w:bottom w:w="100.0" w:type="dxa"/>
              <w:right w:w="100.0" w:type="dxa"/>
            </w:tcMar>
          </w:tcPr>
          <w:p w:rsidR="00000000" w:rsidDel="00000000" w:rsidP="00000000" w:rsidRDefault="00000000" w:rsidRPr="00000000" w14:paraId="000000CA">
            <w:pPr>
              <w:spacing w:after="120"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2017</w:t>
            </w:r>
          </w:p>
        </w:tc>
        <w:tc>
          <w:tcPr>
            <w:shd w:fill="auto" w:val="clear"/>
            <w:tcMar>
              <w:top w:w="100.0" w:type="dxa"/>
              <w:left w:w="100.0" w:type="dxa"/>
              <w:bottom w:w="100.0" w:type="dxa"/>
              <w:right w:w="100.0" w:type="dxa"/>
            </w:tcMar>
          </w:tcPr>
          <w:p w:rsidR="00000000" w:rsidDel="00000000" w:rsidP="00000000" w:rsidRDefault="00000000" w:rsidRPr="00000000" w14:paraId="000000CB">
            <w:pPr>
              <w:spacing w:after="120"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This paper puts forward a simulation optimization method for radiotherapy. It combines agent-based modeling and reinforcement learning techniques.</w:t>
            </w:r>
          </w:p>
        </w:tc>
      </w:tr>
      <w:tr>
        <w:trPr>
          <w:cantSplit w:val="0"/>
          <w:trHeight w:val="793"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CC">
            <w:pPr>
              <w:spacing w:after="120"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An integrated solution of deep reinforcement learning for automatic IMRT treatment planning in non-small-cell lung cancer [E2-164]</w:t>
            </w:r>
          </w:p>
        </w:tc>
        <w:tc>
          <w:tcPr>
            <w:shd w:fill="auto" w:val="clear"/>
            <w:tcMar>
              <w:top w:w="100.0" w:type="dxa"/>
              <w:left w:w="100.0" w:type="dxa"/>
              <w:bottom w:w="100.0" w:type="dxa"/>
              <w:right w:w="100.0" w:type="dxa"/>
            </w:tcMar>
          </w:tcPr>
          <w:p w:rsidR="00000000" w:rsidDel="00000000" w:rsidP="00000000" w:rsidRDefault="00000000" w:rsidRPr="00000000" w14:paraId="000000CD">
            <w:pPr>
              <w:spacing w:after="120"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Wang et al.</w:t>
            </w:r>
          </w:p>
        </w:tc>
        <w:tc>
          <w:tcPr>
            <w:shd w:fill="auto" w:val="clear"/>
            <w:tcMar>
              <w:top w:w="100.0" w:type="dxa"/>
              <w:left w:w="100.0" w:type="dxa"/>
              <w:bottom w:w="100.0" w:type="dxa"/>
              <w:right w:w="100.0" w:type="dxa"/>
            </w:tcMar>
          </w:tcPr>
          <w:p w:rsidR="00000000" w:rsidDel="00000000" w:rsidP="00000000" w:rsidRDefault="00000000" w:rsidRPr="00000000" w14:paraId="000000CE">
            <w:pPr>
              <w:spacing w:after="120"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2023</w:t>
            </w:r>
          </w:p>
        </w:tc>
        <w:tc>
          <w:tcPr>
            <w:shd w:fill="auto" w:val="clear"/>
            <w:tcMar>
              <w:top w:w="100.0" w:type="dxa"/>
              <w:left w:w="100.0" w:type="dxa"/>
              <w:bottom w:w="100.0" w:type="dxa"/>
              <w:right w:w="100.0" w:type="dxa"/>
            </w:tcMar>
          </w:tcPr>
          <w:p w:rsidR="00000000" w:rsidDel="00000000" w:rsidP="00000000" w:rsidRDefault="00000000" w:rsidRPr="00000000" w14:paraId="000000CF">
            <w:pPr>
              <w:spacing w:after="120"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This paper develops a multi-objectives adjustment policy network (MOAPN) trained using a multi-agent deep reinforcement learning (DRL) approach. The MOAPN learns to optimize multiple objectives in the Eclipse treatment planning system.</w:t>
            </w:r>
          </w:p>
        </w:tc>
      </w:tr>
      <w:tr>
        <w:trPr>
          <w:cantSplit w:val="0"/>
          <w:trHeight w:val="33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D0">
            <w:pPr>
              <w:spacing w:after="120"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Optimal drug-dosing of cancer dynamics with fuzzy reinforcement learning and discontinuous reward function [E2-165]</w:t>
            </w:r>
          </w:p>
        </w:tc>
        <w:tc>
          <w:tcPr>
            <w:shd w:fill="auto" w:val="clear"/>
            <w:tcMar>
              <w:top w:w="100.0" w:type="dxa"/>
              <w:left w:w="100.0" w:type="dxa"/>
              <w:bottom w:w="100.0" w:type="dxa"/>
              <w:right w:w="100.0" w:type="dxa"/>
            </w:tcMar>
          </w:tcPr>
          <w:p w:rsidR="00000000" w:rsidDel="00000000" w:rsidP="00000000" w:rsidRDefault="00000000" w:rsidRPr="00000000" w14:paraId="000000D1">
            <w:pPr>
              <w:spacing w:after="120"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Treesatayapun et al.</w:t>
            </w:r>
          </w:p>
        </w:tc>
        <w:tc>
          <w:tcPr>
            <w:shd w:fill="auto" w:val="clear"/>
            <w:tcMar>
              <w:top w:w="100.0" w:type="dxa"/>
              <w:left w:w="100.0" w:type="dxa"/>
              <w:bottom w:w="100.0" w:type="dxa"/>
              <w:right w:w="100.0" w:type="dxa"/>
            </w:tcMar>
          </w:tcPr>
          <w:p w:rsidR="00000000" w:rsidDel="00000000" w:rsidP="00000000" w:rsidRDefault="00000000" w:rsidRPr="00000000" w14:paraId="000000D2">
            <w:pPr>
              <w:spacing w:after="120"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2023</w:t>
            </w:r>
          </w:p>
        </w:tc>
        <w:tc>
          <w:tcPr>
            <w:shd w:fill="auto" w:val="clear"/>
            <w:tcMar>
              <w:top w:w="100.0" w:type="dxa"/>
              <w:left w:w="100.0" w:type="dxa"/>
              <w:bottom w:w="100.0" w:type="dxa"/>
              <w:right w:w="100.0" w:type="dxa"/>
            </w:tcMar>
          </w:tcPr>
          <w:p w:rsidR="00000000" w:rsidDel="00000000" w:rsidP="00000000" w:rsidRDefault="00000000" w:rsidRPr="00000000" w14:paraId="000000D3">
            <w:pPr>
              <w:spacing w:after="120"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This paper develops a reinforcement learning control approach to optimize drug dosing for cancer treatment. The treatment is modeled as an unknown discrete-time system where only the drug dose (input) and tumor cell count (output) data are used to design the controller.</w:t>
            </w:r>
          </w:p>
        </w:tc>
      </w:tr>
      <w:tr>
        <w:trPr>
          <w:cantSplit w:val="0"/>
          <w:trHeight w:val="39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D4">
            <w:pPr>
              <w:spacing w:after="120"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 dosing strategy model of deep deterministic policy gradient algorithm for sepsis patients [E2-167]</w:t>
            </w:r>
          </w:p>
        </w:tc>
        <w:tc>
          <w:tcPr>
            <w:shd w:fill="auto" w:val="clear"/>
            <w:tcMar>
              <w:top w:w="100.0" w:type="dxa"/>
              <w:left w:w="100.0" w:type="dxa"/>
              <w:bottom w:w="100.0" w:type="dxa"/>
              <w:right w:w="100.0" w:type="dxa"/>
            </w:tcMar>
          </w:tcPr>
          <w:p w:rsidR="00000000" w:rsidDel="00000000" w:rsidP="00000000" w:rsidRDefault="00000000" w:rsidRPr="00000000" w14:paraId="000000D5">
            <w:pPr>
              <w:spacing w:after="120"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Gong et al.</w:t>
            </w:r>
          </w:p>
        </w:tc>
        <w:tc>
          <w:tcPr>
            <w:shd w:fill="auto" w:val="clear"/>
            <w:tcMar>
              <w:top w:w="100.0" w:type="dxa"/>
              <w:left w:w="100.0" w:type="dxa"/>
              <w:bottom w:w="100.0" w:type="dxa"/>
              <w:right w:w="100.0" w:type="dxa"/>
            </w:tcMar>
          </w:tcPr>
          <w:p w:rsidR="00000000" w:rsidDel="00000000" w:rsidP="00000000" w:rsidRDefault="00000000" w:rsidRPr="00000000" w14:paraId="000000D6">
            <w:pPr>
              <w:spacing w:after="120"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2023</w:t>
            </w:r>
          </w:p>
        </w:tc>
        <w:tc>
          <w:tcPr>
            <w:shd w:fill="auto" w:val="clear"/>
            <w:tcMar>
              <w:top w:w="100.0" w:type="dxa"/>
              <w:left w:w="100.0" w:type="dxa"/>
              <w:bottom w:w="100.0" w:type="dxa"/>
              <w:right w:w="100.0" w:type="dxa"/>
            </w:tcMar>
          </w:tcPr>
          <w:p w:rsidR="00000000" w:rsidDel="00000000" w:rsidP="00000000" w:rsidRDefault="00000000" w:rsidRPr="00000000" w14:paraId="000000D7">
            <w:pPr>
              <w:spacing w:after="120"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This paper explores using deep reinforcement learning to enhance medical decision-making for sepsis treatment in intensive care settings. A deep deterministic policy gradient algorithm is implemented to optimize treatment strategies.</w:t>
            </w:r>
          </w:p>
        </w:tc>
      </w:tr>
      <w:tr>
        <w:trPr>
          <w:cantSplit w:val="0"/>
          <w:trHeight w:val="106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D8">
            <w:pPr>
              <w:spacing w:after="120"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Closed-loop control of multi-drug infusion for anesthesia and hemodynamic management [E2-168]</w:t>
            </w:r>
          </w:p>
        </w:tc>
        <w:tc>
          <w:tcPr>
            <w:shd w:fill="auto" w:val="clear"/>
            <w:tcMar>
              <w:top w:w="100.0" w:type="dxa"/>
              <w:left w:w="100.0" w:type="dxa"/>
              <w:bottom w:w="100.0" w:type="dxa"/>
              <w:right w:w="100.0" w:type="dxa"/>
            </w:tcMar>
          </w:tcPr>
          <w:p w:rsidR="00000000" w:rsidDel="00000000" w:rsidP="00000000" w:rsidRDefault="00000000" w:rsidRPr="00000000" w14:paraId="000000D9">
            <w:pPr>
              <w:spacing w:after="120"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Ghita et al.</w:t>
            </w:r>
          </w:p>
        </w:tc>
        <w:tc>
          <w:tcPr>
            <w:shd w:fill="auto" w:val="clear"/>
            <w:tcMar>
              <w:top w:w="100.0" w:type="dxa"/>
              <w:left w:w="100.0" w:type="dxa"/>
              <w:bottom w:w="100.0" w:type="dxa"/>
              <w:right w:w="100.0" w:type="dxa"/>
            </w:tcMar>
          </w:tcPr>
          <w:p w:rsidR="00000000" w:rsidDel="00000000" w:rsidP="00000000" w:rsidRDefault="00000000" w:rsidRPr="00000000" w14:paraId="000000DA">
            <w:pPr>
              <w:spacing w:after="120"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2022</w:t>
            </w:r>
          </w:p>
        </w:tc>
        <w:tc>
          <w:tcPr>
            <w:shd w:fill="auto" w:val="clear"/>
            <w:tcMar>
              <w:top w:w="100.0" w:type="dxa"/>
              <w:left w:w="100.0" w:type="dxa"/>
              <w:bottom w:w="100.0" w:type="dxa"/>
              <w:right w:w="100.0" w:type="dxa"/>
            </w:tcMar>
          </w:tcPr>
          <w:p w:rsidR="00000000" w:rsidDel="00000000" w:rsidP="00000000" w:rsidRDefault="00000000" w:rsidRPr="00000000" w14:paraId="000000DB">
            <w:pPr>
              <w:spacing w:after="120"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This paper presents a closed-loop control approach for an anesthesia and hemodynamic system using a MIMO model. The method accounts for subsystem interactions and is designed to be robust and meet clinical targets.</w:t>
            </w:r>
          </w:p>
        </w:tc>
      </w:tr>
    </w:tbl>
    <w:p w:rsidR="00000000" w:rsidDel="00000000" w:rsidP="00000000" w:rsidRDefault="00000000" w:rsidRPr="00000000" w14:paraId="000000DC">
      <w:pPr>
        <w:spacing w:after="115" w:before="245" w:line="240" w:lineRule="auto"/>
        <w:rPr>
          <w:rFonts w:ascii="Times New Roman" w:cs="Times New Roman" w:eastAsia="Times New Roman" w:hAnsi="Times New Roman"/>
          <w:smallCaps w:val="1"/>
          <w:sz w:val="16"/>
          <w:szCs w:val="16"/>
        </w:rPr>
      </w:pPr>
      <w:r w:rsidDel="00000000" w:rsidR="00000000" w:rsidRPr="00000000">
        <w:rPr>
          <w:rFonts w:ascii="Times New Roman" w:cs="Times New Roman" w:eastAsia="Times New Roman" w:hAnsi="Times New Roman"/>
          <w:smallCaps w:val="1"/>
          <w:sz w:val="20"/>
          <w:szCs w:val="20"/>
          <w:rtl w:val="0"/>
        </w:rPr>
        <w:t xml:space="preserve">4. Applications Of Digital Twins And Deep Learning Models In Healthcare</w:t>
      </w:r>
      <w:r w:rsidDel="00000000" w:rsidR="00000000" w:rsidRPr="00000000">
        <w:rPr>
          <w:rtl w:val="0"/>
        </w:rPr>
      </w:r>
    </w:p>
    <w:p w:rsidR="00000000" w:rsidDel="00000000" w:rsidP="00000000" w:rsidRDefault="00000000" w:rsidRPr="00000000" w14:paraId="000000DD">
      <w:pPr>
        <w:numPr>
          <w:ilvl w:val="0"/>
          <w:numId w:val="1"/>
        </w:numPr>
        <w:pBdr>
          <w:top w:color="1c1917" w:space="0" w:sz="0" w:val="none"/>
          <w:left w:color="1c1917" w:space="0" w:sz="0" w:val="none"/>
          <w:bottom w:color="1c1917" w:space="0" w:sz="0" w:val="none"/>
          <w:right w:color="1c1917" w:space="0" w:sz="0" w:val="none"/>
          <w:between w:color="1c1917" w:space="0" w:sz="0" w:val="none"/>
        </w:pBdr>
        <w:shd w:fill="ffffff" w:val="clea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1c1917"/>
          <w:sz w:val="18"/>
          <w:szCs w:val="18"/>
          <w:rtl w:val="0"/>
        </w:rPr>
        <w:t xml:space="preserve">Emerging precision medicine approaches tailor diagnostics and treatments to patient genetics, biomarkers, phenotypes, and psychosocial factors [16]. Digital twins (DTs) promise to expand this personalization through patient-specific modeling and simulation.</w:t>
      </w:r>
      <w:r w:rsidDel="00000000" w:rsidR="00000000" w:rsidRPr="00000000">
        <w:rPr>
          <w:rtl w:val="0"/>
        </w:rPr>
      </w:r>
    </w:p>
    <w:p w:rsidR="00000000" w:rsidDel="00000000" w:rsidP="00000000" w:rsidRDefault="00000000" w:rsidRPr="00000000" w14:paraId="000000DE">
      <w:pPr>
        <w:numPr>
          <w:ilvl w:val="0"/>
          <w:numId w:val="1"/>
        </w:numPr>
        <w:pBdr>
          <w:top w:color="1c1917" w:space="0" w:sz="0" w:val="none"/>
          <w:left w:color="1c1917" w:space="0" w:sz="0" w:val="none"/>
          <w:bottom w:color="1c1917" w:space="0" w:sz="0" w:val="none"/>
          <w:right w:color="1c1917" w:space="0" w:sz="0" w:val="none"/>
          <w:between w:color="1c1917" w:space="0" w:sz="0" w:val="none"/>
        </w:pBdr>
        <w:shd w:fill="ffffff" w:val="clea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1c1917"/>
          <w:sz w:val="18"/>
          <w:szCs w:val="18"/>
          <w:rtl w:val="0"/>
        </w:rPr>
        <w:t xml:space="preserve">Spine fracture risk assessments integrate patient imaging into neural network DT models [31]. DTs also show early potential helping patients manage mental health conditions like depression and stress [34]. The AnyBody Modeling System DT simulates personalized movement dynamics and quantifies muscle forces, joint contacts, metabolism, and more [17]. The Virtual Physiological Human DT creates patient-twin models to test treatments in silico before clinical deployment [21].</w:t>
      </w:r>
      <w:r w:rsidDel="00000000" w:rsidR="00000000" w:rsidRPr="00000000">
        <w:rPr>
          <w:rtl w:val="0"/>
        </w:rPr>
      </w:r>
    </w:p>
    <w:p w:rsidR="00000000" w:rsidDel="00000000" w:rsidP="00000000" w:rsidRDefault="00000000" w:rsidRPr="00000000" w14:paraId="000000DF">
      <w:pPr>
        <w:numPr>
          <w:ilvl w:val="0"/>
          <w:numId w:val="1"/>
        </w:numPr>
        <w:pBdr>
          <w:top w:color="1c1917" w:space="0" w:sz="0" w:val="none"/>
          <w:left w:color="1c1917" w:space="0" w:sz="0" w:val="none"/>
          <w:bottom w:color="1c1917" w:space="0" w:sz="0" w:val="none"/>
          <w:right w:color="1c1917" w:space="0" w:sz="0" w:val="none"/>
          <w:between w:color="1c1917" w:space="0" w:sz="0" w:val="none"/>
        </w:pBdr>
        <w:shd w:fill="ffffff" w:val="clea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1c1917"/>
          <w:sz w:val="18"/>
          <w:szCs w:val="18"/>
          <w:rtl w:val="0"/>
        </w:rPr>
        <w:t xml:space="preserve">Cardiology DTs anticipate hypertension risks from patient data-driven blood flow models [28, 29] and optimize interventions on scan-derived cardiac models [18]. Oncology DTs predict treatment responses by mapping patient genetic, protein and cellular networks [30] as well as anticipating radiation therapy reliability [26]. Neural network DTs also inform head and neck cancer patient treatment sequencing [27].</w:t>
      </w:r>
      <w:r w:rsidDel="00000000" w:rsidR="00000000" w:rsidRPr="00000000">
        <w:rPr>
          <w:rtl w:val="0"/>
        </w:rPr>
      </w:r>
    </w:p>
    <w:p w:rsidR="00000000" w:rsidDel="00000000" w:rsidP="00000000" w:rsidRDefault="00000000" w:rsidRPr="00000000" w14:paraId="000000E0">
      <w:pPr>
        <w:numPr>
          <w:ilvl w:val="0"/>
          <w:numId w:val="1"/>
        </w:numPr>
        <w:pBdr>
          <w:top w:color="1c1917" w:space="0" w:sz="0" w:val="none"/>
          <w:left w:color="1c1917" w:space="0" w:sz="0" w:val="none"/>
          <w:bottom w:color="1c1917" w:space="0" w:sz="0" w:val="none"/>
          <w:right w:color="1c1917" w:space="0" w:sz="0" w:val="none"/>
          <w:between w:color="1c1917" w:space="0" w:sz="0" w:val="none"/>
        </w:pBdr>
        <w:shd w:fill="ffffff" w:val="clear"/>
        <w:ind w:left="720" w:hanging="360"/>
        <w:rPr>
          <w:rFonts w:ascii="Times New Roman" w:cs="Times New Roman" w:eastAsia="Times New Roman" w:hAnsi="Times New Roman"/>
          <w:color w:val="1c1917"/>
          <w:sz w:val="18"/>
          <w:szCs w:val="18"/>
        </w:rPr>
      </w:pPr>
      <w:r w:rsidDel="00000000" w:rsidR="00000000" w:rsidRPr="00000000">
        <w:rPr>
          <w:rFonts w:ascii="Times New Roman" w:cs="Times New Roman" w:eastAsia="Times New Roman" w:hAnsi="Times New Roman"/>
          <w:color w:val="1c1917"/>
          <w:sz w:val="18"/>
          <w:szCs w:val="18"/>
          <w:rtl w:val="0"/>
        </w:rPr>
        <w:t xml:space="preserve">DTs are also demonstrated to be a precious predictive tool in oncology, the study of most cancers. Many research have been conducted using DTs to better apprehend cancer development and its effects [15], [22], [23], [24]. DTs are also used to model cancer remedies [25]. as an example, research uses modeling and digital truth techniques to create DTs of radiotherapy systems and examine their reliability and person-friendliness [26].</w:t>
      </w:r>
    </w:p>
    <w:p w:rsidR="00000000" w:rsidDel="00000000" w:rsidP="00000000" w:rsidRDefault="00000000" w:rsidRPr="00000000" w14:paraId="000000E1">
      <w:pPr>
        <w:numPr>
          <w:ilvl w:val="0"/>
          <w:numId w:val="1"/>
        </w:numPr>
        <w:pBdr>
          <w:top w:color="1c1917" w:space="0" w:sz="0" w:val="none"/>
          <w:left w:color="1c1917" w:space="0" w:sz="0" w:val="none"/>
          <w:bottom w:color="1c1917" w:space="0" w:sz="0" w:val="none"/>
          <w:right w:color="1c1917" w:space="0" w:sz="0" w:val="none"/>
          <w:between w:color="1c1917" w:space="0" w:sz="0" w:val="none"/>
        </w:pBdr>
        <w:shd w:fill="ffffff" w:val="clea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1c1917"/>
          <w:sz w:val="18"/>
          <w:szCs w:val="18"/>
          <w:rtl w:val="0"/>
        </w:rPr>
        <w:t xml:space="preserve">Other active areas includes personalized aneurysm rupture risk assessments, sepsis treatment response forecasts [14], diabetes management through food-insulin response DTs [32], inhaled drug particle dynamics optimizations [19], gastrointestinal DT drug assays [33], and nuclear plant employee health monitoring [35]. Patient-specific DT adoption promises substantial gains in clinical decision support, predictive power, and treatment personalization across medical specialties.</w:t>
      </w:r>
      <w:r w:rsidDel="00000000" w:rsidR="00000000" w:rsidRPr="00000000">
        <w:rPr>
          <w:rtl w:val="0"/>
        </w:rPr>
      </w:r>
    </w:p>
    <w:p w:rsidR="00000000" w:rsidDel="00000000" w:rsidP="00000000" w:rsidRDefault="00000000" w:rsidRPr="00000000" w14:paraId="000000E2">
      <w:pPr>
        <w:pBdr>
          <w:top w:color="1c1917" w:space="0" w:sz="0" w:val="none"/>
          <w:left w:color="1c1917" w:space="0" w:sz="0" w:val="none"/>
          <w:bottom w:color="1c1917" w:space="0" w:sz="0" w:val="none"/>
          <w:right w:color="1c1917" w:space="0" w:sz="0" w:val="none"/>
          <w:between w:color="1c1917" w:space="0" w:sz="0" w:val="none"/>
        </w:pBdr>
        <w:shd w:fill="ffffff" w:val="clear"/>
        <w:rPr>
          <w:rFonts w:ascii="Times New Roman" w:cs="Times New Roman" w:eastAsia="Times New Roman" w:hAnsi="Times New Roman"/>
          <w:color w:val="1c1917"/>
          <w:sz w:val="18"/>
          <w:szCs w:val="18"/>
          <w:highlight w:val="white"/>
        </w:rPr>
      </w:pPr>
      <w:r w:rsidDel="00000000" w:rsidR="00000000" w:rsidRPr="00000000">
        <w:rPr>
          <w:rtl w:val="0"/>
        </w:rPr>
      </w:r>
    </w:p>
    <w:p w:rsidR="00000000" w:rsidDel="00000000" w:rsidP="00000000" w:rsidRDefault="00000000" w:rsidRPr="00000000" w14:paraId="000000E3">
      <w:pPr>
        <w:pBdr>
          <w:top w:color="1c1917" w:space="0" w:sz="0" w:val="none"/>
          <w:left w:color="1c1917" w:space="0" w:sz="0" w:val="none"/>
          <w:bottom w:color="1c1917" w:space="0" w:sz="0" w:val="none"/>
          <w:right w:color="1c1917" w:space="0" w:sz="0" w:val="none"/>
          <w:between w:color="1c1917" w:space="0" w:sz="0" w:val="none"/>
        </w:pBdr>
        <w:shd w:fill="ffffff" w:val="clear"/>
        <w:rPr>
          <w:rFonts w:ascii="Times New Roman" w:cs="Times New Roman" w:eastAsia="Times New Roman" w:hAnsi="Times New Roman"/>
          <w:color w:val="1c1917"/>
          <w:sz w:val="18"/>
          <w:szCs w:val="18"/>
        </w:rPr>
      </w:pPr>
      <w:r w:rsidDel="00000000" w:rsidR="00000000" w:rsidRPr="00000000">
        <w:rPr>
          <w:rFonts w:ascii="Times New Roman" w:cs="Times New Roman" w:eastAsia="Times New Roman" w:hAnsi="Times New Roman"/>
          <w:color w:val="1c1917"/>
          <w:sz w:val="18"/>
          <w:szCs w:val="18"/>
          <w:highlight w:val="white"/>
          <w:rtl w:val="0"/>
        </w:rPr>
        <w:t xml:space="preserve">Patient-specific digital twins show increasing utility guiding precision medicine by modeling personalized disease development, dynamics, and treatment responses based on integrated patient multi-omics, imaging, and sensor data. As computational power and medical data availability continue improving, machine learning-driven digital twin adoption promises to transform clinical decision support across diverse areas—from risk assessments, to predictive diagnostics/prognostics, to validation of optimized therapeutic interventions without solely relying on lengthy and costly randomized controlled trials.</w:t>
      </w:r>
      <w:r w:rsidDel="00000000" w:rsidR="00000000" w:rsidRPr="00000000">
        <w:rPr>
          <w:rtl w:val="0"/>
        </w:rPr>
      </w:r>
    </w:p>
    <w:p w:rsidR="00000000" w:rsidDel="00000000" w:rsidP="00000000" w:rsidRDefault="00000000" w:rsidRPr="00000000" w14:paraId="000000E4">
      <w:pPr>
        <w:spacing w:after="115" w:before="245" w:line="240" w:lineRule="auto"/>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5. Challenges</w:t>
      </w:r>
    </w:p>
    <w:p w:rsidR="00000000" w:rsidDel="00000000" w:rsidP="00000000" w:rsidRDefault="00000000" w:rsidRPr="00000000" w14:paraId="000000E5">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Some of the challenges in the filed of the diagnostic and therapeutic processes is as follow:</w:t>
      </w:r>
    </w:p>
    <w:p w:rsidR="00000000" w:rsidDel="00000000" w:rsidP="00000000" w:rsidRDefault="00000000" w:rsidRPr="00000000" w14:paraId="000000E7">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E8">
      <w:pPr>
        <w:numPr>
          <w:ilvl w:val="0"/>
          <w:numId w:val="1"/>
        </w:numPr>
        <w:ind w:left="450" w:hanging="27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8"/>
          <w:szCs w:val="18"/>
          <w:rtl w:val="0"/>
        </w:rPr>
        <w:t xml:space="preserve">Data Integration</w:t>
      </w:r>
      <w:r w:rsidDel="00000000" w:rsidR="00000000" w:rsidRPr="00000000">
        <w:rPr>
          <w:rtl w:val="0"/>
        </w:rPr>
      </w:r>
    </w:p>
    <w:p w:rsidR="00000000" w:rsidDel="00000000" w:rsidP="00000000" w:rsidRDefault="00000000" w:rsidRPr="00000000" w14:paraId="000000E9">
      <w:pPr>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Integrating diverse data types like medical images, genetics, lab results, and sensor streams into informative digital patient profiles poses significant interoperability and pre-processing barriers before useful modelling can occur. Resolving syntactic, semantic and procedural differences across data sources to provide reliable and timely federation into digital twins is non-trivial.</w:t>
      </w:r>
    </w:p>
    <w:p w:rsidR="00000000" w:rsidDel="00000000" w:rsidP="00000000" w:rsidRDefault="00000000" w:rsidRPr="00000000" w14:paraId="000000EA">
      <w:pPr>
        <w:numPr>
          <w:ilvl w:val="0"/>
          <w:numId w:val="1"/>
        </w:numPr>
        <w:ind w:left="450" w:hanging="27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Model Complexity</w:t>
      </w:r>
    </w:p>
    <w:p w:rsidR="00000000" w:rsidDel="00000000" w:rsidP="00000000" w:rsidRDefault="00000000" w:rsidRPr="00000000" w14:paraId="000000EB">
      <w:pPr>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Capturing the intricate physiological interactions and dynamics in human bodies requires architecting sophisticated simulated environments underpinning digital twins. Factoring various scales - molecular, cellular, tissue, organ, systemic, environmental – into high fidelity models that maintain performant execution requires deliberate and modular system designs.</w:t>
      </w:r>
    </w:p>
    <w:p w:rsidR="00000000" w:rsidDel="00000000" w:rsidP="00000000" w:rsidRDefault="00000000" w:rsidRPr="00000000" w14:paraId="000000EC">
      <w:pPr>
        <w:numPr>
          <w:ilvl w:val="0"/>
          <w:numId w:val="1"/>
        </w:numPr>
        <w:ind w:left="450" w:hanging="27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Model Accuracy</w:t>
      </w:r>
    </w:p>
    <w:p w:rsidR="00000000" w:rsidDel="00000000" w:rsidP="00000000" w:rsidRDefault="00000000" w:rsidRPr="00000000" w14:paraId="000000ED">
      <w:pPr>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Ensuring the behaviors and outputs of digital twin models accurately reflect the actual patient's timestamped dynamics and interactions is an imperative. Lacking realism risks incorrect or even dangerous clinical decisions when acting on model recommendations. Rigorous validation using gold standard real patient data across populations is crucial.</w:t>
      </w:r>
    </w:p>
    <w:p w:rsidR="00000000" w:rsidDel="00000000" w:rsidP="00000000" w:rsidRDefault="00000000" w:rsidRPr="00000000" w14:paraId="000000EE">
      <w:pPr>
        <w:numPr>
          <w:ilvl w:val="0"/>
          <w:numId w:val="1"/>
        </w:numPr>
        <w:ind w:left="450" w:hanging="27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Explainability</w:t>
      </w:r>
    </w:p>
    <w:p w:rsidR="00000000" w:rsidDel="00000000" w:rsidP="00000000" w:rsidRDefault="00000000" w:rsidRPr="00000000" w14:paraId="000000EF">
      <w:pPr>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Interpreting and explaining the model behaviors, predictions and insights builds trust and confidence for clinicians before acting on digital twin outputs. Patient outcomes necessitate holding models to high bars around traceability and auditability through explainable AI techniques.</w:t>
      </w:r>
    </w:p>
    <w:p w:rsidR="00000000" w:rsidDel="00000000" w:rsidP="00000000" w:rsidRDefault="00000000" w:rsidRPr="00000000" w14:paraId="000000F0">
      <w:pPr>
        <w:numPr>
          <w:ilvl w:val="0"/>
          <w:numId w:val="1"/>
        </w:numPr>
        <w:ind w:left="450" w:hanging="27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Scalability</w:t>
      </w:r>
    </w:p>
    <w:p w:rsidR="00000000" w:rsidDel="00000000" w:rsidP="00000000" w:rsidRDefault="00000000" w:rsidRPr="00000000" w14:paraId="000000F1">
      <w:pPr>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promise around precision medicine and personalized care requires instantiating high-quality digital twins at massive population scale. Optimized model architectures and inferencing pipelines that maintain usefulness while prioritizing interactivity and real-time analytics is thus necessary.</w:t>
      </w:r>
    </w:p>
    <w:p w:rsidR="00000000" w:rsidDel="00000000" w:rsidP="00000000" w:rsidRDefault="00000000" w:rsidRPr="00000000" w14:paraId="000000F2">
      <w:pPr>
        <w:numPr>
          <w:ilvl w:val="0"/>
          <w:numId w:val="1"/>
        </w:numPr>
        <w:ind w:left="450" w:hanging="27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Security &amp; Privacy</w:t>
      </w:r>
    </w:p>
    <w:p w:rsidR="00000000" w:rsidDel="00000000" w:rsidP="00000000" w:rsidRDefault="00000000" w:rsidRPr="00000000" w14:paraId="000000F3">
      <w:pPr>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Guarding highly sensitive patient data like medical history and genomic profiles while still allowing aggregate population learning necessitates robust and provable protections in twin architectures. Techniques like federated learning and differential privacy provide promising foundations here.</w:t>
      </w:r>
    </w:p>
    <w:p w:rsidR="00000000" w:rsidDel="00000000" w:rsidP="00000000" w:rsidRDefault="00000000" w:rsidRPr="00000000" w14:paraId="000000F4">
      <w:pPr>
        <w:numPr>
          <w:ilvl w:val="0"/>
          <w:numId w:val="1"/>
        </w:numPr>
        <w:ind w:left="450" w:hanging="27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Ethics &amp; Regulation</w:t>
      </w:r>
    </w:p>
    <w:p w:rsidR="00000000" w:rsidDel="00000000" w:rsidP="00000000" w:rsidRDefault="00000000" w:rsidRPr="00000000" w14:paraId="000000F5">
      <w:pPr>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Several dilemmas around accountability, unconscious bias and continually evolving applications of digital twins must be tackled. Establishing regulatory clarity in locked step with technological progress is key to prevent losing public trust.</w:t>
      </w:r>
    </w:p>
    <w:p w:rsidR="00000000" w:rsidDel="00000000" w:rsidP="00000000" w:rsidRDefault="00000000" w:rsidRPr="00000000" w14:paraId="000000F6">
      <w:pPr>
        <w:numPr>
          <w:ilvl w:val="0"/>
          <w:numId w:val="1"/>
        </w:numPr>
        <w:ind w:left="450" w:hanging="27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Continual Learning</w:t>
      </w:r>
    </w:p>
    <w:p w:rsidR="00000000" w:rsidDel="00000000" w:rsidP="00000000" w:rsidRDefault="00000000" w:rsidRPr="00000000" w14:paraId="000000F7">
      <w:pPr>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Updating digital twin models alongside new medical understanding, diagnostics/treatment advancements and best practices evolution is imperative for prolonged usefulness. Ensuring reliable knowledge transfer and modular expandability via techniques like master learning paradigms is thus impactful.</w:t>
      </w:r>
    </w:p>
    <w:p w:rsidR="00000000" w:rsidDel="00000000" w:rsidP="00000000" w:rsidRDefault="00000000" w:rsidRPr="00000000" w14:paraId="000000F8">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Other than mentioned above many other challenges are being faced while implementing an end-to-end machine learning or deep learning-enabled digital twin. The main challenge while implementing the digital twin is the low availability of the open souce resources related to the practical implementation of the digital twins. Most of the available content on the internet related to the digital twin is for only the designing and the conception of the digital twin, but near to no content can be found for the practical implementation of the digital twin.</w:t>
      </w:r>
    </w:p>
    <w:p w:rsidR="00000000" w:rsidDel="00000000" w:rsidP="00000000" w:rsidRDefault="00000000" w:rsidRPr="00000000" w14:paraId="000000FA">
      <w:pPr>
        <w:spacing w:after="115" w:before="245" w:line="240" w:lineRule="auto"/>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6. Opportunities / Future Scope</w:t>
      </w:r>
    </w:p>
    <w:p w:rsidR="00000000" w:rsidDel="00000000" w:rsidP="00000000" w:rsidRDefault="00000000" w:rsidRPr="00000000" w14:paraId="000000FB">
      <w:pPr>
        <w:numPr>
          <w:ilvl w:val="0"/>
          <w:numId w:val="1"/>
        </w:numPr>
        <w:ind w:left="450" w:hanging="27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8"/>
          <w:szCs w:val="18"/>
          <w:rtl w:val="0"/>
        </w:rPr>
        <w:t xml:space="preserve">The digital twin with machine learning can be utilized in pharmaceutical research for experimenting with different medicines and vaccines and getting feedback based on the effects of the digital twin.</w:t>
      </w:r>
      <w:r w:rsidDel="00000000" w:rsidR="00000000" w:rsidRPr="00000000">
        <w:rPr>
          <w:rtl w:val="0"/>
        </w:rPr>
      </w:r>
    </w:p>
    <w:p w:rsidR="00000000" w:rsidDel="00000000" w:rsidP="00000000" w:rsidRDefault="00000000" w:rsidRPr="00000000" w14:paraId="000000FC">
      <w:pPr>
        <w:numPr>
          <w:ilvl w:val="0"/>
          <w:numId w:val="1"/>
        </w:numPr>
        <w:ind w:left="450" w:hanging="27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8"/>
          <w:szCs w:val="18"/>
          <w:rtl w:val="0"/>
        </w:rPr>
        <w:t xml:space="preserve">The digital twin with machine learning can also be utilized in precision medicine to set the dosage of any medicine according to the patient’s immune system. With the help of this technology, one can know how medicine is affecting the patient and can change the dosage of that medicine instead of using the current methodology in which these types of experiments are performed on the patient.</w:t>
      </w:r>
      <w:r w:rsidDel="00000000" w:rsidR="00000000" w:rsidRPr="00000000">
        <w:rPr>
          <w:rtl w:val="0"/>
        </w:rPr>
      </w:r>
    </w:p>
    <w:p w:rsidR="00000000" w:rsidDel="00000000" w:rsidP="00000000" w:rsidRDefault="00000000" w:rsidRPr="00000000" w14:paraId="000000FD">
      <w:pPr>
        <w:numPr>
          <w:ilvl w:val="0"/>
          <w:numId w:val="1"/>
        </w:numPr>
        <w:ind w:left="450" w:hanging="27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8"/>
          <w:szCs w:val="18"/>
          <w:rtl w:val="0"/>
        </w:rPr>
        <w:t xml:space="preserve">The digital twin with machine learning can also be utilized in the healthcare industry for the curation of life-threatening diseases such as Parkinson's, cancer, Alzheimer's, etc.</w:t>
      </w:r>
      <w:r w:rsidDel="00000000" w:rsidR="00000000" w:rsidRPr="00000000">
        <w:rPr>
          <w:rtl w:val="0"/>
        </w:rPr>
      </w:r>
    </w:p>
    <w:p w:rsidR="00000000" w:rsidDel="00000000" w:rsidP="00000000" w:rsidRDefault="00000000" w:rsidRPr="00000000" w14:paraId="000000FE">
      <w:pPr>
        <w:numPr>
          <w:ilvl w:val="0"/>
          <w:numId w:val="1"/>
        </w:numPr>
        <w:ind w:left="450" w:hanging="27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8"/>
          <w:szCs w:val="18"/>
          <w:rtl w:val="0"/>
        </w:rPr>
        <w:t xml:space="preserve">Development and improvement of existing protocols, regulations, and ethical guidelines for the use of the proposed technology in precision healthcare can also be done.</w:t>
      </w:r>
      <w:r w:rsidDel="00000000" w:rsidR="00000000" w:rsidRPr="00000000">
        <w:rPr>
          <w:rtl w:val="0"/>
        </w:rPr>
      </w:r>
    </w:p>
    <w:p w:rsidR="00000000" w:rsidDel="00000000" w:rsidP="00000000" w:rsidRDefault="00000000" w:rsidRPr="00000000" w14:paraId="000000FF">
      <w:pPr>
        <w:numPr>
          <w:ilvl w:val="0"/>
          <w:numId w:val="1"/>
        </w:numPr>
        <w:ind w:left="450" w:hanging="27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Integration of reinforcement learning with the digital twin can be done with the help of which it can learn by itself without requiring additional training, so that this technology would be able to deal with circumstances that did not happen earlier.</w:t>
      </w:r>
    </w:p>
    <w:p w:rsidR="00000000" w:rsidDel="00000000" w:rsidP="00000000" w:rsidRDefault="00000000" w:rsidRPr="00000000" w14:paraId="00000100">
      <w:pPr>
        <w:spacing w:after="115" w:before="245" w:line="240" w:lineRule="auto"/>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7. Concluding Remarks</w:t>
      </w:r>
    </w:p>
    <w:p w:rsidR="00000000" w:rsidDel="00000000" w:rsidP="00000000" w:rsidRDefault="00000000" w:rsidRPr="00000000" w14:paraId="00000101">
      <w:pPr>
        <w:pBdr>
          <w:top w:color="1c1917" w:space="0" w:sz="0" w:val="none"/>
          <w:left w:color="1c1917" w:space="0" w:sz="0" w:val="none"/>
          <w:bottom w:color="1c1917" w:space="0" w:sz="0" w:val="none"/>
          <w:right w:color="1c1917" w:space="0" w:sz="0" w:val="none"/>
          <w:between w:color="1c1917" w:space="0" w:sz="0" w:val="none"/>
        </w:pBdr>
        <w:shd w:fill="ffffff" w:val="clear"/>
        <w:rPr>
          <w:rFonts w:ascii="Times New Roman" w:cs="Times New Roman" w:eastAsia="Times New Roman" w:hAnsi="Times New Roman"/>
          <w:color w:val="1c1917"/>
          <w:sz w:val="18"/>
          <w:szCs w:val="18"/>
        </w:rPr>
      </w:pPr>
      <w:r w:rsidDel="00000000" w:rsidR="00000000" w:rsidRPr="00000000">
        <w:rPr>
          <w:rFonts w:ascii="Times New Roman" w:cs="Times New Roman" w:eastAsia="Times New Roman" w:hAnsi="Times New Roman"/>
          <w:color w:val="1c1917"/>
          <w:sz w:val="18"/>
          <w:szCs w:val="18"/>
          <w:rtl w:val="0"/>
        </w:rPr>
        <w:t xml:space="preserve">In conclusion, this paper explored the immense potential of merging machine learning methodologies, especially deep neural networks, with digital twin technologies to transform next-generation healthcare delivery. Digital twins serve as high-fidelity virtual replicas of patients by assimilating diverse physiological, phenotypic, and environmental data streams. Augmenting these digital profiles with machine learning engenders clinical decision support systems that can gain comprehensive insights about the patient, predict future outcomes, and recommend optimal therapeutic interventions tailored to the individual.</w:t>
      </w:r>
    </w:p>
    <w:p w:rsidR="00000000" w:rsidDel="00000000" w:rsidP="00000000" w:rsidRDefault="00000000" w:rsidRPr="00000000" w14:paraId="00000102">
      <w:pPr>
        <w:pBdr>
          <w:top w:color="1c1917" w:space="0" w:sz="0" w:val="none"/>
          <w:left w:color="1c1917" w:space="0" w:sz="0" w:val="none"/>
          <w:bottom w:color="1c1917" w:space="0" w:sz="0" w:val="none"/>
          <w:right w:color="1c1917" w:space="0" w:sz="0" w:val="none"/>
          <w:between w:color="1c1917" w:space="0" w:sz="0" w:val="none"/>
        </w:pBdr>
        <w:shd w:fill="ffffff" w:val="clear"/>
        <w:rPr>
          <w:rFonts w:ascii="Times New Roman" w:cs="Times New Roman" w:eastAsia="Times New Roman" w:hAnsi="Times New Roman"/>
          <w:color w:val="1c1917"/>
          <w:sz w:val="18"/>
          <w:szCs w:val="18"/>
        </w:rPr>
      </w:pPr>
      <w:r w:rsidDel="00000000" w:rsidR="00000000" w:rsidRPr="00000000">
        <w:rPr>
          <w:rtl w:val="0"/>
        </w:rPr>
      </w:r>
    </w:p>
    <w:p w:rsidR="00000000" w:rsidDel="00000000" w:rsidP="00000000" w:rsidRDefault="00000000" w:rsidRPr="00000000" w14:paraId="00000103">
      <w:pPr>
        <w:pBdr>
          <w:top w:color="1c1917" w:space="0" w:sz="0" w:val="none"/>
          <w:left w:color="1c1917" w:space="0" w:sz="0" w:val="none"/>
          <w:bottom w:color="1c1917" w:space="0" w:sz="0" w:val="none"/>
          <w:right w:color="1c1917" w:space="0" w:sz="0" w:val="none"/>
          <w:between w:color="1c1917" w:space="0" w:sz="0" w:val="none"/>
        </w:pBdr>
        <w:shd w:fill="ffffff" w:val="clear"/>
        <w:rPr>
          <w:rFonts w:ascii="Times New Roman" w:cs="Times New Roman" w:eastAsia="Times New Roman" w:hAnsi="Times New Roman"/>
          <w:color w:val="1c1917"/>
          <w:sz w:val="18"/>
          <w:szCs w:val="18"/>
        </w:rPr>
      </w:pPr>
      <w:r w:rsidDel="00000000" w:rsidR="00000000" w:rsidRPr="00000000">
        <w:rPr>
          <w:rFonts w:ascii="Times New Roman" w:cs="Times New Roman" w:eastAsia="Times New Roman" w:hAnsi="Times New Roman"/>
          <w:color w:val="1c1917"/>
          <w:sz w:val="18"/>
          <w:szCs w:val="18"/>
          <w:rtl w:val="0"/>
        </w:rPr>
        <w:t xml:space="preserve">Several use cases highlight the promising capabilities unlocked by this synergistic approach spanning personalized diagnostics, virtual clinical trials, surgical assistance and connected health. Impactful examples covered include anomaly detection for rapid diagnoses, risk forecasting for preventative intervention, modeling disease trajectories under variable scenarios, dynamically adapting treatment regimens, and accelerating pharmaceutical innovation through in-silico experimentation. However, realizing widespread adoption faces critical ethical, clinical, and technical challenges that necessitate deliberate designs. One should also ensure patient data security and confidentiality while enabling aggregate learning necessitates federated approaches.</w:t>
      </w:r>
    </w:p>
    <w:p w:rsidR="00000000" w:rsidDel="00000000" w:rsidP="00000000" w:rsidRDefault="00000000" w:rsidRPr="00000000" w14:paraId="00000104">
      <w:pPr>
        <w:pBdr>
          <w:top w:color="1c1917" w:space="0" w:sz="0" w:val="none"/>
          <w:left w:color="1c1917" w:space="0" w:sz="0" w:val="none"/>
          <w:bottom w:color="1c1917" w:space="0" w:sz="0" w:val="none"/>
          <w:right w:color="1c1917" w:space="0" w:sz="0" w:val="none"/>
          <w:between w:color="1c1917" w:space="0" w:sz="0" w:val="none"/>
        </w:pBdr>
        <w:shd w:fill="ffffff" w:val="clear"/>
        <w:rPr>
          <w:rFonts w:ascii="Roboto" w:cs="Roboto" w:eastAsia="Roboto" w:hAnsi="Roboto"/>
          <w:color w:val="1c1917"/>
          <w:sz w:val="18"/>
          <w:szCs w:val="18"/>
        </w:rPr>
      </w:pPr>
      <w:r w:rsidDel="00000000" w:rsidR="00000000" w:rsidRPr="00000000">
        <w:rPr>
          <w:rtl w:val="0"/>
        </w:rPr>
      </w:r>
    </w:p>
    <w:p w:rsidR="00000000" w:rsidDel="00000000" w:rsidP="00000000" w:rsidRDefault="00000000" w:rsidRPr="00000000" w14:paraId="00000105">
      <w:pPr>
        <w:spacing w:after="115" w:before="245" w:line="240" w:lineRule="auto"/>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References</w:t>
      </w:r>
    </w:p>
    <w:p w:rsidR="00000000" w:rsidDel="00000000" w:rsidP="00000000" w:rsidRDefault="00000000" w:rsidRPr="00000000" w14:paraId="0000010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 Barricelli, Barbara Rita, Elena Casiraghi, and Daniela Fogli. "A survey on digital twin: Definitions, characteristics, applications, and design implications." IEEE access 7 (2019): 167653-167671.</w:t>
      </w:r>
    </w:p>
    <w:p w:rsidR="00000000" w:rsidDel="00000000" w:rsidP="00000000" w:rsidRDefault="00000000" w:rsidRPr="00000000" w14:paraId="0000010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 Elkefi, Safa, and Onur Asan. "Digital Twins for Managing Health Care Systems: Rapid Literature Review." Journal of medical Internet research 24.8 (2022): e37641.</w:t>
      </w:r>
    </w:p>
    <w:p w:rsidR="00000000" w:rsidDel="00000000" w:rsidP="00000000" w:rsidRDefault="00000000" w:rsidRPr="00000000" w14:paraId="0000010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 Torkamannia, Anna, Yadollah Omidi, and Reza Ferdousi. "SYNDEEP: a deep learning approach for the prediction of cancer drugs synergy." Scientific Reports 13.1 (2023): 6184.</w:t>
      </w:r>
    </w:p>
    <w:p w:rsidR="00000000" w:rsidDel="00000000" w:rsidP="00000000" w:rsidRDefault="00000000" w:rsidRPr="00000000" w14:paraId="0000010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 Ju, Jie, et al. "Robust deep learning model for prognostic stratification of pancreatic ductal adenocarcinoma patients." Iscience 24.12 (2021).</w:t>
      </w:r>
    </w:p>
    <w:p w:rsidR="00000000" w:rsidDel="00000000" w:rsidP="00000000" w:rsidRDefault="00000000" w:rsidRPr="00000000" w14:paraId="0000010A">
      <w:pPr>
        <w:rPr>
          <w:rFonts w:ascii="Times New Roman" w:cs="Times New Roman" w:eastAsia="Times New Roman" w:hAnsi="Times New Roman"/>
          <w:color w:val="212121"/>
          <w:sz w:val="18"/>
          <w:szCs w:val="18"/>
          <w:highlight w:val="white"/>
        </w:rPr>
      </w:pPr>
      <w:r w:rsidDel="00000000" w:rsidR="00000000" w:rsidRPr="00000000">
        <w:rPr>
          <w:rFonts w:ascii="Times New Roman" w:cs="Times New Roman" w:eastAsia="Times New Roman" w:hAnsi="Times New Roman"/>
          <w:sz w:val="18"/>
          <w:szCs w:val="18"/>
          <w:rtl w:val="0"/>
        </w:rPr>
        <w:t xml:space="preserve">[5] </w:t>
      </w:r>
      <w:r w:rsidDel="00000000" w:rsidR="00000000" w:rsidRPr="00000000">
        <w:rPr>
          <w:rFonts w:ascii="Times New Roman" w:cs="Times New Roman" w:eastAsia="Times New Roman" w:hAnsi="Times New Roman"/>
          <w:color w:val="212121"/>
          <w:sz w:val="18"/>
          <w:szCs w:val="18"/>
          <w:highlight w:val="white"/>
          <w:rtl w:val="0"/>
        </w:rPr>
        <w:t xml:space="preserve">Teng, L et al. </w:t>
      </w:r>
      <w:r w:rsidDel="00000000" w:rsidR="00000000" w:rsidRPr="00000000">
        <w:rPr>
          <w:rFonts w:ascii="Times New Roman" w:cs="Times New Roman" w:eastAsia="Times New Roman" w:hAnsi="Times New Roman"/>
          <w:i w:val="1"/>
          <w:color w:val="212121"/>
          <w:sz w:val="18"/>
          <w:szCs w:val="18"/>
          <w:highlight w:val="white"/>
          <w:rtl w:val="0"/>
        </w:rPr>
        <w:t xml:space="preserve">Nan fang yi ke da xue xue bao = Journal of Southern Medical University</w:t>
      </w:r>
      <w:r w:rsidDel="00000000" w:rsidR="00000000" w:rsidRPr="00000000">
        <w:rPr>
          <w:rFonts w:ascii="Times New Roman" w:cs="Times New Roman" w:eastAsia="Times New Roman" w:hAnsi="Times New Roman"/>
          <w:color w:val="212121"/>
          <w:sz w:val="18"/>
          <w:szCs w:val="18"/>
          <w:highlight w:val="white"/>
          <w:rtl w:val="0"/>
        </w:rPr>
        <w:t xml:space="preserve"> vol. 43,6 (2023): 1010-1016. doi:10.12122/j.issn.1673-4254.2023.06.17</w:t>
      </w:r>
    </w:p>
    <w:p w:rsidR="00000000" w:rsidDel="00000000" w:rsidP="00000000" w:rsidRDefault="00000000" w:rsidRPr="00000000" w14:paraId="0000010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[6] Mustafa, Ehzaz, et al. "An Ensembled Framework for Human Breast Cancer Survivability Prediction Using Deep Learning." Diagnostics 13.10 (2023): 1688.</w:t>
      </w:r>
    </w:p>
    <w:p w:rsidR="00000000" w:rsidDel="00000000" w:rsidP="00000000" w:rsidRDefault="00000000" w:rsidRPr="00000000" w14:paraId="0000010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[7] Talkhestani, Behrang Ashtari, et al. "Consistency check to synchronize the Digital Twin of manufacturing automation based on anchor points." Procedia Cirp 72 (2018): 159-164.</w:t>
      </w:r>
    </w:p>
    <w:p w:rsidR="00000000" w:rsidDel="00000000" w:rsidP="00000000" w:rsidRDefault="00000000" w:rsidRPr="00000000" w14:paraId="0000010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[8] Schleich, Benjamin, et al. "Shaping the digital twin for design and production engineering." CIRP annals 66.1 (2017): 141-144.</w:t>
      </w:r>
    </w:p>
    <w:p w:rsidR="00000000" w:rsidDel="00000000" w:rsidP="00000000" w:rsidRDefault="00000000" w:rsidRPr="00000000" w14:paraId="0000010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[9] Alves, Natalia, et al. "Fully automatic deep learning framework for pancreatic ductal adenocarcinoma detection on computed tomography." Cancers 14.2 (2022): 376.</w:t>
      </w:r>
    </w:p>
    <w:p w:rsidR="00000000" w:rsidDel="00000000" w:rsidP="00000000" w:rsidRDefault="00000000" w:rsidRPr="00000000" w14:paraId="0000010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[10] Gockel, Brian, et al. "Challenges with structural life forecasting using realistic mission profiles." 53rd AIAA/ASME/ASCE/AHS/ASC structures, structural dynamics and materials conference 20th AIAA/ASME/AHS adaptive structures conference 14th AIAA. 2012.</w:t>
      </w:r>
    </w:p>
    <w:p w:rsidR="00000000" w:rsidDel="00000000" w:rsidP="00000000" w:rsidRDefault="00000000" w:rsidRPr="00000000" w14:paraId="0000011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[11] Abbott, Dean. Applied predictive analytics: Principles and techniques for the professional data analyst. John Wiley &amp; Sons, 2014.</w:t>
      </w:r>
    </w:p>
    <w:p w:rsidR="00000000" w:rsidDel="00000000" w:rsidP="00000000" w:rsidRDefault="00000000" w:rsidRPr="00000000" w14:paraId="0000011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[12] Gandomi, Amir, and Murtaza Haider. "Beyond the hype: Big data concepts, methods, and analytics." International journal of information management 35.2 (2015): 137-144.</w:t>
      </w:r>
    </w:p>
    <w:p w:rsidR="00000000" w:rsidDel="00000000" w:rsidP="00000000" w:rsidRDefault="00000000" w:rsidRPr="00000000" w14:paraId="0000011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[13] Poornima, Shakthi, and Mullur Pushpalatha. "A journey from big data towards prescriptive analytics." ARPN J. Eng. Appl. Sci 11.19 (2016): 11465-11474.</w:t>
      </w:r>
    </w:p>
    <w:p w:rsidR="00000000" w:rsidDel="00000000" w:rsidP="00000000" w:rsidRDefault="00000000" w:rsidRPr="00000000" w14:paraId="0000011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[14] Lal, Amos, et al. "Development and verification of a digital twin patient model to predict specific treatment response during the first 24 hours of sepsis." Critical care explorations 2.11 (2020).</w:t>
      </w:r>
    </w:p>
    <w:p w:rsidR="00000000" w:rsidDel="00000000" w:rsidP="00000000" w:rsidRDefault="00000000" w:rsidRPr="00000000" w14:paraId="0000011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[15] Greenspan, Emily, et al. "CAFCW 113 Digital Twins for Predictive Cancer Care: an HPC-Enabled Community Initiative." (2019).</w:t>
      </w:r>
    </w:p>
    <w:p w:rsidR="00000000" w:rsidDel="00000000" w:rsidP="00000000" w:rsidRDefault="00000000" w:rsidRPr="00000000" w14:paraId="0000011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[16] Jameson, J. Larry, and Dan L. Longo. "Precision medicine—personalized, problematic, and promising." Obstetrical &amp; gynecological survey 70.10 (2015): 612-614.</w:t>
      </w:r>
    </w:p>
    <w:p w:rsidR="00000000" w:rsidDel="00000000" w:rsidP="00000000" w:rsidRDefault="00000000" w:rsidRPr="00000000" w14:paraId="0000011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[17] Clapworthy, Gordon, et al. "The virtual physiological human: building a framework for computational biomedicine I. Editorial." Philosophical transactions. Series A, Mathematical, Physical, and Engineering Sciences 366.1878 (2008): 2975-2978.</w:t>
      </w:r>
    </w:p>
    <w:p w:rsidR="00000000" w:rsidDel="00000000" w:rsidP="00000000" w:rsidRDefault="00000000" w:rsidRPr="00000000" w14:paraId="0000011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[18] Baillargeon, Brian, et al. "The living heart project: a robust and integrative simulator for human heart function." European Journal of Mechanics-A/Solids 48 (2014): 38-47.</w:t>
      </w:r>
    </w:p>
    <w:p w:rsidR="00000000" w:rsidDel="00000000" w:rsidP="00000000" w:rsidRDefault="00000000" w:rsidRPr="00000000" w14:paraId="0000011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[19] Feng, Yu, et al. "An in silico subject-variability study of upper airway morphological influence on the airflow regime in a tracheobronchial tree." Bioengineering 4.4 (2017): 90.</w:t>
      </w:r>
    </w:p>
    <w:p w:rsidR="00000000" w:rsidDel="00000000" w:rsidP="00000000" w:rsidRDefault="00000000" w:rsidRPr="00000000" w14:paraId="0000011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[20] Tuegel, Eric J., et al. "Reengineering aircraft structural life prediction using a digital twin." International Journal of Aerospace Engineering 2011 (2011).</w:t>
      </w:r>
    </w:p>
    <w:p w:rsidR="00000000" w:rsidDel="00000000" w:rsidP="00000000" w:rsidRDefault="00000000" w:rsidRPr="00000000" w14:paraId="0000011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[21] Marshall, T. "VPH: The Ultimate stage before your own medical Digital Twin." (2019).</w:t>
      </w:r>
    </w:p>
    <w:p w:rsidR="00000000" w:rsidDel="00000000" w:rsidP="00000000" w:rsidRDefault="00000000" w:rsidRPr="00000000" w14:paraId="0000011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[22] Poon, Hoifung, et al. "Precision Health in the Age of Large Language Models." Proceedings of the 29th ACM SIGKDD Conference on Knowledge Discovery and Data Mining. 2023.</w:t>
      </w:r>
    </w:p>
    <w:p w:rsidR="00000000" w:rsidDel="00000000" w:rsidP="00000000" w:rsidRDefault="00000000" w:rsidRPr="00000000" w14:paraId="0000011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[23] Ahmadi-Assalemi, Gabriela, et al. "Digital twins for precision healthcare." Cyber defence in the age of AI, Smart societies and augmented humanity (2020): 133-158.</w:t>
      </w:r>
    </w:p>
    <w:p w:rsidR="00000000" w:rsidDel="00000000" w:rsidP="00000000" w:rsidRDefault="00000000" w:rsidRPr="00000000" w14:paraId="0000011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[24] HamlAbadi, Kamran Gholizadeh, et al. "Digital Twins in cancer: State-of-the-art and open research." 2021 IEEE/ACM Conference on Connected Health: Applications, Systems and Engineering Technologies (CHASE). IEEE, 2021.</w:t>
      </w:r>
    </w:p>
    <w:p w:rsidR="00000000" w:rsidDel="00000000" w:rsidP="00000000" w:rsidRDefault="00000000" w:rsidRPr="00000000" w14:paraId="0000011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[25] Ahmadian, Hossein, et al. "A digital twin for simulating the vertebroplasty procedure and its impact on mechanical stability of vertebra in cancer patients." International Journal for Numerical Methods in Biomedical Engineering 38.6 (2022): e3600.</w:t>
      </w:r>
    </w:p>
    <w:p w:rsidR="00000000" w:rsidDel="00000000" w:rsidP="00000000" w:rsidRDefault="00000000" w:rsidRPr="00000000" w14:paraId="0000011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[26] Rod’ko, I. I., et al. "The concept of a digital twin of a radiotherapy system." Biomedical Engineering 53 (2020): 421-424.</w:t>
      </w:r>
    </w:p>
    <w:p w:rsidR="00000000" w:rsidDel="00000000" w:rsidP="00000000" w:rsidRDefault="00000000" w:rsidRPr="00000000" w14:paraId="0000012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[27] Tardini, Elisa, et al. "Optimal treatment selection in sequential systemic and locoregional therapy of oropharyngeal squamous carcinomas: deep Q-learning with a patient-physician digital twin dyad." Journal of medical Internet research 24.4 (2022): e29455.</w:t>
      </w:r>
    </w:p>
    <w:p w:rsidR="00000000" w:rsidDel="00000000" w:rsidP="00000000" w:rsidRDefault="00000000" w:rsidRPr="00000000" w14:paraId="0000012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[28] Bodin, Oleg N., et al. "Visualization of a Digital Twin of the Heart." 2021 IEEE 22nd International Conference of Young Professionals in Electron Devices and Materials (EDM). IEEE, 2021.</w:t>
      </w:r>
    </w:p>
    <w:p w:rsidR="00000000" w:rsidDel="00000000" w:rsidP="00000000" w:rsidRDefault="00000000" w:rsidRPr="00000000" w14:paraId="0000012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[29] Golse, Nicolas, et al. "Predicting the risk of post-hepatectomy portal hypertension using a digital twin: A clinical proof of concept." Journal of Hepatology 74.3 (2021): 661-669.</w:t>
      </w:r>
    </w:p>
    <w:p w:rsidR="00000000" w:rsidDel="00000000" w:rsidP="00000000" w:rsidRDefault="00000000" w:rsidRPr="00000000" w14:paraId="0000012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[30] Björnsson, Bergthor, et al. "Digital twins to personalize medicine." Genome medicine 12 (2020): 1-4.</w:t>
      </w:r>
    </w:p>
    <w:p w:rsidR="00000000" w:rsidDel="00000000" w:rsidP="00000000" w:rsidRDefault="00000000" w:rsidRPr="00000000" w14:paraId="0000012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[31] Ahmadian, Hossein, et al. "Toward an artificial intelligence‐assisted framework for reconstructing the digital twin of vertebra and predicting its fracture response." International journal for numerical methods in biomedical engineering 38.6 (2022): e3601.</w:t>
      </w:r>
    </w:p>
    <w:p w:rsidR="00000000" w:rsidDel="00000000" w:rsidP="00000000" w:rsidRDefault="00000000" w:rsidRPr="00000000" w14:paraId="0000012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[32] Shamanna, Paramesh, et al. "Type 2 diabetes reversal with digital twin technology-enabled precision nutrition and staging of reversal: a retrospective cohort study." Clinical Diabetes and Endocrinology 7.1 (2021): 1-8.</w:t>
      </w:r>
    </w:p>
    <w:p w:rsidR="00000000" w:rsidDel="00000000" w:rsidP="00000000" w:rsidRDefault="00000000" w:rsidRPr="00000000" w14:paraId="0000012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[33] Schütt, Michael, et al. "Simulating the hydrodynamic conditions of the human ascending colon: a digital twin of the dynamic colon model." Pharmaceutics 14.1 (2022): 184.</w:t>
      </w:r>
    </w:p>
    <w:p w:rsidR="00000000" w:rsidDel="00000000" w:rsidP="00000000" w:rsidRDefault="00000000" w:rsidRPr="00000000" w14:paraId="0000012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[34] Maes, Michael. "Precision nomothetic medicine in depression research: a new depression model, and new endophenotype classes and pathway phenotypes, and a digital self." Journal of personalized medicine 12.3 (2022): 403.</w:t>
      </w:r>
    </w:p>
    <w:p w:rsidR="00000000" w:rsidDel="00000000" w:rsidP="00000000" w:rsidRDefault="00000000" w:rsidRPr="00000000" w14:paraId="0000012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[35] Baranov, Leonid I., et al. "Experience of Creating Digital Twins as a Result of Monitoring the Health of Industrial Personnel." International Scientific and Practical Conference Strategy of Development of Regional Ecosystems “Education-Science-Industry”(ISPCR 2021). Atlantis Press, 2022.</w:t>
      </w:r>
    </w:p>
    <w:p w:rsidR="00000000" w:rsidDel="00000000" w:rsidP="00000000" w:rsidRDefault="00000000" w:rsidRPr="00000000" w14:paraId="00000129">
      <w:pPr>
        <w:rPr>
          <w:rFonts w:ascii="Times New Roman" w:cs="Times New Roman" w:eastAsia="Times New Roman" w:hAnsi="Times New Roman"/>
          <w:color w:val="222222"/>
          <w:sz w:val="18"/>
          <w:szCs w:val="18"/>
          <w:highlight w:val="white"/>
        </w:rPr>
      </w:pPr>
      <w:r w:rsidDel="00000000" w:rsidR="00000000" w:rsidRPr="00000000">
        <w:rPr>
          <w:rFonts w:ascii="Times New Roman" w:cs="Times New Roman" w:eastAsia="Times New Roman" w:hAnsi="Times New Roman"/>
          <w:sz w:val="18"/>
          <w:szCs w:val="18"/>
          <w:rtl w:val="0"/>
        </w:rPr>
        <w:t xml:space="preserve">[36] Tuegel, Eric. "The airframe digital twin: some challenges to realization." 53rd AIAA/ASME/ASCE/AHS/ASC structures, structural dynamics and materials conference 20th AIAA/ASME/AHS adaptive structures conference 14th AIAA. 2012.</w:t>
      </w:r>
      <w:r w:rsidDel="00000000" w:rsidR="00000000" w:rsidRPr="00000000">
        <w:rPr>
          <w:rtl w:val="0"/>
        </w:rPr>
      </w:r>
    </w:p>
    <w:p w:rsidR="00000000" w:rsidDel="00000000" w:rsidP="00000000" w:rsidRDefault="00000000" w:rsidRPr="00000000" w14:paraId="0000012A">
      <w:pPr>
        <w:rPr>
          <w:rFonts w:ascii="Times New Roman" w:cs="Times New Roman" w:eastAsia="Times New Roman" w:hAnsi="Times New Roman"/>
          <w:color w:val="222222"/>
          <w:sz w:val="18"/>
          <w:szCs w:val="18"/>
          <w:highlight w:val="white"/>
        </w:rPr>
      </w:pPr>
      <w:r w:rsidDel="00000000" w:rsidR="00000000" w:rsidRPr="00000000">
        <w:rPr>
          <w:rFonts w:ascii="Times New Roman" w:cs="Times New Roman" w:eastAsia="Times New Roman" w:hAnsi="Times New Roman"/>
          <w:color w:val="222222"/>
          <w:sz w:val="18"/>
          <w:szCs w:val="18"/>
          <w:rtl w:val="0"/>
        </w:rPr>
        <w:t xml:space="preserve">[37] </w:t>
      </w:r>
      <w:r w:rsidDel="00000000" w:rsidR="00000000" w:rsidRPr="00000000">
        <w:rPr>
          <w:rFonts w:ascii="Times New Roman" w:cs="Times New Roman" w:eastAsia="Times New Roman" w:hAnsi="Times New Roman"/>
          <w:color w:val="222222"/>
          <w:sz w:val="18"/>
          <w:szCs w:val="18"/>
          <w:highlight w:val="white"/>
          <w:rtl w:val="0"/>
        </w:rPr>
        <w:t xml:space="preserve">Bhatt, Neel Shah Dr. Nirav Bhatt, Dr. Nikita. “Future of Large Language Models and Digital Twins in Precision Healthcare: A Symmetric Literature Review.” </w:t>
      </w:r>
      <w:r w:rsidDel="00000000" w:rsidR="00000000" w:rsidRPr="00000000">
        <w:rPr>
          <w:rFonts w:ascii="Times New Roman" w:cs="Times New Roman" w:eastAsia="Times New Roman" w:hAnsi="Times New Roman"/>
          <w:i w:val="1"/>
          <w:color w:val="222222"/>
          <w:sz w:val="18"/>
          <w:szCs w:val="18"/>
          <w:highlight w:val="white"/>
          <w:rtl w:val="0"/>
        </w:rPr>
        <w:t xml:space="preserve">www.propulsiontechjournal.com</w:t>
      </w:r>
      <w:r w:rsidDel="00000000" w:rsidR="00000000" w:rsidRPr="00000000">
        <w:rPr>
          <w:rFonts w:ascii="Times New Roman" w:cs="Times New Roman" w:eastAsia="Times New Roman" w:hAnsi="Times New Roman"/>
          <w:color w:val="222222"/>
          <w:sz w:val="18"/>
          <w:szCs w:val="18"/>
          <w:highlight w:val="white"/>
          <w:rtl w:val="0"/>
        </w:rPr>
        <w:t xml:space="preserve">, 7 Dec. 2023, https://doi.org/10.52783/tjjpt.v44.i5.2910.</w:t>
      </w:r>
    </w:p>
    <w:p w:rsidR="00000000" w:rsidDel="00000000" w:rsidP="00000000" w:rsidRDefault="00000000" w:rsidRPr="00000000" w14:paraId="0000012B">
      <w:pPr>
        <w:rPr>
          <w:rFonts w:ascii="Times New Roman" w:cs="Times New Roman" w:eastAsia="Times New Roman" w:hAnsi="Times New Roman"/>
          <w:color w:val="222222"/>
          <w:sz w:val="18"/>
          <w:szCs w:val="18"/>
          <w:highlight w:val="white"/>
        </w:rPr>
      </w:pPr>
      <w:r w:rsidDel="00000000" w:rsidR="00000000" w:rsidRPr="00000000">
        <w:rPr>
          <w:rFonts w:ascii="Times New Roman" w:cs="Times New Roman" w:eastAsia="Times New Roman" w:hAnsi="Times New Roman"/>
          <w:color w:val="222222"/>
          <w:sz w:val="18"/>
          <w:szCs w:val="18"/>
          <w:rtl w:val="0"/>
        </w:rPr>
        <w:t xml:space="preserve">[38] </w:t>
      </w:r>
      <w:r w:rsidDel="00000000" w:rsidR="00000000" w:rsidRPr="00000000">
        <w:rPr>
          <w:rFonts w:ascii="Times New Roman" w:cs="Times New Roman" w:eastAsia="Times New Roman" w:hAnsi="Times New Roman"/>
          <w:color w:val="222222"/>
          <w:sz w:val="18"/>
          <w:szCs w:val="18"/>
          <w:highlight w:val="white"/>
          <w:rtl w:val="0"/>
        </w:rPr>
        <w:t xml:space="preserve">Grieb N, Schmierer L, Kim HU, Strobel S, Schulz C, Meschke T, Kubasch AS, Brioli A, Platzbecker U, Neumuth T, Merz M, Oeser A. A digital twin model for evidence-based clinical decision support in multiple myeloma treatment. Front Digit Health. 2023 Dec 20;5:1324453. doi: 10.3389/fdgth.2023.1324453. PMID: 38173909; PMCID: PMC10761485.</w:t>
      </w:r>
    </w:p>
    <w:p w:rsidR="00000000" w:rsidDel="00000000" w:rsidP="00000000" w:rsidRDefault="00000000" w:rsidRPr="00000000" w14:paraId="0000012C">
      <w:pPr>
        <w:rPr>
          <w:rFonts w:ascii="Times New Roman" w:cs="Times New Roman" w:eastAsia="Times New Roman" w:hAnsi="Times New Roman"/>
          <w:color w:val="222222"/>
          <w:sz w:val="18"/>
          <w:szCs w:val="18"/>
          <w:highlight w:val="white"/>
        </w:rPr>
      </w:pPr>
      <w:r w:rsidDel="00000000" w:rsidR="00000000" w:rsidRPr="00000000">
        <w:rPr>
          <w:rFonts w:ascii="Times New Roman" w:cs="Times New Roman" w:eastAsia="Times New Roman" w:hAnsi="Times New Roman"/>
          <w:color w:val="222222"/>
          <w:sz w:val="18"/>
          <w:szCs w:val="18"/>
          <w:rtl w:val="0"/>
        </w:rPr>
        <w:t xml:space="preserve">[39] </w:t>
      </w:r>
      <w:r w:rsidDel="00000000" w:rsidR="00000000" w:rsidRPr="00000000">
        <w:rPr>
          <w:rFonts w:ascii="Times New Roman" w:cs="Times New Roman" w:eastAsia="Times New Roman" w:hAnsi="Times New Roman"/>
          <w:color w:val="222222"/>
          <w:sz w:val="18"/>
          <w:szCs w:val="18"/>
          <w:highlight w:val="white"/>
          <w:rtl w:val="0"/>
        </w:rPr>
        <w:t xml:space="preserve">Cen, Steven, et al. “Toward Precision Medicine Using a ‘Digital Twin’ Approach: Modeling the Onset of Disease-specific Brain Atrophy in Individuals With Multiple Sclerosis.” Scientific Reports, vol. 13, no. 1, 28 Sept. 2023, </w:t>
      </w:r>
      <w:hyperlink r:id="rId11">
        <w:r w:rsidDel="00000000" w:rsidR="00000000" w:rsidRPr="00000000">
          <w:rPr>
            <w:rFonts w:ascii="Times New Roman" w:cs="Times New Roman" w:eastAsia="Times New Roman" w:hAnsi="Times New Roman"/>
            <w:color w:val="1155cc"/>
            <w:sz w:val="18"/>
            <w:szCs w:val="18"/>
            <w:highlight w:val="white"/>
            <w:u w:val="single"/>
            <w:rtl w:val="0"/>
          </w:rPr>
          <w:t xml:space="preserve">https://doi.org/10.1038/s41598-023-43618-5</w:t>
        </w:r>
      </w:hyperlink>
      <w:r w:rsidDel="00000000" w:rsidR="00000000" w:rsidRPr="00000000">
        <w:rPr>
          <w:rFonts w:ascii="Times New Roman" w:cs="Times New Roman" w:eastAsia="Times New Roman" w:hAnsi="Times New Roman"/>
          <w:color w:val="222222"/>
          <w:sz w:val="18"/>
          <w:szCs w:val="18"/>
          <w:highlight w:val="white"/>
          <w:rtl w:val="0"/>
        </w:rPr>
        <w:t xml:space="preserve">.</w:t>
      </w:r>
    </w:p>
    <w:p w:rsidR="00000000" w:rsidDel="00000000" w:rsidP="00000000" w:rsidRDefault="00000000" w:rsidRPr="00000000" w14:paraId="0000012D">
      <w:pPr>
        <w:rPr>
          <w:rFonts w:ascii="Times New Roman" w:cs="Times New Roman" w:eastAsia="Times New Roman" w:hAnsi="Times New Roman"/>
          <w:color w:val="222222"/>
          <w:sz w:val="18"/>
          <w:szCs w:val="18"/>
          <w:highlight w:val="white"/>
        </w:rPr>
      </w:pPr>
      <w:r w:rsidDel="00000000" w:rsidR="00000000" w:rsidRPr="00000000">
        <w:rPr>
          <w:rtl w:val="0"/>
        </w:rPr>
      </w:r>
    </w:p>
    <w:p w:rsidR="00000000" w:rsidDel="00000000" w:rsidP="00000000" w:rsidRDefault="00000000" w:rsidRPr="00000000" w14:paraId="0000012E">
      <w:pPr>
        <w:rPr>
          <w:rFonts w:ascii="Times New Roman" w:cs="Times New Roman" w:eastAsia="Times New Roman" w:hAnsi="Times New Roman"/>
          <w:color w:val="222222"/>
          <w:sz w:val="18"/>
          <w:szCs w:val="18"/>
          <w:highlight w:val="white"/>
        </w:rPr>
      </w:pPr>
      <w:r w:rsidDel="00000000" w:rsidR="00000000" w:rsidRPr="00000000">
        <w:rPr>
          <w:rFonts w:ascii="Times New Roman" w:cs="Times New Roman" w:eastAsia="Times New Roman" w:hAnsi="Times New Roman"/>
          <w:color w:val="222222"/>
          <w:sz w:val="18"/>
          <w:szCs w:val="18"/>
          <w:highlight w:val="white"/>
          <w:rtl w:val="0"/>
        </w:rPr>
        <w:t xml:space="preserve">[NEW-RL-1] Liu, Siqi, et al. "Reinforcement learning for clinical decision support in critical care: comprehensive review." Journal of medical Internet research 22.7 (2020): e18477.</w:t>
      </w:r>
    </w:p>
    <w:p w:rsidR="00000000" w:rsidDel="00000000" w:rsidP="00000000" w:rsidRDefault="00000000" w:rsidRPr="00000000" w14:paraId="0000012F">
      <w:pPr>
        <w:rPr>
          <w:rFonts w:ascii="Times New Roman" w:cs="Times New Roman" w:eastAsia="Times New Roman" w:hAnsi="Times New Roman"/>
          <w:color w:val="222222"/>
          <w:sz w:val="18"/>
          <w:szCs w:val="18"/>
          <w:highlight w:val="white"/>
        </w:rPr>
      </w:pPr>
      <w:r w:rsidDel="00000000" w:rsidR="00000000" w:rsidRPr="00000000">
        <w:rPr>
          <w:rFonts w:ascii="Times New Roman" w:cs="Times New Roman" w:eastAsia="Times New Roman" w:hAnsi="Times New Roman"/>
          <w:color w:val="222222"/>
          <w:sz w:val="18"/>
          <w:szCs w:val="18"/>
          <w:highlight w:val="white"/>
          <w:rtl w:val="0"/>
        </w:rPr>
        <w:t xml:space="preserve">[NEW-RL-2] Abdellatif, Alaa Awad, et al. "Reinforcement learning for intelligent healthcare systems: A comprehensive survey." arXiv preprint arXiv:2108.04087 (2021).</w:t>
      </w:r>
    </w:p>
    <w:p w:rsidR="00000000" w:rsidDel="00000000" w:rsidP="00000000" w:rsidRDefault="00000000" w:rsidRPr="00000000" w14:paraId="00000130">
      <w:pPr>
        <w:rPr>
          <w:rFonts w:ascii="Times New Roman" w:cs="Times New Roman" w:eastAsia="Times New Roman" w:hAnsi="Times New Roman"/>
          <w:color w:val="222222"/>
          <w:sz w:val="18"/>
          <w:szCs w:val="18"/>
          <w:highlight w:val="white"/>
        </w:rPr>
      </w:pPr>
      <w:r w:rsidDel="00000000" w:rsidR="00000000" w:rsidRPr="00000000">
        <w:rPr>
          <w:rFonts w:ascii="Times New Roman" w:cs="Times New Roman" w:eastAsia="Times New Roman" w:hAnsi="Times New Roman"/>
          <w:color w:val="222222"/>
          <w:sz w:val="18"/>
          <w:szCs w:val="18"/>
          <w:highlight w:val="white"/>
          <w:rtl w:val="0"/>
        </w:rPr>
        <w:t xml:space="preserve">[NEW-RL-3]</w:t>
      </w:r>
    </w:p>
    <w:p w:rsidR="00000000" w:rsidDel="00000000" w:rsidP="00000000" w:rsidRDefault="00000000" w:rsidRPr="00000000" w14:paraId="00000131">
      <w:pPr>
        <w:rPr>
          <w:rFonts w:ascii="Times New Roman" w:cs="Times New Roman" w:eastAsia="Times New Roman" w:hAnsi="Times New Roman"/>
          <w:color w:val="222222"/>
          <w:sz w:val="18"/>
          <w:szCs w:val="18"/>
          <w:highlight w:val="white"/>
        </w:rPr>
      </w:pPr>
      <w:r w:rsidDel="00000000" w:rsidR="00000000" w:rsidRPr="00000000">
        <w:rPr>
          <w:rFonts w:ascii="Times New Roman" w:cs="Times New Roman" w:eastAsia="Times New Roman" w:hAnsi="Times New Roman"/>
          <w:color w:val="222222"/>
          <w:sz w:val="18"/>
          <w:szCs w:val="18"/>
          <w:highlight w:val="white"/>
          <w:rtl w:val="0"/>
        </w:rPr>
        <w:t xml:space="preserve">[E1-15] Montague, P. Read. "Reinforcement learning: an introduction, by Sutton, RS and Barto, AG." Trends in cognitive sciences 3.9 (1999): 360.</w:t>
      </w:r>
    </w:p>
    <w:p w:rsidR="00000000" w:rsidDel="00000000" w:rsidP="00000000" w:rsidRDefault="00000000" w:rsidRPr="00000000" w14:paraId="00000132">
      <w:pPr>
        <w:rPr>
          <w:rFonts w:ascii="Times New Roman" w:cs="Times New Roman" w:eastAsia="Times New Roman" w:hAnsi="Times New Roman"/>
          <w:color w:val="222222"/>
          <w:sz w:val="18"/>
          <w:szCs w:val="18"/>
          <w:highlight w:val="white"/>
        </w:rPr>
      </w:pPr>
      <w:r w:rsidDel="00000000" w:rsidR="00000000" w:rsidRPr="00000000">
        <w:rPr>
          <w:rFonts w:ascii="Times New Roman" w:cs="Times New Roman" w:eastAsia="Times New Roman" w:hAnsi="Times New Roman"/>
          <w:color w:val="222222"/>
          <w:sz w:val="18"/>
          <w:szCs w:val="18"/>
          <w:highlight w:val="white"/>
          <w:rtl w:val="0"/>
        </w:rPr>
        <w:t xml:space="preserve">[E1-16] Kiumarsi, Bahare, et al. "Optimal and autonomous control using reinforcement learning: A survey." IEEE transactions on neural networks and learning systems 29.6 (2017): 2042-2062.</w:t>
      </w:r>
    </w:p>
    <w:p w:rsidR="00000000" w:rsidDel="00000000" w:rsidP="00000000" w:rsidRDefault="00000000" w:rsidRPr="00000000" w14:paraId="00000133">
      <w:pPr>
        <w:rPr>
          <w:rFonts w:ascii="Times New Roman" w:cs="Times New Roman" w:eastAsia="Times New Roman" w:hAnsi="Times New Roman"/>
          <w:color w:val="222222"/>
          <w:sz w:val="18"/>
          <w:szCs w:val="18"/>
          <w:highlight w:val="white"/>
        </w:rPr>
      </w:pPr>
      <w:r w:rsidDel="00000000" w:rsidR="00000000" w:rsidRPr="00000000">
        <w:rPr>
          <w:rFonts w:ascii="Times New Roman" w:cs="Times New Roman" w:eastAsia="Times New Roman" w:hAnsi="Times New Roman"/>
          <w:color w:val="222222"/>
          <w:sz w:val="18"/>
          <w:szCs w:val="18"/>
          <w:highlight w:val="white"/>
          <w:rtl w:val="0"/>
        </w:rPr>
        <w:t xml:space="preserve">[E1-17] Howard, Ronald A. "Dynamic programming and markov processes." (1960).</w:t>
      </w:r>
    </w:p>
    <w:p w:rsidR="00000000" w:rsidDel="00000000" w:rsidP="00000000" w:rsidRDefault="00000000" w:rsidRPr="00000000" w14:paraId="00000134">
      <w:pPr>
        <w:rPr>
          <w:rFonts w:ascii="Times New Roman" w:cs="Times New Roman" w:eastAsia="Times New Roman" w:hAnsi="Times New Roman"/>
          <w:color w:val="222222"/>
          <w:sz w:val="18"/>
          <w:szCs w:val="18"/>
          <w:highlight w:val="white"/>
        </w:rPr>
      </w:pPr>
      <w:r w:rsidDel="00000000" w:rsidR="00000000" w:rsidRPr="00000000">
        <w:rPr>
          <w:rFonts w:ascii="Times New Roman" w:cs="Times New Roman" w:eastAsia="Times New Roman" w:hAnsi="Times New Roman"/>
          <w:color w:val="222222"/>
          <w:sz w:val="18"/>
          <w:szCs w:val="18"/>
          <w:highlight w:val="white"/>
          <w:rtl w:val="0"/>
        </w:rPr>
        <w:t xml:space="preserve">[E1-21] Komorowski, Matthieu, et al. "The artificial intelligence clinician learns optimal treatment strategies for sepsis in intensive care." Nature medicine 24.11 (2018): 1716-1720.</w:t>
      </w:r>
    </w:p>
    <w:p w:rsidR="00000000" w:rsidDel="00000000" w:rsidP="00000000" w:rsidRDefault="00000000" w:rsidRPr="00000000" w14:paraId="00000135">
      <w:pPr>
        <w:rPr>
          <w:rFonts w:ascii="Times New Roman" w:cs="Times New Roman" w:eastAsia="Times New Roman" w:hAnsi="Times New Roman"/>
          <w:color w:val="222222"/>
          <w:sz w:val="18"/>
          <w:szCs w:val="18"/>
          <w:highlight w:val="white"/>
        </w:rPr>
      </w:pPr>
      <w:r w:rsidDel="00000000" w:rsidR="00000000" w:rsidRPr="00000000">
        <w:rPr>
          <w:rFonts w:ascii="Times New Roman" w:cs="Times New Roman" w:eastAsia="Times New Roman" w:hAnsi="Times New Roman"/>
          <w:color w:val="222222"/>
          <w:sz w:val="18"/>
          <w:szCs w:val="18"/>
          <w:highlight w:val="white"/>
          <w:rtl w:val="0"/>
        </w:rPr>
        <w:t xml:space="preserve">[E2-164] Hanlin, Wang., Xue, Bai., Yajuan, Wang., Yanfei, Lu., Binbing, Wang. "An integrated solution of deep reinforcement learning for automatic IMRT treatment planning in non-small-cell lung cancer." Frontiers in Oncology, undefined (2023). doi: 10.3389/fonc.2023.1124458</w:t>
      </w:r>
    </w:p>
    <w:p w:rsidR="00000000" w:rsidDel="00000000" w:rsidP="00000000" w:rsidRDefault="00000000" w:rsidRPr="00000000" w14:paraId="00000136">
      <w:pPr>
        <w:rPr>
          <w:rFonts w:ascii="Times New Roman" w:cs="Times New Roman" w:eastAsia="Times New Roman" w:hAnsi="Times New Roman"/>
          <w:color w:val="222222"/>
          <w:sz w:val="18"/>
          <w:szCs w:val="18"/>
          <w:highlight w:val="white"/>
        </w:rPr>
      </w:pPr>
      <w:r w:rsidDel="00000000" w:rsidR="00000000" w:rsidRPr="00000000">
        <w:rPr>
          <w:rFonts w:ascii="Times New Roman" w:cs="Times New Roman" w:eastAsia="Times New Roman" w:hAnsi="Times New Roman"/>
          <w:color w:val="222222"/>
          <w:sz w:val="18"/>
          <w:szCs w:val="18"/>
          <w:highlight w:val="white"/>
          <w:rtl w:val="0"/>
        </w:rPr>
        <w:t xml:space="preserve">[E2-165] Chidentree, Treesatayapun., Aldo, Jonathan, Muñoz-Vázquez. "Optimal drug-dosing of cancer dynamics with fuzzy reinforcement learning and discontinuous reward function." Engineering Applications of Artificial Intelligence, undefined (2023). doi: 10.1016/j.engappai.2023.105851</w:t>
      </w:r>
    </w:p>
    <w:p w:rsidR="00000000" w:rsidDel="00000000" w:rsidP="00000000" w:rsidRDefault="00000000" w:rsidRPr="00000000" w14:paraId="00000137">
      <w:pPr>
        <w:rPr>
          <w:rFonts w:ascii="Times New Roman" w:cs="Times New Roman" w:eastAsia="Times New Roman" w:hAnsi="Times New Roman"/>
          <w:color w:val="222222"/>
          <w:sz w:val="18"/>
          <w:szCs w:val="18"/>
          <w:highlight w:val="white"/>
        </w:rPr>
      </w:pPr>
      <w:r w:rsidDel="00000000" w:rsidR="00000000" w:rsidRPr="00000000">
        <w:rPr>
          <w:rFonts w:ascii="Times New Roman" w:cs="Times New Roman" w:eastAsia="Times New Roman" w:hAnsi="Times New Roman"/>
          <w:color w:val="222222"/>
          <w:sz w:val="18"/>
          <w:szCs w:val="18"/>
          <w:highlight w:val="white"/>
          <w:rtl w:val="0"/>
        </w:rPr>
        <w:t xml:space="preserve">[E2-166] Jalalimanesh, Ammar, et al. "Simulation-based optimization of radiotherapy: Agent-based modeling and reinforcement learning." Mathematics and Computers in Simulation 133 (2017): 235-248.</w:t>
      </w:r>
    </w:p>
    <w:p w:rsidR="00000000" w:rsidDel="00000000" w:rsidP="00000000" w:rsidRDefault="00000000" w:rsidRPr="00000000" w14:paraId="00000138">
      <w:pPr>
        <w:rPr>
          <w:rFonts w:ascii="Times New Roman" w:cs="Times New Roman" w:eastAsia="Times New Roman" w:hAnsi="Times New Roman"/>
          <w:color w:val="222222"/>
          <w:sz w:val="18"/>
          <w:szCs w:val="18"/>
          <w:highlight w:val="white"/>
        </w:rPr>
      </w:pPr>
      <w:r w:rsidDel="00000000" w:rsidR="00000000" w:rsidRPr="00000000">
        <w:rPr>
          <w:rFonts w:ascii="Times New Roman" w:cs="Times New Roman" w:eastAsia="Times New Roman" w:hAnsi="Times New Roman"/>
          <w:color w:val="222222"/>
          <w:sz w:val="18"/>
          <w:szCs w:val="18"/>
          <w:highlight w:val="white"/>
          <w:rtl w:val="0"/>
        </w:rPr>
        <w:t xml:space="preserve">[E2-167] Jianbing, Gong., Rundong, Tan., Lijun, Wang., Y., Pan., Junhui, Gao. "A dosing strategy model of deep deterministic policy gradient algorithm for sepsis patients." BMC Medical Informatics and Decision Making, undefined (2023). doi: 10.1186/s12911-023-02175-7</w:t>
      </w:r>
    </w:p>
    <w:p w:rsidR="00000000" w:rsidDel="00000000" w:rsidP="00000000" w:rsidRDefault="00000000" w:rsidRPr="00000000" w14:paraId="00000139">
      <w:pPr>
        <w:rPr>
          <w:rFonts w:ascii="Times New Roman" w:cs="Times New Roman" w:eastAsia="Times New Roman" w:hAnsi="Times New Roman"/>
          <w:color w:val="222222"/>
          <w:sz w:val="18"/>
          <w:szCs w:val="18"/>
          <w:highlight w:val="white"/>
        </w:rPr>
      </w:pPr>
      <w:r w:rsidDel="00000000" w:rsidR="00000000" w:rsidRPr="00000000">
        <w:rPr>
          <w:rFonts w:ascii="Times New Roman" w:cs="Times New Roman" w:eastAsia="Times New Roman" w:hAnsi="Times New Roman"/>
          <w:color w:val="222222"/>
          <w:sz w:val="18"/>
          <w:szCs w:val="18"/>
          <w:highlight w:val="white"/>
          <w:rtl w:val="0"/>
        </w:rPr>
        <w:t xml:space="preserve">[E2-168]  "Closed-loop control of multi-drug infusion for anesthesia and hemodynamic management."  undefined (2022). doi: 10.1109/ccta49430.2022.9966032</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i.org/10.1038/s41598-023-43618-5" TargetMode="External"/><Relationship Id="rId10" Type="http://schemas.openxmlformats.org/officeDocument/2006/relationships/image" Target="media/image1.png"/><Relationship Id="rId9" Type="http://schemas.openxmlformats.org/officeDocument/2006/relationships/hyperlink" Target="mailto:niravbhatt.it@charusat.ac.in"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neeldevenshah@gmail.com" TargetMode="External"/><Relationship Id="rId8" Type="http://schemas.openxmlformats.org/officeDocument/2006/relationships/hyperlink" Target="mailto:jayanshnagar@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pukmpJqYUPnsPJy86fYqJpoxGg==">CgMxLjA4AHIhMWtBTWpQaUdSbFRyUEg0SVZsei04V3RjT3J6OXh0UEFV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