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900" w:after="0"/>
        <w:jc w:val="both"/>
      </w:pPr>
      <w:r>
        <w:rPr>
          <w:rFonts w:ascii="Times New Roman" w:hAnsi="Times New Roman"/>
          <w:b w:val="0"/>
          <w:i w:val="0"/>
          <w:color w:val="000000"/>
          <w:sz w:val="24"/>
        </w:rPr>
      </w:r>
    </w:p>
    <w:p>
      <w:pPr>
        <w:spacing w:line="360" w:lineRule="auto" w:before="0" w:after="160"/>
        <w:jc w:val="center"/>
      </w:pPr>
      <w:r>
        <w:rPr>
          <w:rFonts w:ascii="Times New Roman" w:hAnsi="Times New Roman"/>
          <w:b/>
          <w:i w:val="0"/>
          <w:color w:val="000000"/>
          <w:sz w:val="40"/>
        </w:rPr>
        <w:t>CYBERSHIELD</w:t>
      </w:r>
    </w:p>
    <w:p>
      <w:pPr>
        <w:spacing w:line="360" w:lineRule="auto" w:before="0" w:after="640"/>
        <w:jc w:val="center"/>
      </w:pPr>
      <w:r>
        <w:rPr>
          <w:rFonts w:ascii="Times New Roman" w:hAnsi="Times New Roman"/>
          <w:b/>
          <w:i w:val="0"/>
          <w:color w:val="000000"/>
          <w:sz w:val="36"/>
        </w:rPr>
        <w:t>Software Requirements Specification</w:t>
      </w:r>
    </w:p>
    <w:p>
      <w:pPr>
        <w:spacing w:line="360" w:lineRule="auto" w:before="0" w:after="840"/>
        <w:jc w:val="center"/>
      </w:pPr>
      <w:r>
        <w:rPr>
          <w:rFonts w:ascii="Times New Roman" w:hAnsi="Times New Roman"/>
          <w:b w:val="0"/>
          <w:i/>
          <w:color w:val="000000"/>
          <w:sz w:val="28"/>
        </w:rPr>
        <w:t>An Evidence-Driven URL Phishing Detection Platform</w:t>
      </w:r>
    </w:p>
    <w:p>
      <w:pPr>
        <w:spacing w:line="360" w:lineRule="auto" w:before="0" w:after="160"/>
        <w:jc w:val="center"/>
      </w:pPr>
      <w:r>
        <w:rPr>
          <w:rFonts w:ascii="Times New Roman" w:hAnsi="Times New Roman"/>
          <w:b/>
          <w:i w:val="0"/>
          <w:color w:val="000000"/>
          <w:sz w:val="28"/>
        </w:rPr>
        <w:t>LDRP Institute of Technology and Research</w:t>
      </w:r>
    </w:p>
    <w:p>
      <w:pPr>
        <w:spacing w:line="360" w:lineRule="auto" w:before="0" w:after="640"/>
        <w:jc w:val="center"/>
      </w:pPr>
      <w:r>
        <w:rPr>
          <w:rFonts w:ascii="Times New Roman" w:hAnsi="Times New Roman"/>
          <w:b w:val="0"/>
          <w:i w:val="0"/>
          <w:color w:val="000000"/>
          <w:sz w:val="26"/>
        </w:rPr>
        <w:t>Academic Project Report</w:t>
      </w:r>
    </w:p>
    <w:p>
      <w:pPr>
        <w:spacing w:line="360" w:lineRule="auto" w:before="0" w:after="100"/>
        <w:jc w:val="center"/>
      </w:pPr>
      <w:r>
        <w:rPr>
          <w:rFonts w:ascii="Times New Roman" w:hAnsi="Times New Roman"/>
          <w:b w:val="0"/>
          <w:i w:val="0"/>
          <w:color w:val="000000"/>
          <w:sz w:val="24"/>
        </w:rPr>
        <w:t>Submitted by: Neel Savsani</w:t>
      </w:r>
    </w:p>
    <w:p>
      <w:pPr>
        <w:spacing w:line="360" w:lineRule="auto" w:before="0" w:after="100"/>
        <w:jc w:val="center"/>
      </w:pPr>
      <w:r>
        <w:rPr>
          <w:rFonts w:ascii="Times New Roman" w:hAnsi="Times New Roman"/>
          <w:b w:val="0"/>
          <w:i w:val="0"/>
          <w:color w:val="000000"/>
          <w:sz w:val="24"/>
        </w:rPr>
        <w:t>Project Guide: ______________________________</w:t>
      </w:r>
    </w:p>
    <w:p>
      <w:pPr>
        <w:spacing w:line="360" w:lineRule="auto" w:before="0" w:after="0"/>
        <w:jc w:val="center"/>
      </w:pPr>
      <w:r>
        <w:rPr>
          <w:rFonts w:ascii="Times New Roman" w:hAnsi="Times New Roman"/>
          <w:b w:val="0"/>
          <w:i w:val="0"/>
          <w:color w:val="000000"/>
          <w:sz w:val="24"/>
        </w:rPr>
        <w:t>Date: 06 August 2026</w:t>
      </w:r>
    </w:p>
    <w:p>
      <w:r>
        <w:br w:type="page"/>
      </w:r>
    </w:p>
    <w:p>
      <w:pPr>
        <w:pStyle w:val="Heading1"/>
      </w:pPr>
      <w:r>
        <w:rPr>
          <w:rFonts w:ascii="Times New Roman" w:hAnsi="Times New Roman"/>
          <w:b/>
          <w:i w:val="0"/>
          <w:color w:val="000000"/>
          <w:sz w:val="32"/>
        </w:rPr>
        <w:t>Acknowledgement</w:t>
      </w:r>
    </w:p>
    <w:p>
      <w:pPr>
        <w:spacing w:line="360" w:lineRule="auto" w:before="0" w:after="0"/>
        <w:jc w:val="both"/>
      </w:pPr>
      <w:r>
        <w:rPr>
          <w:rFonts w:ascii="Times New Roman" w:hAnsi="Times New Roman"/>
          <w:b w:val="0"/>
          <w:i w:val="0"/>
          <w:color w:val="000000"/>
          <w:sz w:val="24"/>
        </w:rPr>
        <w:t>This Software Requirements Specification has been prepared for the CyberShield academic project. The report documents the requirements and implementation completed to date. We acknowledge the guidance of faculty members, project reviewers, peers, and the open-source communities whose tools support the design, implementation, testing, and documentation of the system.</w:t>
      </w:r>
    </w:p>
    <w:p>
      <w:r>
        <w:br w:type="page"/>
      </w:r>
    </w:p>
    <w:p>
      <w:pPr>
        <w:pStyle w:val="Heading1"/>
      </w:pPr>
      <w:r>
        <w:rPr>
          <w:rFonts w:ascii="Times New Roman" w:hAnsi="Times New Roman"/>
          <w:b/>
          <w:i w:val="0"/>
          <w:color w:val="000000"/>
          <w:sz w:val="32"/>
        </w:rPr>
        <w:t>Abstract</w:t>
      </w:r>
    </w:p>
    <w:p>
      <w:pPr>
        <w:spacing w:line="360" w:lineRule="auto" w:before="0" w:after="0"/>
        <w:jc w:val="both"/>
      </w:pPr>
      <w:r>
        <w:rPr>
          <w:rFonts w:ascii="Times New Roman" w:hAnsi="Times New Roman"/>
          <w:b w:val="0"/>
          <w:i w:val="0"/>
          <w:color w:val="000000"/>
          <w:sz w:val="24"/>
        </w:rPr>
        <w:t>CyberShield is a web-based URL phishing analysis platform that investigates a submitted public HTTP or HTTPS address using live infrastructure and page-behaviour evidence. The system performs URL safety checks, HTTP, DNS, domain, TLS, browser, HTML, JavaScript, form, and optional reputation analysis. It produces a risk probability, a user-facing verdict, contributing indicators, a feature breakdown, and a scan-specific screenshot when capture succeeds. The current classifier is an explainable baseline intended for decision support; it is not a validated automated blocking model. This document specifies the system using the IEEE 830-oriented SRS structure and records the implemented functionality, constraints, data handling, interfaces, and planned extensions.</w:t>
      </w:r>
    </w:p>
    <w:p>
      <w:r>
        <w:br w:type="page"/>
      </w:r>
    </w:p>
    <w:p>
      <w:pPr>
        <w:pStyle w:val="Heading1"/>
      </w:pPr>
      <w:r>
        <w:rPr>
          <w:rFonts w:ascii="Times New Roman" w:hAnsi="Times New Roman"/>
          <w:b/>
          <w:i w:val="0"/>
          <w:color w:val="000000"/>
          <w:sz w:val="32"/>
        </w:rPr>
        <w:t>Table of Contents</w:t>
      </w:r>
    </w:p>
    <w:p>
      <w:pPr>
        <w:spacing w:line="360" w:lineRule="auto" w:before="0" w:after="60"/>
        <w:jc w:val="left"/>
      </w:pPr>
      <w:r>
        <w:rPr>
          <w:rFonts w:ascii="Times New Roman" w:hAnsi="Times New Roman"/>
          <w:b w:val="0"/>
          <w:i w:val="0"/>
          <w:color w:val="000000"/>
          <w:sz w:val="24"/>
        </w:rPr>
        <w:t>1. Introduction</w:t>
      </w:r>
    </w:p>
    <w:p>
      <w:pPr>
        <w:spacing w:line="360" w:lineRule="auto" w:before="0" w:after="60"/>
        <w:jc w:val="left"/>
      </w:pPr>
      <w:r>
        <w:rPr>
          <w:rFonts w:ascii="Times New Roman" w:hAnsi="Times New Roman"/>
          <w:b w:val="0"/>
          <w:i w:val="0"/>
          <w:color w:val="000000"/>
          <w:sz w:val="24"/>
        </w:rPr>
        <w:t>2. Overall Description</w:t>
      </w:r>
    </w:p>
    <w:p>
      <w:pPr>
        <w:spacing w:line="360" w:lineRule="auto" w:before="0" w:after="60"/>
        <w:jc w:val="left"/>
      </w:pPr>
      <w:r>
        <w:rPr>
          <w:rFonts w:ascii="Times New Roman" w:hAnsi="Times New Roman"/>
          <w:b w:val="0"/>
          <w:i w:val="0"/>
          <w:color w:val="000000"/>
          <w:sz w:val="24"/>
        </w:rPr>
        <w:t>3. Specific Requirements</w:t>
      </w:r>
    </w:p>
    <w:p>
      <w:pPr>
        <w:spacing w:line="360" w:lineRule="auto" w:before="0" w:after="60"/>
        <w:jc w:val="left"/>
      </w:pPr>
      <w:r>
        <w:rPr>
          <w:rFonts w:ascii="Times New Roman" w:hAnsi="Times New Roman"/>
          <w:b w:val="0"/>
          <w:i w:val="0"/>
          <w:color w:val="000000"/>
          <w:sz w:val="24"/>
        </w:rPr>
        <w:t>4. System Models</w:t>
      </w:r>
    </w:p>
    <w:p>
      <w:pPr>
        <w:spacing w:line="360" w:lineRule="auto" w:before="0" w:after="60"/>
        <w:jc w:val="left"/>
      </w:pPr>
      <w:r>
        <w:rPr>
          <w:rFonts w:ascii="Times New Roman" w:hAnsi="Times New Roman"/>
          <w:b w:val="0"/>
          <w:i w:val="0"/>
          <w:color w:val="000000"/>
          <w:sz w:val="24"/>
        </w:rPr>
        <w:t>5. Appendices</w:t>
      </w:r>
    </w:p>
    <w:p>
      <w:r>
        <w:br w:type="page"/>
      </w:r>
    </w:p>
    <w:p>
      <w:pPr>
        <w:pStyle w:val="Heading1"/>
      </w:pPr>
      <w:r>
        <w:rPr>
          <w:rFonts w:ascii="Times New Roman" w:hAnsi="Times New Roman"/>
          <w:b/>
          <w:i w:val="0"/>
          <w:color w:val="000000"/>
          <w:sz w:val="32"/>
        </w:rPr>
        <w:t>1. Introduction</w:t>
      </w:r>
    </w:p>
    <w:p>
      <w:pPr>
        <w:pStyle w:val="Heading2"/>
      </w:pPr>
      <w:r>
        <w:rPr>
          <w:rFonts w:ascii="Times New Roman" w:hAnsi="Times New Roman"/>
          <w:b/>
          <w:i w:val="0"/>
          <w:color w:val="000000"/>
          <w:sz w:val="28"/>
        </w:rPr>
        <w:t>1.1 Purpose</w:t>
      </w:r>
    </w:p>
    <w:p>
      <w:pPr>
        <w:spacing w:line="360" w:lineRule="auto" w:before="0" w:after="0"/>
        <w:jc w:val="both"/>
      </w:pPr>
      <w:r>
        <w:rPr>
          <w:rFonts w:ascii="Times New Roman" w:hAnsi="Times New Roman"/>
          <w:b w:val="0"/>
          <w:i w:val="0"/>
          <w:color w:val="000000"/>
          <w:sz w:val="24"/>
        </w:rPr>
        <w:t>CyberShield assists users in assessing the phishing risk of a URL before they interact with it. The system collects evidence from multiple sources rather than relying only on URL spelling, brand keywords, or fixed character-count rules. It is designed to explain the observed evidence so that the user can make an informed decision.</w:t>
      </w:r>
    </w:p>
    <w:p>
      <w:pPr>
        <w:pStyle w:val="Heading2"/>
      </w:pPr>
      <w:r>
        <w:rPr>
          <w:rFonts w:ascii="Times New Roman" w:hAnsi="Times New Roman"/>
          <w:b/>
          <w:i w:val="0"/>
          <w:color w:val="000000"/>
          <w:sz w:val="28"/>
        </w:rPr>
        <w:t>1.2 Scope</w:t>
      </w:r>
    </w:p>
    <w:p>
      <w:pPr>
        <w:spacing w:line="360" w:lineRule="auto" w:before="0" w:after="0"/>
        <w:jc w:val="both"/>
      </w:pPr>
      <w:r>
        <w:rPr>
          <w:rFonts w:ascii="Times New Roman" w:hAnsi="Times New Roman"/>
          <w:b w:val="0"/>
          <w:i w:val="0"/>
          <w:color w:val="000000"/>
          <w:sz w:val="24"/>
        </w:rPr>
        <w:t>The implemented scope is public URL analysis. A user can submit an HTTP or HTTPS URL from the dashboard, receive an analysis result, save it to personal history, reopen it from History or Reports, and print the result as a PDF. Email/text analysis and image upload are visible interface options but are not currently implemented as analysis workflows.</w:t>
      </w:r>
    </w:p>
    <w:p>
      <w:pPr>
        <w:pStyle w:val="Heading2"/>
      </w:pPr>
      <w:r>
        <w:rPr>
          <w:rFonts w:ascii="Times New Roman" w:hAnsi="Times New Roman"/>
          <w:b/>
          <w:i w:val="0"/>
          <w:color w:val="000000"/>
          <w:sz w:val="28"/>
        </w:rPr>
        <w:t>1.3 Definitions, Acronyms and Abbreviations</w:t>
      </w:r>
    </w:p>
    <w:p>
      <w:pPr>
        <w:spacing w:line="360" w:lineRule="auto" w:before="100" w:after="60"/>
        <w:jc w:val="center"/>
      </w:pPr>
      <w:r>
        <w:rPr>
          <w:rFonts w:ascii="Times New Roman" w:hAnsi="Times New Roman"/>
          <w:b/>
          <w:i w:val="0"/>
          <w:color w:val="000000"/>
          <w:sz w:val="22"/>
        </w:rPr>
        <w:t>Table 1: Definitions and Abbreviations</w:t>
      </w:r>
    </w:p>
    <w:tbl>
      <w:tblPr>
        <w:tblStyle w:val="TableGrid"/>
        <w:tblW w:type="dxa" w:w="9000"/>
        <w:tblLayout w:type="fixed"/>
        <w:tblLook w:firstColumn="1" w:firstRow="1" w:lastColumn="0" w:lastRow="0" w:noHBand="0" w:noVBand="1" w:val="04A0"/>
      </w:tblPr>
      <w:tblGrid>
        <w:gridCol w:w="2200"/>
        <w:gridCol w:w="6800"/>
      </w:tblGrid>
      <w:tr>
        <w:tc>
          <w:tcPr>
            <w:tcW w:type="dxa" w:w="22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Term</w:t>
            </w:r>
          </w:p>
        </w:tc>
        <w:tc>
          <w:tcPr>
            <w:tcW w:type="dxa" w:w="68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Definition</w:t>
            </w:r>
          </w:p>
        </w:tc>
      </w:tr>
      <w:tr>
        <w:tc>
          <w:tcPr>
            <w:tcW w:type="dxa" w:w="2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SRS</w:t>
            </w:r>
          </w:p>
        </w:tc>
        <w:tc>
          <w:tcPr>
            <w:tcW w:type="dxa" w:w="68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Software Requirements Specification.</w:t>
            </w:r>
          </w:p>
        </w:tc>
      </w:tr>
      <w:tr>
        <w:tc>
          <w:tcPr>
            <w:tcW w:type="dxa" w:w="2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SSRF</w:t>
            </w:r>
          </w:p>
        </w:tc>
        <w:tc>
          <w:tcPr>
            <w:tcW w:type="dxa" w:w="68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Server-Side Request Forgery; a risk in which a submitted URL attempts to reach internal services.</w:t>
            </w:r>
          </w:p>
        </w:tc>
      </w:tr>
      <w:tr>
        <w:tc>
          <w:tcPr>
            <w:tcW w:type="dxa" w:w="2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TLS</w:t>
            </w:r>
          </w:p>
        </w:tc>
        <w:tc>
          <w:tcPr>
            <w:tcW w:type="dxa" w:w="68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Transport Layer Security, used by HTTPS.</w:t>
            </w:r>
          </w:p>
        </w:tc>
      </w:tr>
      <w:tr>
        <w:tc>
          <w:tcPr>
            <w:tcW w:type="dxa" w:w="2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DNS</w:t>
            </w:r>
          </w:p>
        </w:tc>
        <w:tc>
          <w:tcPr>
            <w:tcW w:type="dxa" w:w="68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Domain Name System.</w:t>
            </w:r>
          </w:p>
        </w:tc>
      </w:tr>
      <w:tr>
        <w:tc>
          <w:tcPr>
            <w:tcW w:type="dxa" w:w="2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Evidence-v1</w:t>
            </w:r>
          </w:p>
        </w:tc>
        <w:tc>
          <w:tcPr>
            <w:tcW w:type="dxa" w:w="68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CyberShield feature schema derived from collected evidence.</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1.4 References</w:t>
      </w:r>
    </w:p>
    <w:p>
      <w:pPr>
        <w:pStyle w:val="ListBullet"/>
        <w:spacing w:line="360" w:lineRule="auto"/>
        <w:ind w:left="504" w:hanging="259"/>
      </w:pPr>
      <w:r>
        <w:rPr>
          <w:rFonts w:ascii="Times New Roman" w:hAnsi="Times New Roman"/>
          <w:b w:val="0"/>
          <w:i w:val="0"/>
          <w:color w:val="000000"/>
          <w:sz w:val="24"/>
        </w:rPr>
        <w:t>ISO/IEC/IEEE 29148 - Requirements engineering.</w:t>
      </w:r>
    </w:p>
    <w:p>
      <w:pPr>
        <w:pStyle w:val="ListBullet"/>
        <w:spacing w:line="360" w:lineRule="auto"/>
        <w:ind w:left="504" w:hanging="259"/>
      </w:pPr>
      <w:r>
        <w:rPr>
          <w:rFonts w:ascii="Times New Roman" w:hAnsi="Times New Roman"/>
          <w:b w:val="0"/>
          <w:i w:val="0"/>
          <w:color w:val="000000"/>
          <w:sz w:val="24"/>
        </w:rPr>
        <w:t>FastAPI, Playwright Python, Firebase, and OWASP SSRF Prevention documentation.</w:t>
      </w:r>
    </w:p>
    <w:p>
      <w:pPr>
        <w:pStyle w:val="ListBullet"/>
        <w:spacing w:line="360" w:lineRule="auto"/>
        <w:ind w:left="504" w:hanging="259"/>
      </w:pPr>
      <w:r>
        <w:rPr>
          <w:rFonts w:ascii="Times New Roman" w:hAnsi="Times New Roman"/>
          <w:b w:val="0"/>
          <w:i w:val="0"/>
          <w:color w:val="000000"/>
          <w:sz w:val="24"/>
        </w:rPr>
        <w:t>CyberShield source code, API models, frontend scripts, and current project README.</w:t>
      </w:r>
    </w:p>
    <w:p>
      <w:pPr>
        <w:pStyle w:val="Heading2"/>
      </w:pPr>
      <w:r>
        <w:rPr>
          <w:rFonts w:ascii="Times New Roman" w:hAnsi="Times New Roman"/>
          <w:b/>
          <w:i w:val="0"/>
          <w:color w:val="000000"/>
          <w:sz w:val="28"/>
        </w:rPr>
        <w:t>1.5 Document Overview</w:t>
      </w:r>
    </w:p>
    <w:p>
      <w:pPr>
        <w:spacing w:line="360" w:lineRule="auto" w:before="0" w:after="0"/>
        <w:jc w:val="both"/>
      </w:pPr>
      <w:r>
        <w:rPr>
          <w:rFonts w:ascii="Times New Roman" w:hAnsi="Times New Roman"/>
          <w:b w:val="0"/>
          <w:i w:val="0"/>
          <w:color w:val="000000"/>
          <w:sz w:val="24"/>
        </w:rPr>
        <w:t>Section 2 describes the product and operating context. Section 3 specifies functional, non-functional, interface, and performance requirements. Section 4 provides logical system models. Section 5 includes traceability and implementation-status appendices.</w:t>
      </w:r>
    </w:p>
    <w:p>
      <w:pPr>
        <w:pStyle w:val="Heading1"/>
      </w:pPr>
      <w:r>
        <w:rPr>
          <w:rFonts w:ascii="Times New Roman" w:hAnsi="Times New Roman"/>
          <w:b/>
          <w:i w:val="0"/>
          <w:color w:val="000000"/>
          <w:sz w:val="32"/>
        </w:rPr>
        <w:t>2. Overall Description</w:t>
      </w:r>
    </w:p>
    <w:p>
      <w:pPr>
        <w:pStyle w:val="Heading2"/>
      </w:pPr>
      <w:r>
        <w:rPr>
          <w:rFonts w:ascii="Times New Roman" w:hAnsi="Times New Roman"/>
          <w:b/>
          <w:i w:val="0"/>
          <w:color w:val="000000"/>
          <w:sz w:val="28"/>
        </w:rPr>
        <w:t>2.1 Product Perspective</w:t>
      </w:r>
    </w:p>
    <w:p>
      <w:pPr>
        <w:spacing w:line="360" w:lineRule="auto" w:before="0" w:after="0"/>
        <w:jc w:val="both"/>
      </w:pPr>
      <w:r>
        <w:rPr>
          <w:rFonts w:ascii="Times New Roman" w:hAnsi="Times New Roman"/>
          <w:b w:val="0"/>
          <w:i w:val="0"/>
          <w:color w:val="000000"/>
          <w:sz w:val="24"/>
        </w:rPr>
        <w:t>CyberShield is a multi-page web application backed by a FastAPI service. The frontend provides dashboard, authentication, history, reports, profile, settings, and result views. The backend validates URLs, coordinates collectors, converts evidence into stable features, and returns an explainable classification. Firebase Authentication and Firestore support the frontend account and saved-analysis experience, while SQLite-backed platform endpoints are available for local API workflows.</w:t>
      </w:r>
    </w:p>
    <w:p>
      <w:pPr>
        <w:pStyle w:val="Heading2"/>
      </w:pPr>
      <w:r>
        <w:rPr>
          <w:rFonts w:ascii="Times New Roman" w:hAnsi="Times New Roman"/>
          <w:b/>
          <w:i w:val="0"/>
          <w:color w:val="000000"/>
          <w:sz w:val="28"/>
        </w:rPr>
        <w:t>2.2 Product Functions</w:t>
      </w:r>
    </w:p>
    <w:p>
      <w:pPr>
        <w:pStyle w:val="ListBullet"/>
        <w:spacing w:line="360" w:lineRule="auto"/>
        <w:ind w:left="504" w:hanging="259"/>
      </w:pPr>
      <w:r>
        <w:rPr>
          <w:rFonts w:ascii="Times New Roman" w:hAnsi="Times New Roman"/>
          <w:b w:val="0"/>
          <w:i w:val="0"/>
          <w:color w:val="000000"/>
          <w:sz w:val="24"/>
        </w:rPr>
        <w:t>Accept and normalize a public HTTP/HTTPS URL.</w:t>
      </w:r>
    </w:p>
    <w:p>
      <w:pPr>
        <w:pStyle w:val="ListBullet"/>
        <w:spacing w:line="360" w:lineRule="auto"/>
        <w:ind w:left="504" w:hanging="259"/>
      </w:pPr>
      <w:r>
        <w:rPr>
          <w:rFonts w:ascii="Times New Roman" w:hAnsi="Times New Roman"/>
          <w:b w:val="0"/>
          <w:i w:val="0"/>
          <w:color w:val="000000"/>
          <w:sz w:val="24"/>
        </w:rPr>
        <w:t>Block localhost and private or non-public network destinations before collection.</w:t>
      </w:r>
    </w:p>
    <w:p>
      <w:pPr>
        <w:pStyle w:val="ListBullet"/>
        <w:spacing w:line="360" w:lineRule="auto"/>
        <w:ind w:left="504" w:hanging="259"/>
      </w:pPr>
      <w:r>
        <w:rPr>
          <w:rFonts w:ascii="Times New Roman" w:hAnsi="Times New Roman"/>
          <w:b w:val="0"/>
          <w:i w:val="0"/>
          <w:color w:val="000000"/>
          <w:sz w:val="24"/>
        </w:rPr>
        <w:t>Collect HTTP, DNS, domain, TLS, browser, HTML, JavaScript, form, and optional reputation evidence.</w:t>
      </w:r>
    </w:p>
    <w:p>
      <w:pPr>
        <w:pStyle w:val="ListBullet"/>
        <w:spacing w:line="360" w:lineRule="auto"/>
        <w:ind w:left="504" w:hanging="259"/>
      </w:pPr>
      <w:r>
        <w:rPr>
          <w:rFonts w:ascii="Times New Roman" w:hAnsi="Times New Roman"/>
          <w:b w:val="0"/>
          <w:i w:val="0"/>
          <w:color w:val="000000"/>
          <w:sz w:val="24"/>
        </w:rPr>
        <w:t>Capture a screenshot from the controlled browser session when available.</w:t>
      </w:r>
    </w:p>
    <w:p>
      <w:pPr>
        <w:pStyle w:val="ListBullet"/>
        <w:spacing w:line="360" w:lineRule="auto"/>
        <w:ind w:left="504" w:hanging="259"/>
      </w:pPr>
      <w:r>
        <w:rPr>
          <w:rFonts w:ascii="Times New Roman" w:hAnsi="Times New Roman"/>
          <w:b w:val="0"/>
          <w:i w:val="0"/>
          <w:color w:val="000000"/>
          <w:sz w:val="24"/>
        </w:rPr>
        <w:t>Calculate an explainable risk score and show indicators, features, and user guidance.</w:t>
      </w:r>
    </w:p>
    <w:p>
      <w:pPr>
        <w:pStyle w:val="ListBullet"/>
        <w:spacing w:line="360" w:lineRule="auto"/>
        <w:ind w:left="504" w:hanging="259"/>
      </w:pPr>
      <w:r>
        <w:rPr>
          <w:rFonts w:ascii="Times New Roman" w:hAnsi="Times New Roman"/>
          <w:b w:val="0"/>
          <w:i w:val="0"/>
          <w:color w:val="000000"/>
          <w:sz w:val="24"/>
        </w:rPr>
        <w:t>Store and reopen a registered user's complete analysis record.</w:t>
      </w:r>
    </w:p>
    <w:p>
      <w:pPr>
        <w:pStyle w:val="Heading2"/>
      </w:pPr>
      <w:r>
        <w:rPr>
          <w:rFonts w:ascii="Times New Roman" w:hAnsi="Times New Roman"/>
          <w:b/>
          <w:i w:val="0"/>
          <w:color w:val="000000"/>
          <w:sz w:val="28"/>
        </w:rPr>
        <w:t>2.3 User Classes and Characteristics</w:t>
      </w:r>
    </w:p>
    <w:p>
      <w:pPr>
        <w:spacing w:line="360" w:lineRule="auto" w:before="100" w:after="60"/>
        <w:jc w:val="center"/>
      </w:pPr>
      <w:r>
        <w:rPr>
          <w:rFonts w:ascii="Times New Roman" w:hAnsi="Times New Roman"/>
          <w:b/>
          <w:i w:val="0"/>
          <w:color w:val="000000"/>
          <w:sz w:val="22"/>
        </w:rPr>
        <w:t>Table 2: User Classes</w:t>
      </w:r>
    </w:p>
    <w:tbl>
      <w:tblPr>
        <w:tblStyle w:val="TableGrid"/>
        <w:tblW w:type="dxa" w:w="9000"/>
        <w:tblLayout w:type="fixed"/>
        <w:tblLook w:firstColumn="1" w:firstRow="1" w:lastColumn="0" w:lastRow="0" w:noHBand="0" w:noVBand="1" w:val="04A0"/>
      </w:tblPr>
      <w:tblGrid>
        <w:gridCol w:w="2300"/>
        <w:gridCol w:w="6700"/>
      </w:tblGrid>
      <w:tr>
        <w:tc>
          <w:tcPr>
            <w:tcW w:type="dxa" w:w="23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User Class</w:t>
            </w:r>
          </w:p>
        </w:tc>
        <w:tc>
          <w:tcPr>
            <w:tcW w:type="dxa" w:w="67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Characteristics</w:t>
            </w:r>
          </w:p>
        </w:tc>
      </w:tr>
      <w:tr>
        <w:tc>
          <w:tcPr>
            <w:tcW w:type="dxa" w:w="2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Guest</w:t>
            </w:r>
          </w:p>
        </w:tc>
        <w:tc>
          <w:tcPr>
            <w:tcW w:type="dxa" w:w="6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Can submit URLs and use a temporary dashboard history; account-only history, reports, profile, and settings are restricted.</w:t>
            </w:r>
          </w:p>
        </w:tc>
      </w:tr>
      <w:tr>
        <w:tc>
          <w:tcPr>
            <w:tcW w:type="dxa" w:w="2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Registered user</w:t>
            </w:r>
          </w:p>
        </w:tc>
        <w:tc>
          <w:tcPr>
            <w:tcW w:type="dxa" w:w="6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Uses Firebase Authentication and can retain, view, filter, delete, print, and revisit personal saved analyses.</w:t>
            </w:r>
          </w:p>
        </w:tc>
      </w:tr>
      <w:tr>
        <w:tc>
          <w:tcPr>
            <w:tcW w:type="dxa" w:w="2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Administrator/developer</w:t>
            </w:r>
          </w:p>
        </w:tc>
        <w:tc>
          <w:tcPr>
            <w:tcW w:type="dxa" w:w="6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Runs the API, maintains configuration, configures optional reputation providers, and monitors the project environment.</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2.4 Operating Environment</w:t>
      </w:r>
    </w:p>
    <w:p>
      <w:pPr>
        <w:spacing w:line="360" w:lineRule="auto" w:before="0" w:after="0"/>
        <w:jc w:val="both"/>
      </w:pPr>
      <w:r>
        <w:rPr>
          <w:rFonts w:ascii="Times New Roman" w:hAnsi="Times New Roman"/>
          <w:b w:val="0"/>
          <w:i w:val="0"/>
          <w:color w:val="000000"/>
          <w:sz w:val="24"/>
        </w:rPr>
        <w:t>The frontend runs in modern desktop or mobile browsers. The backend runs in a Python environment supporting FastAPI and Playwright Chromium. Network access is required for public targets, DNS and TLS queries, optional threat-intelligence providers, and Firebase cloud services. On Windows, browser-capable analysis uses a Proactor event loop in a worker thread to support Playwright subprocess creation.</w:t>
      </w:r>
    </w:p>
    <w:p>
      <w:pPr>
        <w:pStyle w:val="Heading2"/>
      </w:pPr>
      <w:r>
        <w:rPr>
          <w:rFonts w:ascii="Times New Roman" w:hAnsi="Times New Roman"/>
          <w:b/>
          <w:i w:val="0"/>
          <w:color w:val="000000"/>
          <w:sz w:val="28"/>
        </w:rPr>
        <w:t>2.5 Constraints, Assumptions and Dependencies</w:t>
      </w:r>
    </w:p>
    <w:p>
      <w:pPr>
        <w:spacing w:line="360" w:lineRule="auto" w:before="0" w:after="0"/>
        <w:jc w:val="both"/>
      </w:pPr>
      <w:r>
        <w:rPr>
          <w:rFonts w:ascii="Times New Roman" w:hAnsi="Times New Roman"/>
          <w:b w:val="0"/>
          <w:i w:val="0"/>
          <w:color w:val="000000"/>
          <w:sz w:val="24"/>
        </w:rPr>
        <w:t>The system depends on public network availability, target-site behaviour, browser compatibility, and external services. A missing provider key or failed collector must be represented as unavailable evidence, not as a false safe or malicious result. The risk score is advisory: it must not be used as an automatic production blocking decision until a versioned model has been trained and validated on labelled data.</w:t>
      </w:r>
    </w:p>
    <w:p>
      <w:pPr>
        <w:pStyle w:val="Heading1"/>
      </w:pPr>
      <w:r>
        <w:rPr>
          <w:rFonts w:ascii="Times New Roman" w:hAnsi="Times New Roman"/>
          <w:b/>
          <w:i w:val="0"/>
          <w:color w:val="000000"/>
          <w:sz w:val="32"/>
        </w:rPr>
        <w:t>3. Specific Requirements</w:t>
      </w:r>
    </w:p>
    <w:p>
      <w:pPr>
        <w:pStyle w:val="Heading2"/>
      </w:pPr>
      <w:r>
        <w:rPr>
          <w:rFonts w:ascii="Times New Roman" w:hAnsi="Times New Roman"/>
          <w:b/>
          <w:i w:val="0"/>
          <w:color w:val="000000"/>
          <w:sz w:val="28"/>
        </w:rPr>
        <w:t>3.1 Functional Requirements</w:t>
      </w:r>
    </w:p>
    <w:p>
      <w:pPr>
        <w:spacing w:line="360" w:lineRule="auto" w:before="100" w:after="60"/>
        <w:jc w:val="center"/>
      </w:pPr>
      <w:r>
        <w:rPr>
          <w:rFonts w:ascii="Times New Roman" w:hAnsi="Times New Roman"/>
          <w:b/>
          <w:i w:val="0"/>
          <w:color w:val="000000"/>
          <w:sz w:val="22"/>
        </w:rPr>
        <w:t>Table 3: Functional Requirements</w:t>
      </w:r>
    </w:p>
    <w:tbl>
      <w:tblPr>
        <w:tblStyle w:val="TableGrid"/>
        <w:tblW w:type="dxa" w:w="9000"/>
        <w:tblLayout w:type="fixed"/>
        <w:tblLook w:firstColumn="1" w:firstRow="1" w:lastColumn="0" w:lastRow="0" w:noHBand="0" w:noVBand="1" w:val="04A0"/>
      </w:tblPr>
      <w:tblGrid>
        <w:gridCol w:w="1100"/>
        <w:gridCol w:w="7900"/>
      </w:tblGrid>
      <w:tr>
        <w:tc>
          <w:tcPr>
            <w:tcW w:type="dxa" w:w="11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ID</w:t>
            </w:r>
          </w:p>
        </w:tc>
        <w:tc>
          <w:tcPr>
            <w:tcW w:type="dxa" w:w="79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Requirement</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FR-01</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provide registration, sign-in, password recovery, sign-out, and guest entry.</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FR-02</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accept complete HTTP/HTTPS URLs and reject malformed, local, private, link-local, reserved, or otherwise non-public targets before analysis.</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FR-03</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collect HTTP reachability/redirect, DNS, domain age, TLS certificate, and configured reputation evidence when available.</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FR-04</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render an admitted URL in a controlled browser context and collect final URL, title, browser events, page content, forms, and a scan-specific screenshot when possible.</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FR-05</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derive evidence-v1 features and return a phishing probability, risk level, ranked contributors, and model status notice.</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FR-06</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Result page shall show score, verdict, input, timestamp, recommendation, indicators, feature values, and the matching screenshot.</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FR-07</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Registered users' saved analysis records shall retain content, score, verdict, indicators, features, screenshot URL, and timestamps.</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FR-08</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History and Reports shall reconstruct the same complete result data as the initial analysis result when a user selects View.</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FR-09</w:t>
            </w:r>
          </w:p>
        </w:tc>
        <w:tc>
          <w:tcPr>
            <w:tcW w:type="dxa" w:w="79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system shall allow a saved result to be printed or saved as a PDF through the browser print flow.</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3.2 Non-functional Requirements</w:t>
      </w:r>
    </w:p>
    <w:p>
      <w:pPr>
        <w:spacing w:line="360" w:lineRule="auto" w:before="100" w:after="60"/>
        <w:jc w:val="center"/>
      </w:pPr>
      <w:r>
        <w:rPr>
          <w:rFonts w:ascii="Times New Roman" w:hAnsi="Times New Roman"/>
          <w:b/>
          <w:i w:val="0"/>
          <w:color w:val="000000"/>
          <w:sz w:val="22"/>
        </w:rPr>
        <w:t>Table 4: Non-functional Requirements</w:t>
      </w:r>
    </w:p>
    <w:tbl>
      <w:tblPr>
        <w:tblStyle w:val="TableGrid"/>
        <w:tblW w:type="dxa" w:w="9000"/>
        <w:tblLayout w:type="fixed"/>
        <w:tblLook w:firstColumn="1" w:firstRow="1" w:lastColumn="0" w:lastRow="0" w:noHBand="0" w:noVBand="1" w:val="04A0"/>
      </w:tblPr>
      <w:tblGrid>
        <w:gridCol w:w="1100"/>
        <w:gridCol w:w="1700"/>
        <w:gridCol w:w="6200"/>
      </w:tblGrid>
      <w:tr>
        <w:tc>
          <w:tcPr>
            <w:tcW w:type="dxa" w:w="11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ID</w:t>
            </w:r>
          </w:p>
        </w:tc>
        <w:tc>
          <w:tcPr>
            <w:tcW w:type="dxa" w:w="17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Category</w:t>
            </w:r>
          </w:p>
        </w:tc>
        <w:tc>
          <w:tcPr>
            <w:tcW w:type="dxa" w:w="62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Requirement</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NFR-01</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Security</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Reject unsafe destinations before any HTTP, TLS, or browser collection to reduce SSRF risk.</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NFR-02</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Privacy</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 screenshot must belong to the particular analysis that generated it; the Result page must not fall back to a shared latest screenshot.</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NFR-03</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Reliability</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Collector failures shall return partial labelled evidence and shall not prevent browser resources from closing.</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NFR-04</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Usability</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interface shall explain risk using a concise verdict, contributors, recommendation, and accessible feature values.</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NFR-05</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Maintainability</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Collectors, feature extraction, classification, and frontend rendering shall remain separated components.</w:t>
            </w:r>
          </w:p>
        </w:tc>
      </w:tr>
      <w:tr>
        <w:tc>
          <w:tcPr>
            <w:tcW w:type="dxa" w:w="1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NFR-06</w:t>
            </w:r>
          </w:p>
        </w:tc>
        <w:tc>
          <w:tcPr>
            <w:tcW w:type="dxa" w:w="17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Ethical use</w:t>
            </w:r>
          </w:p>
        </w:tc>
        <w:tc>
          <w:tcPr>
            <w:tcW w:type="dxa" w:w="6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The baseline/synthetic model limitation shall be documented before any automated blocking is considered.</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3.3 External Interface Requirements</w:t>
      </w:r>
    </w:p>
    <w:p>
      <w:pPr>
        <w:pStyle w:val="Heading3"/>
      </w:pPr>
      <w:r>
        <w:rPr>
          <w:rFonts w:ascii="Times New Roman" w:hAnsi="Times New Roman"/>
          <w:b/>
          <w:i/>
          <w:color w:val="000000"/>
          <w:sz w:val="26"/>
        </w:rPr>
        <w:t>3.3.1 User Interface</w:t>
      </w:r>
    </w:p>
    <w:p>
      <w:pPr>
        <w:spacing w:line="360" w:lineRule="auto" w:before="0" w:after="0"/>
        <w:jc w:val="both"/>
      </w:pPr>
      <w:r>
        <w:rPr>
          <w:rFonts w:ascii="Times New Roman" w:hAnsi="Times New Roman"/>
          <w:b w:val="0"/>
          <w:i w:val="0"/>
          <w:color w:val="000000"/>
          <w:sz w:val="24"/>
        </w:rPr>
        <w:t>The Dashboard shall provide URL input, progress, summary statistics, and recent scans. The Result page shall display complete result evidence. History and Reports shall allow a user to find and reopen saved analyses. Profile and Settings are account-only screens.</w:t>
      </w:r>
    </w:p>
    <w:p>
      <w:pPr>
        <w:pStyle w:val="Heading3"/>
      </w:pPr>
      <w:r>
        <w:rPr>
          <w:rFonts w:ascii="Times New Roman" w:hAnsi="Times New Roman"/>
          <w:b/>
          <w:i/>
          <w:color w:val="000000"/>
          <w:sz w:val="26"/>
        </w:rPr>
        <w:t>3.3.2 API Interface</w:t>
      </w:r>
    </w:p>
    <w:p>
      <w:pPr>
        <w:spacing w:line="360" w:lineRule="auto" w:before="100" w:after="60"/>
        <w:jc w:val="center"/>
      </w:pPr>
      <w:r>
        <w:rPr>
          <w:rFonts w:ascii="Times New Roman" w:hAnsi="Times New Roman"/>
          <w:b/>
          <w:i w:val="0"/>
          <w:color w:val="000000"/>
          <w:sz w:val="22"/>
        </w:rPr>
        <w:t>Table 5: API Interfaces</w:t>
      </w:r>
    </w:p>
    <w:tbl>
      <w:tblPr>
        <w:tblStyle w:val="TableGrid"/>
        <w:tblW w:type="dxa" w:w="9000"/>
        <w:tblLayout w:type="fixed"/>
        <w:tblLook w:firstColumn="1" w:firstRow="1" w:lastColumn="0" w:lastRow="0" w:noHBand="0" w:noVBand="1" w:val="04A0"/>
      </w:tblPr>
      <w:tblGrid>
        <w:gridCol w:w="2500"/>
        <w:gridCol w:w="1400"/>
        <w:gridCol w:w="5100"/>
      </w:tblGrid>
      <w:tr>
        <w:tc>
          <w:tcPr>
            <w:tcW w:type="dxa" w:w="25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Endpoint</w:t>
            </w:r>
          </w:p>
        </w:tc>
        <w:tc>
          <w:tcPr>
            <w:tcW w:type="dxa" w:w="14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Method</w:t>
            </w:r>
          </w:p>
        </w:tc>
        <w:tc>
          <w:tcPr>
            <w:tcW w:type="dxa" w:w="51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Purpose</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/analyze</w:t>
            </w:r>
          </w:p>
        </w:tc>
        <w:tc>
          <w:tcPr>
            <w:tcW w:type="dxa" w:w="14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POST</w:t>
            </w:r>
          </w:p>
        </w:tc>
        <w:tc>
          <w:tcPr>
            <w:tcW w:type="dxa" w:w="5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Returns the synchronous evidence-driven URL analysis response.</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/api/scans</w:t>
            </w:r>
          </w:p>
        </w:tc>
        <w:tc>
          <w:tcPr>
            <w:tcW w:type="dxa" w:w="14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POST/GET</w:t>
            </w:r>
          </w:p>
        </w:tc>
        <w:tc>
          <w:tcPr>
            <w:tcW w:type="dxa" w:w="5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Submits asynchronous platform scans and retrieves local platform scan records.</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/api/scans/{scan_id}</w:t>
            </w:r>
          </w:p>
        </w:tc>
        <w:tc>
          <w:tcPr>
            <w:tcW w:type="dxa" w:w="14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GET</w:t>
            </w:r>
          </w:p>
        </w:tc>
        <w:tc>
          <w:tcPr>
            <w:tcW w:type="dxa" w:w="5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Retrieves a specific queued scan after access checks.</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/health</w:t>
            </w:r>
          </w:p>
        </w:tc>
        <w:tc>
          <w:tcPr>
            <w:tcW w:type="dxa" w:w="14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GET</w:t>
            </w:r>
          </w:p>
        </w:tc>
        <w:tc>
          <w:tcPr>
            <w:tcW w:type="dxa" w:w="5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Reports that the backend service is online.</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/reports</w:t>
            </w:r>
          </w:p>
        </w:tc>
        <w:tc>
          <w:tcPr>
            <w:tcW w:type="dxa" w:w="14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Static</w:t>
            </w:r>
          </w:p>
        </w:tc>
        <w:tc>
          <w:tcPr>
            <w:tcW w:type="dxa" w:w="51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Serves scan-specific browser screenshot files.</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3.4 Performance Requirements</w:t>
      </w:r>
    </w:p>
    <w:p>
      <w:pPr>
        <w:spacing w:line="360" w:lineRule="auto" w:before="0" w:after="0"/>
        <w:jc w:val="both"/>
      </w:pPr>
      <w:r>
        <w:rPr>
          <w:rFonts w:ascii="Times New Roman" w:hAnsi="Times New Roman"/>
          <w:b w:val="0"/>
          <w:i w:val="0"/>
          <w:color w:val="000000"/>
          <w:sz w:val="24"/>
        </w:rPr>
        <w:t>The system shall promptly reject invalid or unsafe targets. For admitted URLs, execution time is dependent on live web, DNS, TLS, browser, and provider response conditions; therefore the interface shall show progress while analysis is active. Browser analysis shall execute away from the server's main event loop where the platform requires it. External network calls shall use bounded timeouts and failures shall produce a readable result state.</w:t>
      </w:r>
    </w:p>
    <w:p>
      <w:pPr>
        <w:pStyle w:val="Heading2"/>
      </w:pPr>
      <w:r>
        <w:rPr>
          <w:rFonts w:ascii="Times New Roman" w:hAnsi="Times New Roman"/>
          <w:b/>
          <w:i w:val="0"/>
          <w:color w:val="000000"/>
          <w:sz w:val="28"/>
        </w:rPr>
        <w:t>3.5 Design Constraints</w:t>
      </w:r>
    </w:p>
    <w:p>
      <w:pPr>
        <w:spacing w:line="360" w:lineRule="auto" w:before="0" w:after="0"/>
        <w:jc w:val="both"/>
      </w:pPr>
      <w:r>
        <w:rPr>
          <w:rFonts w:ascii="Times New Roman" w:hAnsi="Times New Roman"/>
          <w:b w:val="0"/>
          <w:i w:val="0"/>
          <w:color w:val="000000"/>
          <w:sz w:val="24"/>
        </w:rPr>
        <w:t>CyberShield currently supports only publicly reachable HTTP/HTTPS URLs. Optional VirusTotal and Google Safe Browsing checks require user-supplied server-side API keys. OpenPhish and URLhaus are declared future feed integrations. The deployed production environment must apply restrictive CORS, secret management, HTTPS, Firebase Security Rules, rate limiting, and retained-data controls.</w:t>
      </w:r>
    </w:p>
    <w:p>
      <w:pPr>
        <w:pStyle w:val="Heading1"/>
      </w:pPr>
      <w:r>
        <w:rPr>
          <w:rFonts w:ascii="Times New Roman" w:hAnsi="Times New Roman"/>
          <w:b/>
          <w:i w:val="0"/>
          <w:color w:val="000000"/>
          <w:sz w:val="32"/>
        </w:rPr>
        <w:t>4. System Models</w:t>
      </w:r>
    </w:p>
    <w:p>
      <w:pPr>
        <w:pStyle w:val="Heading2"/>
      </w:pPr>
      <w:r>
        <w:rPr>
          <w:rFonts w:ascii="Times New Roman" w:hAnsi="Times New Roman"/>
          <w:b/>
          <w:i w:val="0"/>
          <w:color w:val="000000"/>
          <w:sz w:val="28"/>
        </w:rPr>
        <w:t>4.1 Use Case Model</w:t>
      </w:r>
    </w:p>
    <w:p>
      <w:pPr>
        <w:spacing w:line="360" w:lineRule="auto" w:before="0" w:after="0"/>
        <w:jc w:val="both"/>
      </w:pPr>
      <w:r>
        <w:rPr>
          <w:rFonts w:ascii="Times New Roman" w:hAnsi="Times New Roman"/>
          <w:b w:val="0"/>
          <w:i w:val="0"/>
          <w:color w:val="000000"/>
          <w:sz w:val="24"/>
        </w:rPr>
        <w:t>The main actors are guest users, registered users, and administrators. The use case model represents the implemented user workflow and the administrative operational role.</w:t>
      </w:r>
    </w:p>
    <w:p>
      <w:pPr>
        <w:jc w:val="center"/>
      </w:pPr>
      <w:r>
        <w:drawing>
          <wp:inline xmlns:a="http://schemas.openxmlformats.org/drawingml/2006/main" xmlns:pic="http://schemas.openxmlformats.org/drawingml/2006/picture">
            <wp:extent cx="5212080" cy="3201706"/>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212080" cy="3201706"/>
                    </a:xfrm>
                    <a:prstGeom prst="rect"/>
                  </pic:spPr>
                </pic:pic>
              </a:graphicData>
            </a:graphic>
          </wp:inline>
        </w:drawing>
      </w:r>
    </w:p>
    <w:p>
      <w:pPr>
        <w:spacing w:line="360" w:lineRule="auto" w:before="60" w:after="60"/>
        <w:jc w:val="center"/>
      </w:pPr>
      <w:r>
        <w:rPr>
          <w:rFonts w:ascii="Times New Roman" w:hAnsi="Times New Roman"/>
          <w:b/>
          <w:i w:val="0"/>
          <w:color w:val="000000"/>
          <w:sz w:val="22"/>
        </w:rPr>
        <w:t>Figure 1: CyberShield Use Case Model</w:t>
      </w:r>
    </w:p>
    <w:p>
      <w:pPr>
        <w:pStyle w:val="Heading2"/>
      </w:pPr>
      <w:r>
        <w:rPr>
          <w:rFonts w:ascii="Times New Roman" w:hAnsi="Times New Roman"/>
          <w:b/>
          <w:i w:val="0"/>
          <w:color w:val="000000"/>
          <w:sz w:val="28"/>
        </w:rPr>
        <w:t>4.2 Data Flow Diagram</w:t>
      </w:r>
    </w:p>
    <w:p>
      <w:pPr>
        <w:spacing w:line="360" w:lineRule="auto" w:before="0" w:after="0"/>
        <w:jc w:val="both"/>
      </w:pPr>
      <w:r>
        <w:rPr>
          <w:rFonts w:ascii="Times New Roman" w:hAnsi="Times New Roman"/>
          <w:b w:val="0"/>
          <w:i w:val="0"/>
          <w:color w:val="000000"/>
          <w:sz w:val="24"/>
        </w:rPr>
        <w:t>At level 0, the user submits a URL to CyberShield. The platform exchanges requests with public web/DNS/TLS services and optional reputation providers, then stores the user-visible saved result in Firestore for authenticated users.</w:t>
      </w:r>
    </w:p>
    <w:p>
      <w:pPr>
        <w:jc w:val="center"/>
      </w:pPr>
      <w:r>
        <w:drawing>
          <wp:inline xmlns:a="http://schemas.openxmlformats.org/drawingml/2006/main" xmlns:pic="http://schemas.openxmlformats.org/drawingml/2006/picture">
            <wp:extent cx="5212080" cy="3201706"/>
            <wp:docPr id="2" name="Picture 2"/>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212080" cy="3201706"/>
                    </a:xfrm>
                    <a:prstGeom prst="rect"/>
                  </pic:spPr>
                </pic:pic>
              </a:graphicData>
            </a:graphic>
          </wp:inline>
        </w:drawing>
      </w:r>
    </w:p>
    <w:p>
      <w:pPr>
        <w:spacing w:line="360" w:lineRule="auto" w:before="60" w:after="60"/>
        <w:jc w:val="center"/>
      </w:pPr>
      <w:r>
        <w:rPr>
          <w:rFonts w:ascii="Times New Roman" w:hAnsi="Times New Roman"/>
          <w:b/>
          <w:i w:val="0"/>
          <w:color w:val="000000"/>
          <w:sz w:val="22"/>
        </w:rPr>
        <w:t>Figure 2: CyberShield Level-0 Data Flow Diagram</w:t>
      </w:r>
    </w:p>
    <w:p>
      <w:pPr>
        <w:pStyle w:val="Heading2"/>
      </w:pPr>
      <w:r>
        <w:rPr>
          <w:rFonts w:ascii="Times New Roman" w:hAnsi="Times New Roman"/>
          <w:b/>
          <w:i w:val="0"/>
          <w:color w:val="000000"/>
          <w:sz w:val="28"/>
        </w:rPr>
        <w:t>4.3 Logical Data Model</w:t>
      </w:r>
    </w:p>
    <w:p>
      <w:pPr>
        <w:spacing w:line="360" w:lineRule="auto" w:before="0" w:after="0"/>
        <w:jc w:val="both"/>
      </w:pPr>
      <w:r>
        <w:rPr>
          <w:rFonts w:ascii="Times New Roman" w:hAnsi="Times New Roman"/>
          <w:b w:val="0"/>
          <w:i w:val="0"/>
          <w:color w:val="000000"/>
          <w:sz w:val="24"/>
        </w:rPr>
        <w:t>The application maintains user-owned analyses. Each analysis retains the submitted content, verdict, risk score, timestamp, indicators, extracted features, and screenshot URL. User settings are associated with the same authenticated user scope.</w:t>
      </w:r>
    </w:p>
    <w:p>
      <w:pPr>
        <w:jc w:val="center"/>
      </w:pPr>
      <w:r>
        <w:drawing>
          <wp:inline xmlns:a="http://schemas.openxmlformats.org/drawingml/2006/main" xmlns:pic="http://schemas.openxmlformats.org/drawingml/2006/picture">
            <wp:extent cx="5212080" cy="3201706"/>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212080" cy="3201706"/>
                    </a:xfrm>
                    <a:prstGeom prst="rect"/>
                  </pic:spPr>
                </pic:pic>
              </a:graphicData>
            </a:graphic>
          </wp:inline>
        </w:drawing>
      </w:r>
    </w:p>
    <w:p>
      <w:pPr>
        <w:spacing w:line="360" w:lineRule="auto" w:before="60" w:after="60"/>
        <w:jc w:val="center"/>
      </w:pPr>
      <w:r>
        <w:rPr>
          <w:rFonts w:ascii="Times New Roman" w:hAnsi="Times New Roman"/>
          <w:b/>
          <w:i w:val="0"/>
          <w:color w:val="000000"/>
          <w:sz w:val="22"/>
        </w:rPr>
        <w:t>Figure 3: CyberShield Logical Data Model</w:t>
      </w:r>
    </w:p>
    <w:p>
      <w:pPr>
        <w:pStyle w:val="Heading2"/>
      </w:pPr>
      <w:r>
        <w:rPr>
          <w:rFonts w:ascii="Times New Roman" w:hAnsi="Times New Roman"/>
          <w:b/>
          <w:i w:val="0"/>
          <w:color w:val="000000"/>
          <w:sz w:val="28"/>
        </w:rPr>
        <w:t>4.4 Analysis Sequence</w:t>
      </w:r>
    </w:p>
    <w:p>
      <w:pPr>
        <w:pStyle w:val="ListNumber"/>
        <w:spacing w:line="360" w:lineRule="auto"/>
        <w:ind w:left="547" w:hanging="288"/>
      </w:pPr>
      <w:r>
        <w:rPr>
          <w:rFonts w:ascii="Times New Roman" w:hAnsi="Times New Roman"/>
          <w:b w:val="0"/>
          <w:i w:val="0"/>
          <w:color w:val="000000"/>
          <w:sz w:val="24"/>
        </w:rPr>
        <w:t>Normalize and validate the URL.</w:t>
      </w:r>
    </w:p>
    <w:p>
      <w:pPr>
        <w:pStyle w:val="ListNumber"/>
        <w:spacing w:line="360" w:lineRule="auto"/>
        <w:ind w:left="547" w:hanging="288"/>
      </w:pPr>
      <w:r>
        <w:rPr>
          <w:rFonts w:ascii="Times New Roman" w:hAnsi="Times New Roman"/>
          <w:b w:val="0"/>
          <w:i w:val="0"/>
          <w:color w:val="000000"/>
          <w:sz w:val="24"/>
        </w:rPr>
        <w:t>Resolve hostname and reject unsafe/non-public targets.</w:t>
      </w:r>
    </w:p>
    <w:p>
      <w:pPr>
        <w:pStyle w:val="ListNumber"/>
        <w:spacing w:line="360" w:lineRule="auto"/>
        <w:ind w:left="547" w:hanging="288"/>
      </w:pPr>
      <w:r>
        <w:rPr>
          <w:rFonts w:ascii="Times New Roman" w:hAnsi="Times New Roman"/>
          <w:b w:val="0"/>
          <w:i w:val="0"/>
          <w:color w:val="000000"/>
          <w:sz w:val="24"/>
        </w:rPr>
        <w:t>Collect infrastructure and reputation evidence.</w:t>
      </w:r>
    </w:p>
    <w:p>
      <w:pPr>
        <w:pStyle w:val="ListNumber"/>
        <w:spacing w:line="360" w:lineRule="auto"/>
        <w:ind w:left="547" w:hanging="288"/>
      </w:pPr>
      <w:r>
        <w:rPr>
          <w:rFonts w:ascii="Times New Roman" w:hAnsi="Times New Roman"/>
          <w:b w:val="0"/>
          <w:i w:val="0"/>
          <w:color w:val="000000"/>
          <w:sz w:val="24"/>
        </w:rPr>
        <w:t>Render the page in Playwright and inspect page, script, and form evidence.</w:t>
      </w:r>
    </w:p>
    <w:p>
      <w:pPr>
        <w:pStyle w:val="ListNumber"/>
        <w:spacing w:line="360" w:lineRule="auto"/>
        <w:ind w:left="547" w:hanging="288"/>
      </w:pPr>
      <w:r>
        <w:rPr>
          <w:rFonts w:ascii="Times New Roman" w:hAnsi="Times New Roman"/>
          <w:b w:val="0"/>
          <w:i w:val="0"/>
          <w:color w:val="000000"/>
          <w:sz w:val="24"/>
        </w:rPr>
        <w:t>Extract evidence-v1 features and predict risk with contributor explanations.</w:t>
      </w:r>
    </w:p>
    <w:p>
      <w:pPr>
        <w:pStyle w:val="ListNumber"/>
        <w:spacing w:line="360" w:lineRule="auto"/>
        <w:ind w:left="547" w:hanging="288"/>
      </w:pPr>
      <w:r>
        <w:rPr>
          <w:rFonts w:ascii="Times New Roman" w:hAnsi="Times New Roman"/>
          <w:b w:val="0"/>
          <w:i w:val="0"/>
          <w:color w:val="000000"/>
          <w:sz w:val="24"/>
        </w:rPr>
        <w:t>Save the complete user-visible record and render the result.</w:t>
      </w:r>
    </w:p>
    <w:p>
      <w:pPr>
        <w:pStyle w:val="Heading1"/>
      </w:pPr>
      <w:r>
        <w:rPr>
          <w:rFonts w:ascii="Times New Roman" w:hAnsi="Times New Roman"/>
          <w:b/>
          <w:i w:val="0"/>
          <w:color w:val="000000"/>
          <w:sz w:val="32"/>
        </w:rPr>
        <w:t>5. Appendices</w:t>
      </w:r>
    </w:p>
    <w:p>
      <w:pPr>
        <w:pStyle w:val="Heading2"/>
      </w:pPr>
      <w:r>
        <w:rPr>
          <w:rFonts w:ascii="Times New Roman" w:hAnsi="Times New Roman"/>
          <w:b/>
          <w:i w:val="0"/>
          <w:color w:val="000000"/>
          <w:sz w:val="28"/>
        </w:rPr>
        <w:t>Appendix A - Requirement Traceability Matrix</w:t>
      </w:r>
    </w:p>
    <w:p>
      <w:pPr>
        <w:spacing w:line="360" w:lineRule="auto" w:before="100" w:after="60"/>
        <w:jc w:val="center"/>
      </w:pPr>
      <w:r>
        <w:rPr>
          <w:rFonts w:ascii="Times New Roman" w:hAnsi="Times New Roman"/>
          <w:b/>
          <w:i w:val="0"/>
          <w:color w:val="000000"/>
          <w:sz w:val="22"/>
        </w:rPr>
        <w:t>Table 6: Requirement Traceability Matrix</w:t>
      </w:r>
    </w:p>
    <w:tbl>
      <w:tblPr>
        <w:tblStyle w:val="TableGrid"/>
        <w:tblW w:type="dxa" w:w="9000"/>
        <w:tblLayout w:type="fixed"/>
        <w:tblLook w:firstColumn="1" w:firstRow="1" w:lastColumn="0" w:lastRow="0" w:noHBand="0" w:noVBand="1" w:val="04A0"/>
      </w:tblPr>
      <w:tblGrid>
        <w:gridCol w:w="1500"/>
        <w:gridCol w:w="4200"/>
        <w:gridCol w:w="3300"/>
      </w:tblGrid>
      <w:tr>
        <w:tc>
          <w:tcPr>
            <w:tcW w:type="dxa" w:w="15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Requirement</w:t>
            </w:r>
          </w:p>
        </w:tc>
        <w:tc>
          <w:tcPr>
            <w:tcW w:type="dxa" w:w="42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Implementation evidence</w:t>
            </w:r>
          </w:p>
        </w:tc>
        <w:tc>
          <w:tcPr>
            <w:tcW w:type="dxa" w:w="33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Validation</w:t>
            </w:r>
          </w:p>
        </w:tc>
      </w:tr>
      <w:tr>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FR-02</w:t>
            </w:r>
          </w:p>
        </w:tc>
        <w:tc>
          <w:tcPr>
            <w:tcW w:type="dxa" w:w="4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URL safety gate and orchestrator</w:t>
            </w:r>
          </w:p>
        </w:tc>
        <w:tc>
          <w:tcPr>
            <w:tcW w:type="dxa" w:w="3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Submit malformed, localhost, and private targets; confirm rejection before collection.</w:t>
            </w:r>
          </w:p>
        </w:tc>
      </w:tr>
      <w:tr>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FR-03/FR-04</w:t>
            </w:r>
          </w:p>
        </w:tc>
        <w:tc>
          <w:tcPr>
            <w:tcW w:type="dxa" w:w="4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Analyzer modules and Playwright browser session</w:t>
            </w:r>
          </w:p>
        </w:tc>
        <w:tc>
          <w:tcPr>
            <w:tcW w:type="dxa" w:w="3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Analyze an admitted public target and inspect returned evidence/screenshot.</w:t>
            </w:r>
          </w:p>
        </w:tc>
      </w:tr>
      <w:tr>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FR-05/FR-06</w:t>
            </w:r>
          </w:p>
        </w:tc>
        <w:tc>
          <w:tcPr>
            <w:tcW w:type="dxa" w:w="4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Feature extractor, classifier, result.js</w:t>
            </w:r>
          </w:p>
        </w:tc>
        <w:tc>
          <w:tcPr>
            <w:tcW w:type="dxa" w:w="3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Verify probability, contributors, indicators, features, and verdict display.</w:t>
            </w:r>
          </w:p>
        </w:tc>
      </w:tr>
      <w:tr>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FR-07/FR-08</w:t>
            </w:r>
          </w:p>
        </w:tc>
        <w:tc>
          <w:tcPr>
            <w:tcW w:type="dxa" w:w="4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Firebase data layer, history.js, reports.js</w:t>
            </w:r>
          </w:p>
        </w:tc>
        <w:tc>
          <w:tcPr>
            <w:tcW w:type="dxa" w:w="3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Save a result and reopen it from History and Reports; compare detail with the fresh result.</w:t>
            </w:r>
          </w:p>
        </w:tc>
      </w:tr>
      <w:tr>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NFR-02</w:t>
            </w:r>
          </w:p>
        </w:tc>
        <w:tc>
          <w:tcPr>
            <w:tcW w:type="dxa" w:w="42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Per-analysis screenshot URL mapping</w:t>
            </w:r>
          </w:p>
        </w:tc>
        <w:tc>
          <w:tcPr>
            <w:tcW w:type="dxa" w:w="33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Confirm a saved result shows only its own screenshot or hides the panel when absent.</w:t>
            </w:r>
          </w:p>
        </w:tc>
      </w:tr>
    </w:tbl>
    <w:p>
      <w:pPr>
        <w:spacing w:line="360" w:lineRule="auto" w:before="0" w:after="40"/>
        <w:jc w:val="both"/>
      </w:pPr>
      <w:r>
        <w:rPr>
          <w:rFonts w:ascii="Times New Roman" w:hAnsi="Times New Roman"/>
          <w:b w:val="0"/>
          <w:i w:val="0"/>
          <w:color w:val="000000"/>
          <w:sz w:val="6"/>
        </w:rPr>
      </w:r>
    </w:p>
    <w:p>
      <w:pPr>
        <w:pStyle w:val="Heading2"/>
      </w:pPr>
      <w:r>
        <w:rPr>
          <w:rFonts w:ascii="Times New Roman" w:hAnsi="Times New Roman"/>
          <w:b/>
          <w:i w:val="0"/>
          <w:color w:val="000000"/>
          <w:sz w:val="28"/>
        </w:rPr>
        <w:t>Appendix B - Current Implementation Status</w:t>
      </w:r>
    </w:p>
    <w:p>
      <w:pPr>
        <w:spacing w:line="360" w:lineRule="auto" w:before="100" w:after="60"/>
        <w:jc w:val="center"/>
      </w:pPr>
      <w:r>
        <w:rPr>
          <w:rFonts w:ascii="Times New Roman" w:hAnsi="Times New Roman"/>
          <w:b/>
          <w:i w:val="0"/>
          <w:color w:val="000000"/>
          <w:sz w:val="22"/>
        </w:rPr>
        <w:t>Table 7: Current Implementation Status</w:t>
      </w:r>
    </w:p>
    <w:tbl>
      <w:tblPr>
        <w:tblStyle w:val="TableGrid"/>
        <w:tblW w:type="dxa" w:w="9000"/>
        <w:tblLayout w:type="fixed"/>
        <w:tblLook w:firstColumn="1" w:firstRow="1" w:lastColumn="0" w:lastRow="0" w:noHBand="0" w:noVBand="1" w:val="04A0"/>
      </w:tblPr>
      <w:tblGrid>
        <w:gridCol w:w="2500"/>
        <w:gridCol w:w="1500"/>
        <w:gridCol w:w="5000"/>
      </w:tblGrid>
      <w:tr>
        <w:tc>
          <w:tcPr>
            <w:tcW w:type="dxa" w:w="25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Area</w:t>
            </w:r>
          </w:p>
        </w:tc>
        <w:tc>
          <w:tcPr>
            <w:tcW w:type="dxa" w:w="15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Status</w:t>
            </w:r>
          </w:p>
        </w:tc>
        <w:tc>
          <w:tcPr>
            <w:tcW w:type="dxa" w:w="5000"/>
            <w:vAlign w:val="center"/>
            <w:tcMar>
              <w:top w:w="90" w:type="dxa"/>
              <w:start w:w="120" w:type="dxa"/>
              <w:bottom w:w="90" w:type="dxa"/>
              <w:end w:w="120" w:type="dxa"/>
            </w:tcMar>
            <w:shd w:fill="E7E6E6"/>
          </w:tcPr>
          <w:p>
            <w:pPr>
              <w:spacing w:line="240" w:lineRule="auto"/>
              <w:jc w:val="center"/>
            </w:pPr>
            <w:r>
              <w:rPr>
                <w:rFonts w:ascii="Times New Roman" w:hAnsi="Times New Roman"/>
                <w:b/>
                <w:i w:val="0"/>
                <w:color w:val="000000"/>
                <w:sz w:val="21"/>
              </w:rPr>
              <w:t>Notes</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URL analysis</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Implemented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Public URL analysis via live collector pipeline.</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Browser screenshot</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Implemented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Stored and restored as part of the matching analysis record.</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History/Reports result fidelity</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Implemented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Features and screenshot URL are passed into the Result page.</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Email/text and image analysis</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Planned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Interface placeholders exist; analysis workflow is not implemented.</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OpenPhish/URLhaus integration</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Planned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Provider placeholders are present; production integration remains future work.</w:t>
            </w:r>
          </w:p>
        </w:tc>
      </w:tr>
      <w:tr>
        <w:tc>
          <w:tcPr>
            <w:tcW w:type="dxa" w:w="2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Validated production model</w:t>
            </w:r>
          </w:p>
        </w:tc>
        <w:tc>
          <w:tcPr>
            <w:tcW w:type="dxa" w:w="15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Planned</w:t>
            </w:r>
          </w:p>
        </w:tc>
        <w:tc>
          <w:tcPr>
            <w:tcW w:type="dxa" w:w="5000"/>
            <w:vAlign w:val="center"/>
            <w:tcMar>
              <w:top w:w="90" w:type="dxa"/>
              <w:start w:w="120" w:type="dxa"/>
              <w:bottom w:w="90" w:type="dxa"/>
              <w:end w:w="120" w:type="dxa"/>
            </w:tcMar>
          </w:tcPr>
          <w:p>
            <w:pPr>
              <w:spacing w:line="240" w:lineRule="auto"/>
            </w:pPr>
            <w:r>
              <w:rPr>
                <w:rFonts w:ascii="Times New Roman" w:hAnsi="Times New Roman"/>
                <w:b w:val="0"/>
                <w:i w:val="0"/>
                <w:color w:val="000000"/>
                <w:sz w:val="20"/>
              </w:rPr>
              <w:t>Baseline/demonstration model must be replaced by a versioned validated model.</w:t>
            </w:r>
          </w:p>
        </w:tc>
      </w:tr>
    </w:tbl>
    <w:p>
      <w:pPr>
        <w:spacing w:line="360" w:lineRule="auto" w:before="0" w:after="40"/>
        <w:jc w:val="both"/>
      </w:pPr>
      <w:r>
        <w:rPr>
          <w:rFonts w:ascii="Times New Roman" w:hAnsi="Times New Roman"/>
          <w:b w:val="0"/>
          <w:i w:val="0"/>
          <w:color w:val="000000"/>
          <w:sz w:val="6"/>
        </w:rPr>
      </w:r>
    </w:p>
    <w:sectPr w:rsidR="00FC693F" w:rsidRPr="0006063C" w:rsidSect="00034616">
      <w:headerReference w:type="default" r:id="rId9"/>
      <w:footerReference w:type="default" r:id="rId10"/>
      <w:pgSz w:w="11909" w:h="16834"/>
      <w:pgMar w:top="1440" w:right="144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color w:val="000000"/>
        <w:sz w:val="20"/>
      </w:rPr>
      <w:t>CYBERSHIELD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Software Requirements Specification</dc:title>
  <dc:subject/>
  <dc:creator>CyberShield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