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Holdings Q3 Earnings Report</w:t>
      </w:r>
    </w:p>
    <w:p>
      <w:r>
        <w:t>Consolidated Statement of Operations and Comprehensive Income.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Net Sales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$145,000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$22,000</w:t>
            </w:r>
          </w:p>
        </w:tc>
        <w:tc>
          <w:tcPr>
            <w:tcW w:type="dxa" w:w="2880"/>
          </w:tcPr>
          <w:p>
            <w:r>
              <w:t>$28,500</w:t>
            </w:r>
          </w:p>
        </w:tc>
      </w:tr>
      <w:tr>
        <w:tc>
          <w:tcPr>
            <w:tcW w:type="dxa" w:w="2880"/>
          </w:tcPr>
          <w:p>
            <w:r>
              <w:t>Cash and Equivalents</w:t>
            </w:r>
          </w:p>
        </w:tc>
        <w:tc>
          <w:tcPr>
            <w:tcW w:type="dxa" w:w="2880"/>
          </w:tcPr>
          <w:p>
            <w:r>
              <w:t>$45,000</w:t>
            </w:r>
          </w:p>
        </w:tc>
        <w:tc>
          <w:tcPr>
            <w:tcW w:type="dxa" w:w="2880"/>
          </w:tcPr>
          <w:p>
            <w:r>
              <w:t>$52,000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