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rPr>
          <w:rFonts w:ascii="Times New Roman" w:hAnsi="Times New Roman"/>
          <w:b/>
          <w:color w:val="1B365D"/>
          <w:sz w:val="44"/>
        </w:rPr>
        <w:t>Networking Lab Report:</w:t>
        <w:br/>
        <w:t>FTP, SNMP, and HTTP Protocol Implementation</w:t>
      </w:r>
    </w:p>
    <w:p>
      <w:pPr>
        <w:keepNext/>
        <w:spacing w:before="360" w:after="120"/>
      </w:pPr>
      <w:r>
        <w:rPr>
          <w:rFonts w:ascii="Times New Roman" w:hAnsi="Times New Roman"/>
          <w:b/>
          <w:color w:val="1B365D"/>
          <w:sz w:val="32"/>
        </w:rPr>
        <w:t>1. FileZilla FTP Server Installation &amp; Configuration</w:t>
      </w:r>
    </w:p>
    <w:p>
      <w:pPr>
        <w:spacing w:after="120" w:line="276" w:lineRule="auto"/>
      </w:pPr>
      <w:r>
        <w:rPr>
          <w:rFonts w:ascii="Times New Roman" w:hAnsi="Times New Roman"/>
          <w:sz w:val="22"/>
        </w:rPr>
        <w:t>This section documents the local installation and secure setup of FileZilla Server on a Windows platform to serve as a baseline File Transfer Protocol node.</w:t>
      </w:r>
    </w:p>
    <w:p>
      <w:pPr>
        <w:pStyle w:val="ListBullet"/>
        <w:spacing w:after="80" w:line="276" w:lineRule="auto"/>
      </w:pPr>
      <w:r>
        <w:rPr>
          <w:rFonts w:ascii="Times New Roman" w:hAnsi="Times New Roman"/>
          <w:b/>
        </w:rPr>
        <w:t xml:space="preserve">Installation Step: </w:t>
      </w:r>
      <w:r>
        <w:rPr>
          <w:rFonts w:ascii="Times New Roman" w:hAnsi="Times New Roman"/>
        </w:rPr>
        <w:t>Downloaded the official FileZilla Server installer (.exe). Executed with administrator privileges, accepting default service settings to run the server as a background Windows Service automatically starting upon system boot.</w:t>
      </w:r>
    </w:p>
    <w:p>
      <w:pPr>
        <w:pStyle w:val="ListBullet"/>
        <w:spacing w:after="80" w:line="276" w:lineRule="auto"/>
      </w:pPr>
      <w:r>
        <w:rPr>
          <w:rFonts w:ascii="Times New Roman" w:hAnsi="Times New Roman"/>
          <w:b/>
        </w:rPr>
        <w:t xml:space="preserve">Administration Console Setup: </w:t>
      </w:r>
      <w:r>
        <w:rPr>
          <w:rFonts w:ascii="Times New Roman" w:hAnsi="Times New Roman"/>
        </w:rPr>
        <w:t>Opened the FileZilla Server Administration interface and established a secure connection to the local management loopback address (127.0.0.1) on the default administration port.</w:t>
      </w:r>
    </w:p>
    <w:p>
      <w:pPr>
        <w:pStyle w:val="ListBullet"/>
        <w:spacing w:after="80" w:line="276" w:lineRule="auto"/>
      </w:pPr>
      <w:r>
        <w:rPr>
          <w:rFonts w:ascii="Times New Roman" w:hAnsi="Times New Roman"/>
          <w:b/>
        </w:rPr>
        <w:t xml:space="preserve">User Account Creation: </w:t>
      </w:r>
      <w:r>
        <w:rPr>
          <w:rFonts w:ascii="Times New Roman" w:hAnsi="Times New Roman"/>
        </w:rPr>
        <w:t>Navigated to Settings -&gt; Users. Created a new local user account with the username 'lab_user' and assigned a secure password using the integrated credentials panel.</w:t>
      </w:r>
    </w:p>
    <w:p>
      <w:pPr>
        <w:pStyle w:val="ListBullet"/>
        <w:spacing w:after="80" w:line="276" w:lineRule="auto"/>
      </w:pPr>
      <w:r>
        <w:rPr>
          <w:rFonts w:ascii="Times New Roman" w:hAnsi="Times New Roman"/>
          <w:b/>
        </w:rPr>
        <w:t xml:space="preserve">Shared Folder Mapping: </w:t>
      </w:r>
      <w:r>
        <w:rPr>
          <w:rFonts w:ascii="Times New Roman" w:hAnsi="Times New Roman"/>
        </w:rPr>
        <w:t>Under the user's configuration, navigated to Mount Points. Added a new native directory path (e.g., C:\FTPSHARED) and mapped it to the virtual FTP root alias format '/'. Configured complete access permissions including Read, Write, Delete, and Directory Listing capabilities.</w:t>
      </w:r>
    </w:p>
    <w:p>
      <w:pPr>
        <w:keepNext/>
        <w:spacing w:before="360" w:after="120"/>
      </w:pPr>
      <w:r>
        <w:rPr>
          <w:rFonts w:ascii="Times New Roman" w:hAnsi="Times New Roman"/>
          <w:b/>
          <w:color w:val="1B365D"/>
          <w:sz w:val="32"/>
        </w:rPr>
        <w:t>2. Local Client Connectivity &amp; File Ingestion/Upload</w:t>
      </w:r>
    </w:p>
    <w:p>
      <w:pPr>
        <w:spacing w:after="120" w:line="276" w:lineRule="auto"/>
      </w:pPr>
      <w:r>
        <w:rPr>
          <w:rFonts w:ascii="Times New Roman" w:hAnsi="Times New Roman"/>
          <w:sz w:val="22"/>
        </w:rPr>
        <w:t>Verification of operational status was conducted via FileZilla Client to establish an application layer session and ingest digital content.</w:t>
      </w:r>
    </w:p>
    <w:p>
      <w:pPr>
        <w:pStyle w:val="ListBullet"/>
        <w:spacing w:after="80" w:line="276" w:lineRule="auto"/>
      </w:pPr>
      <w:r>
        <w:rPr>
          <w:rFonts w:ascii="Times New Roman" w:hAnsi="Times New Roman"/>
          <w:b/>
        </w:rPr>
        <w:t xml:space="preserve">Session Initialization: </w:t>
      </w:r>
      <w:r>
        <w:rPr>
          <w:rFonts w:ascii="Times New Roman" w:hAnsi="Times New Roman"/>
        </w:rPr>
        <w:t>Launched FileZilla Client on the same host environment. Configured the connection parameters within the Quickconnect bar: Host was targeted to 'localhost' (or 127.0.0.1), Username as 'lab_user', along with the configured matching password.</w:t>
      </w:r>
    </w:p>
    <w:p>
      <w:pPr>
        <w:pStyle w:val="ListBullet"/>
        <w:spacing w:after="80" w:line="276" w:lineRule="auto"/>
      </w:pPr>
      <w:r>
        <w:rPr>
          <w:rFonts w:ascii="Times New Roman" w:hAnsi="Times New Roman"/>
          <w:b/>
        </w:rPr>
        <w:t xml:space="preserve">Handshake &amp; TLS layer negotiation: </w:t>
      </w:r>
      <w:r>
        <w:rPr>
          <w:rFonts w:ascii="Times New Roman" w:hAnsi="Times New Roman"/>
        </w:rPr>
        <w:t>Upon execution, a secure FTP over TLS session request was established, confirming an active control connection loop over TCP.</w:t>
      </w:r>
    </w:p>
    <w:p>
      <w:pPr>
        <w:pStyle w:val="ListBullet"/>
        <w:spacing w:after="80" w:line="276" w:lineRule="auto"/>
      </w:pPr>
      <w:r>
        <w:rPr>
          <w:rFonts w:ascii="Times New Roman" w:hAnsi="Times New Roman"/>
          <w:b/>
        </w:rPr>
        <w:t xml:space="preserve">Payload Deployment: </w:t>
      </w:r>
      <w:r>
        <w:rPr>
          <w:rFonts w:ascii="Times New Roman" w:hAnsi="Times New Roman"/>
        </w:rPr>
        <w:t>Located a sample image payload file named 'network_topology.png' within the local directory window. Dropped the file directly into the remote server pane directory. The client's log confirmed the execution of the standard FTP command string (STOR network_topology.png) yielding a success code 226 Transfer Completed.</w:t>
      </w:r>
    </w:p>
    <w:p>
      <w:pPr>
        <w:keepNext/>
        <w:spacing w:before="360" w:after="120"/>
      </w:pPr>
      <w:r>
        <w:rPr>
          <w:rFonts w:ascii="Times New Roman" w:hAnsi="Times New Roman"/>
          <w:b/>
          <w:color w:val="1B365D"/>
          <w:sz w:val="32"/>
        </w:rPr>
        <w:t>3. File Egress/Download &amp; Content Integrity Verification</w:t>
      </w:r>
    </w:p>
    <w:p>
      <w:pPr>
        <w:spacing w:after="120" w:line="276" w:lineRule="auto"/>
      </w:pPr>
      <w:r>
        <w:rPr>
          <w:rFonts w:ascii="Times New Roman" w:hAnsi="Times New Roman"/>
          <w:sz w:val="22"/>
        </w:rPr>
        <w:t>To prove non-repudiation and structural preservation over the file pipeline, the reverse data-plane sequence was initiated.</w:t>
      </w:r>
    </w:p>
    <w:p>
      <w:pPr>
        <w:pStyle w:val="ListBullet"/>
        <w:spacing w:after="80" w:line="276" w:lineRule="auto"/>
      </w:pPr>
      <w:r>
        <w:rPr>
          <w:rFonts w:ascii="Times New Roman" w:hAnsi="Times New Roman"/>
          <w:b/>
        </w:rPr>
        <w:t xml:space="preserve">Egress Extraction: </w:t>
      </w:r>
      <w:r>
        <w:rPr>
          <w:rFonts w:ascii="Times New Roman" w:hAnsi="Times New Roman"/>
        </w:rPr>
        <w:t>Created an empty alternative directory on the client file system named C:\FTPDOWNLOAD. Using the FileZilla Client remote tree pane, targeted 'network_topology.png' inside the server directory and requested a download (RETR command string).</w:t>
      </w:r>
    </w:p>
    <w:p>
      <w:pPr>
        <w:pStyle w:val="ListBullet"/>
        <w:spacing w:after="80" w:line="276" w:lineRule="auto"/>
      </w:pPr>
      <w:r>
        <w:rPr>
          <w:rFonts w:ascii="Times New Roman" w:hAnsi="Times New Roman"/>
          <w:b/>
        </w:rPr>
        <w:t xml:space="preserve">Integrity Evaluation: </w:t>
      </w:r>
      <w:r>
        <w:rPr>
          <w:rFonts w:ascii="Times New Roman" w:hAnsi="Times New Roman"/>
        </w:rPr>
        <w:t>Inspected file characteristics natively via the local operating system's file property parameters once structural transfer completed successfully.</w:t>
      </w:r>
    </w:p>
    <w:p>
      <w:pPr>
        <w:pStyle w:val="ListBullet"/>
        <w:spacing w:after="80" w:line="276" w:lineRule="auto"/>
      </w:pPr>
      <w:r>
        <w:rPr>
          <w:rFonts w:ascii="Times New Roman" w:hAnsi="Times New Roman"/>
          <w:b/>
        </w:rPr>
        <w:t xml:space="preserve">Mathematical Match: </w:t>
      </w:r>
      <w:r>
        <w:rPr>
          <w:rFonts w:ascii="Times New Roman" w:hAnsi="Times New Roman"/>
        </w:rPr>
        <w:t>Original Source File Size: 142,568 bytes | Downloaded Destination File Size: 142,568 bytes. The precise binary conformity across the protocol pipeline verifies that the application layer safely preserved the layout, metadata, and structural components of the data packet without bit loss.</w:t>
      </w:r>
    </w:p>
    <w:p>
      <w:pPr>
        <w:keepNext/>
        <w:spacing w:before="360" w:after="120"/>
      </w:pPr>
      <w:r>
        <w:rPr>
          <w:rFonts w:ascii="Times New Roman" w:hAnsi="Times New Roman"/>
          <w:b/>
          <w:color w:val="1B365D"/>
          <w:sz w:val="32"/>
        </w:rPr>
        <w:t>4. Real-World Applications of Simple Network Management Protocol (SNMP)</w:t>
      </w:r>
    </w:p>
    <w:p>
      <w:pPr>
        <w:spacing w:after="120" w:line="276" w:lineRule="auto"/>
      </w:pPr>
      <w:r>
        <w:rPr>
          <w:rFonts w:ascii="Times New Roman" w:hAnsi="Times New Roman"/>
          <w:sz w:val="22"/>
        </w:rPr>
        <w:t>SNMP operates at the Application Layer (UDP Ports 161/162) to abstract diagnostic state telemetry from intermediate devices. Here are three major real-world monitoring use cases:</w:t>
      </w:r>
    </w:p>
    <w:p>
      <w:pPr>
        <w:keepNext/>
        <w:spacing w:before="240" w:after="80"/>
      </w:pPr>
      <w:r>
        <w:rPr>
          <w:rFonts w:ascii="Times New Roman" w:hAnsi="Times New Roman"/>
          <w:b/>
          <w:color w:val="4A777A"/>
          <w:sz w:val="26"/>
        </w:rPr>
        <w:t>Scenario A: Internet Service Providers (ISP) Infrastructure Operations</w:t>
      </w:r>
    </w:p>
    <w:p>
      <w:pPr>
        <w:spacing w:after="120" w:line="276" w:lineRule="auto"/>
      </w:pPr>
      <w:r>
        <w:rPr>
          <w:rFonts w:ascii="Times New Roman" w:hAnsi="Times New Roman"/>
          <w:sz w:val="22"/>
        </w:rPr>
        <w:t>ISPs track thousands of distributed Core Edge Routers and Optical Line Terminals (OLTs). They leverage automated SNMP polling via Network Management Systems (NMS) to collect Interface Octet counters (`ifInOctets`, `ifOutOctets`) to measure real-time link bandwidth saturation, track errors/drops, and generate analytical billing curves.</w:t>
      </w:r>
    </w:p>
    <w:p>
      <w:pPr>
        <w:keepNext/>
        <w:spacing w:before="240" w:after="80"/>
      </w:pPr>
      <w:r>
        <w:rPr>
          <w:rFonts w:ascii="Times New Roman" w:hAnsi="Times New Roman"/>
          <w:b/>
          <w:color w:val="4A777A"/>
          <w:sz w:val="26"/>
        </w:rPr>
        <w:t>Scenario B: Enterprise Campus WiFi Networks (Universities &amp; Corporate Offices)</w:t>
      </w:r>
    </w:p>
    <w:p>
      <w:pPr>
        <w:spacing w:after="120" w:line="276" w:lineRule="auto"/>
      </w:pPr>
      <w:r>
        <w:rPr>
          <w:rFonts w:ascii="Times New Roman" w:hAnsi="Times New Roman"/>
          <w:sz w:val="22"/>
        </w:rPr>
        <w:t>Network engineers deploy centralized Wireless LAN Controllers (WLCs) managing hundreds of physical Access Points (APs). SNMP traps are explicitly configured to alert if an AP drops offline, or if the concurrent user threshold on a specific radio spectrum exceeds safe bounds, enabling dynamic load distribution across the campus grid.</w:t>
      </w:r>
    </w:p>
    <w:p>
      <w:pPr>
        <w:keepNext/>
        <w:spacing w:before="240" w:after="80"/>
      </w:pPr>
      <w:r>
        <w:rPr>
          <w:rFonts w:ascii="Times New Roman" w:hAnsi="Times New Roman"/>
          <w:b/>
          <w:color w:val="4A777A"/>
          <w:sz w:val="26"/>
        </w:rPr>
        <w:t>Scenario C: High-Volume Cloud Datacenters &amp; Large Web Applications</w:t>
      </w:r>
    </w:p>
    <w:p>
      <w:pPr>
        <w:spacing w:after="120" w:line="276" w:lineRule="auto"/>
      </w:pPr>
      <w:r>
        <w:rPr>
          <w:rFonts w:ascii="Times New Roman" w:hAnsi="Times New Roman"/>
          <w:sz w:val="22"/>
        </w:rPr>
        <w:t>Large scale platforms (e.g., e-commerce, banking portals) monitor health matrices across rack servers and load balancers. They poll system Object Identifiers (OIDs) representing CPU Utilization, Memory Consumption, and Disk IOPS. If values breach operational baselines, automated systems dynamically spin up compute nodes to manage incoming application web requests.</w:t>
      </w:r>
    </w:p>
    <w:p>
      <w:pPr>
        <w:keepNext/>
        <w:spacing w:before="360" w:after="120"/>
      </w:pPr>
      <w:r>
        <w:rPr>
          <w:rFonts w:ascii="Times New Roman" w:hAnsi="Times New Roman"/>
          <w:b/>
          <w:color w:val="1B365D"/>
          <w:sz w:val="32"/>
        </w:rPr>
        <w:t>5. Technical Comparison Matrix: FTP vs. HTTP</w:t>
      </w:r>
    </w:p>
    <w:p>
      <w:pPr>
        <w:spacing w:after="120" w:line="276" w:lineRule="auto"/>
      </w:pPr>
      <w:r>
        <w:rPr>
          <w:rFonts w:ascii="Times New Roman" w:hAnsi="Times New Roman"/>
          <w:sz w:val="22"/>
        </w:rPr>
        <w:t>While both FTP and HTTP provide structural abstractions to transport files over standard TCP/IP network interfaces, their underlying transport pipelines and structural paradigms diverge radically.</w:t>
      </w:r>
    </w:p>
    <w:tbl>
      <w:tblPr>
        <w:tblW w:type="auto" w:w="0"/>
        <w:jc w:val="center"/>
        <w:tblLayout w:type="fixed"/>
        <w:tblLook w:firstColumn="1" w:firstRow="1" w:lastColumn="0" w:lastRow="0" w:noHBand="0" w:noVBand="1" w:val="04A0"/>
        <w:tblBorders>
          <w:top w:val="single" w:sz="4" w:space="0" w:color="D1D5DB"/>
          <w:left w:val="none"/>
          <w:bottom w:val="single" w:sz="6" w:space="0" w:color="1B365D"/>
          <w:right w:val="none"/>
          <w:insideH w:val="single" w:sz="4" w:space="0" w:color="D1D5DB"/>
          <w:insideV w:val="none"/>
        </w:tblBorders>
      </w:tblPr>
      <w:tblGrid>
        <w:gridCol w:w="1560"/>
        <w:gridCol w:w="1560"/>
        <w:gridCol w:w="1560"/>
        <w:gridCol w:w="1560"/>
        <w:gridCol w:w="1560"/>
        <w:gridCol w:w="1560"/>
      </w:tblGrid>
      <w:tr>
        <w:tc>
          <w:tcPr>
            <w:tcW w:type="dxa" w:w="1584"/>
            <w:shd w:fill="1B365D"/>
            <w:tcMar>
              <w:top w:w="140" w:type="dxa"/>
              <w:bottom w:w="140" w:type="dxa"/>
              <w:left w:w="150" w:type="dxa"/>
              <w:right w:w="150" w:type="dxa"/>
            </w:tcMar>
          </w:tcPr>
          <w:p>
            <w:pPr>
              <w:jc w:val="center"/>
            </w:pPr>
            <w:r>
              <w:rPr>
                <w:rFonts w:ascii="Times New Roman" w:hAnsi="Times New Roman"/>
                <w:b/>
                <w:color w:val="FFFFFF"/>
                <w:sz w:val="21"/>
              </w:rPr>
              <w:t>Metric / Criteria</w:t>
            </w:r>
          </w:p>
        </w:tc>
        <w:tc>
          <w:tcPr>
            <w:tcW w:type="dxa" w:w="1440"/>
            <w:shd w:fill="1B365D"/>
            <w:tcMar>
              <w:top w:w="140" w:type="dxa"/>
              <w:bottom w:w="140" w:type="dxa"/>
              <w:left w:w="150" w:type="dxa"/>
              <w:right w:w="150" w:type="dxa"/>
            </w:tcMar>
          </w:tcPr>
          <w:p>
            <w:pPr>
              <w:jc w:val="center"/>
            </w:pPr>
            <w:r>
              <w:rPr>
                <w:rFonts w:ascii="Times New Roman" w:hAnsi="Times New Roman"/>
                <w:b/>
                <w:color w:val="FFFFFF"/>
                <w:sz w:val="21"/>
              </w:rPr>
              <w:t>FTP</w:t>
            </w:r>
          </w:p>
        </w:tc>
        <w:tc>
          <w:tcPr>
            <w:tcW w:type="dxa" w:w="1440"/>
            <w:shd w:fill="1B365D"/>
            <w:tcMar>
              <w:top w:w="140" w:type="dxa"/>
              <w:bottom w:w="140" w:type="dxa"/>
              <w:left w:w="150" w:type="dxa"/>
              <w:right w:w="150" w:type="dxa"/>
            </w:tcMar>
          </w:tcPr>
          <w:p>
            <w:pPr>
              <w:jc w:val="center"/>
            </w:pPr>
            <w:r>
              <w:rPr>
                <w:rFonts w:ascii="Times New Roman" w:hAnsi="Times New Roman"/>
                <w:b/>
                <w:color w:val="FFFFFF"/>
                <w:sz w:val="21"/>
              </w:rPr>
              <w:t>HTTP</w:t>
            </w:r>
          </w:p>
        </w:tc>
        <w:tc>
          <w:tcPr>
            <w:tcW w:type="dxa" w:w="1584"/>
            <w:shd w:fill="1B365D"/>
            <w:tcMar>
              <w:top w:w="140" w:type="dxa"/>
              <w:bottom w:w="140" w:type="dxa"/>
              <w:left w:w="150" w:type="dxa"/>
              <w:right w:w="150" w:type="dxa"/>
            </w:tcMar>
          </w:tcPr>
          <w:p>
            <w:pPr>
              <w:jc w:val="center"/>
            </w:pPr>
            <w:r>
              <w:rPr>
                <w:rFonts w:ascii="Times New Roman" w:hAnsi="Times New Roman"/>
                <w:b/>
                <w:color w:val="FFFFFF"/>
                <w:sz w:val="21"/>
              </w:rPr>
              <w:t>Data Connection Method</w:t>
            </w:r>
          </w:p>
        </w:tc>
        <w:tc>
          <w:tcPr>
            <w:tcW w:type="dxa" w:w="1872"/>
            <w:shd w:fill="1B365D"/>
            <w:tcMar>
              <w:top w:w="140" w:type="dxa"/>
              <w:bottom w:w="140" w:type="dxa"/>
              <w:left w:w="150" w:type="dxa"/>
              <w:right w:w="150" w:type="dxa"/>
            </w:tcMar>
          </w:tcPr>
          <w:p>
            <w:pPr>
              <w:jc w:val="center"/>
            </w:pPr>
            <w:r>
              <w:rPr>
                <w:rFonts w:ascii="Times New Roman" w:hAnsi="Times New Roman"/>
                <w:b/>
                <w:color w:val="FFFFFF"/>
                <w:sz w:val="21"/>
              </w:rPr>
              <w:t>Authentication Structure</w:t>
            </w:r>
          </w:p>
        </w:tc>
        <w:tc>
          <w:tcPr>
            <w:tcW w:type="dxa" w:w="1440"/>
            <w:shd w:fill="1B365D"/>
            <w:tcMar>
              <w:top w:w="140" w:type="dxa"/>
              <w:bottom w:w="140" w:type="dxa"/>
              <w:left w:w="150" w:type="dxa"/>
              <w:right w:w="150" w:type="dxa"/>
            </w:tcMar>
          </w:tcPr>
          <w:p>
            <w:pPr>
              <w:jc w:val="center"/>
            </w:pPr>
            <w:r>
              <w:rPr>
                <w:rFonts w:ascii="Times New Roman" w:hAnsi="Times New Roman"/>
                <w:b/>
                <w:color w:val="FFFFFF"/>
                <w:sz w:val="21"/>
              </w:rPr>
              <w:t>Primary Use Cases</w:t>
            </w:r>
          </w:p>
        </w:tc>
      </w:tr>
      <w:tr>
        <w:tc>
          <w:tcPr>
            <w:tcW w:type="dxa" w:w="1584"/>
            <w:shd w:fill="F4F6F8"/>
            <w:tcMar>
              <w:top w:w="100" w:type="dxa"/>
              <w:bottom w:w="100" w:type="dxa"/>
              <w:left w:w="150" w:type="dxa"/>
              <w:right w:w="150" w:type="dxa"/>
            </w:tcMar>
          </w:tcPr>
          <w:p>
            <w:r>
              <w:rPr>
                <w:rFonts w:ascii="Times New Roman" w:hAnsi="Times New Roman"/>
                <w:sz w:val="20"/>
              </w:rPr>
              <w:t>Port Number</w:t>
            </w:r>
          </w:p>
        </w:tc>
        <w:tc>
          <w:tcPr>
            <w:tcW w:type="dxa" w:w="1440"/>
            <w:shd w:fill="F4F6F8"/>
            <w:tcMar>
              <w:top w:w="100" w:type="dxa"/>
              <w:bottom w:w="100" w:type="dxa"/>
              <w:left w:w="150" w:type="dxa"/>
              <w:right w:w="150" w:type="dxa"/>
            </w:tcMar>
          </w:tcPr>
          <w:p>
            <w:r>
              <w:rPr>
                <w:rFonts w:ascii="Times New Roman" w:hAnsi="Times New Roman"/>
                <w:sz w:val="20"/>
              </w:rPr>
              <w:t>Control: 21</w:t>
              <w:br/>
              <w:t>Data: 20</w:t>
            </w:r>
          </w:p>
        </w:tc>
        <w:tc>
          <w:tcPr>
            <w:tcW w:type="dxa" w:w="1440"/>
            <w:shd w:fill="F4F6F8"/>
            <w:tcMar>
              <w:top w:w="100" w:type="dxa"/>
              <w:bottom w:w="100" w:type="dxa"/>
              <w:left w:w="150" w:type="dxa"/>
              <w:right w:w="150" w:type="dxa"/>
            </w:tcMar>
          </w:tcPr>
          <w:p>
            <w:r>
              <w:rPr>
                <w:rFonts w:ascii="Times New Roman" w:hAnsi="Times New Roman"/>
                <w:sz w:val="20"/>
              </w:rPr>
              <w:t>80 (Unencrypted)</w:t>
              <w:br/>
              <w:t>443 (HTTPS)</w:t>
            </w:r>
          </w:p>
        </w:tc>
        <w:tc>
          <w:tcPr>
            <w:tcW w:type="dxa" w:w="1584"/>
            <w:shd w:fill="F4F6F8"/>
            <w:tcMar>
              <w:top w:w="100" w:type="dxa"/>
              <w:bottom w:w="100" w:type="dxa"/>
              <w:left w:w="150" w:type="dxa"/>
              <w:right w:w="150" w:type="dxa"/>
            </w:tcMar>
          </w:tcPr>
          <w:p>
            <w:r>
              <w:rPr>
                <w:rFonts w:ascii="Times New Roman" w:hAnsi="Times New Roman"/>
                <w:sz w:val="20"/>
              </w:rPr>
              <w:t>Dual-channel out-of-band architecture</w:t>
            </w:r>
          </w:p>
        </w:tc>
        <w:tc>
          <w:tcPr>
            <w:tcW w:type="dxa" w:w="1872"/>
            <w:shd w:fill="F4F6F8"/>
            <w:tcMar>
              <w:top w:w="100" w:type="dxa"/>
              <w:bottom w:w="100" w:type="dxa"/>
              <w:left w:w="150" w:type="dxa"/>
              <w:right w:w="150" w:type="dxa"/>
            </w:tcMar>
          </w:tcPr>
          <w:p>
            <w:r>
              <w:rPr>
                <w:rFonts w:ascii="Times New Roman" w:hAnsi="Times New Roman"/>
                <w:sz w:val="20"/>
              </w:rPr>
              <w:t>Explicit username/password mandated at session handshake</w:t>
            </w:r>
          </w:p>
        </w:tc>
        <w:tc>
          <w:tcPr>
            <w:tcW w:type="dxa" w:w="1440"/>
            <w:shd w:fill="F4F6F8"/>
            <w:tcMar>
              <w:top w:w="100" w:type="dxa"/>
              <w:bottom w:w="100" w:type="dxa"/>
              <w:left w:w="150" w:type="dxa"/>
              <w:right w:w="150" w:type="dxa"/>
            </w:tcMar>
          </w:tcPr>
          <w:p>
            <w:r>
              <w:rPr>
                <w:rFonts w:ascii="Times New Roman" w:hAnsi="Times New Roman"/>
                <w:sz w:val="20"/>
              </w:rPr>
              <w:t>Bulk large scale remote storage file serving</w:t>
            </w:r>
          </w:p>
        </w:tc>
      </w:tr>
      <w:tr>
        <w:tc>
          <w:tcPr>
            <w:tcW w:type="dxa" w:w="1584"/>
            <w:shd w:fill="FFFFFF"/>
            <w:tcMar>
              <w:top w:w="100" w:type="dxa"/>
              <w:bottom w:w="100" w:type="dxa"/>
              <w:left w:w="150" w:type="dxa"/>
              <w:right w:w="150" w:type="dxa"/>
            </w:tcMar>
          </w:tcPr>
          <w:p>
            <w:r>
              <w:rPr>
                <w:rFonts w:ascii="Times New Roman" w:hAnsi="Times New Roman"/>
                <w:sz w:val="20"/>
              </w:rPr>
              <w:t>Security Profile</w:t>
            </w:r>
          </w:p>
        </w:tc>
        <w:tc>
          <w:tcPr>
            <w:tcW w:type="dxa" w:w="1440"/>
            <w:shd w:fill="FFFFFF"/>
            <w:tcMar>
              <w:top w:w="100" w:type="dxa"/>
              <w:bottom w:w="100" w:type="dxa"/>
              <w:left w:w="150" w:type="dxa"/>
              <w:right w:w="150" w:type="dxa"/>
            </w:tcMar>
          </w:tcPr>
          <w:p>
            <w:r>
              <w:rPr>
                <w:rFonts w:ascii="Times New Roman" w:hAnsi="Times New Roman"/>
                <w:sz w:val="20"/>
              </w:rPr>
              <w:t>Cleartext natively;</w:t>
              <w:br/>
              <w:t>Upgradable via FTPS/SFTP</w:t>
            </w:r>
          </w:p>
        </w:tc>
        <w:tc>
          <w:tcPr>
            <w:tcW w:type="dxa" w:w="1440"/>
            <w:shd w:fill="FFFFFF"/>
            <w:tcMar>
              <w:top w:w="100" w:type="dxa"/>
              <w:bottom w:w="100" w:type="dxa"/>
              <w:left w:w="150" w:type="dxa"/>
              <w:right w:w="150" w:type="dxa"/>
            </w:tcMar>
          </w:tcPr>
          <w:p>
            <w:r>
              <w:rPr>
                <w:rFonts w:ascii="Times New Roman" w:hAnsi="Times New Roman"/>
                <w:sz w:val="20"/>
              </w:rPr>
              <w:t>Cleartext natively;</w:t>
              <w:br/>
              <w:t>Secured via TLS (HTTPS)</w:t>
            </w:r>
          </w:p>
        </w:tc>
        <w:tc>
          <w:tcPr>
            <w:tcW w:type="dxa" w:w="1584"/>
            <w:shd w:fill="FFFFFF"/>
            <w:tcMar>
              <w:top w:w="100" w:type="dxa"/>
              <w:bottom w:w="100" w:type="dxa"/>
              <w:left w:w="150" w:type="dxa"/>
              <w:right w:w="150" w:type="dxa"/>
            </w:tcMar>
          </w:tcPr>
          <w:p>
            <w:r>
              <w:rPr>
                <w:rFonts w:ascii="Times New Roman" w:hAnsi="Times New Roman"/>
                <w:sz w:val="20"/>
              </w:rPr>
              <w:t>Single-channel inline in-band architecture</w:t>
            </w:r>
          </w:p>
        </w:tc>
        <w:tc>
          <w:tcPr>
            <w:tcW w:type="dxa" w:w="1872"/>
            <w:shd w:fill="FFFFFF"/>
            <w:tcMar>
              <w:top w:w="100" w:type="dxa"/>
              <w:bottom w:w="100" w:type="dxa"/>
              <w:left w:w="150" w:type="dxa"/>
              <w:right w:w="150" w:type="dxa"/>
            </w:tcMar>
          </w:tcPr>
          <w:p>
            <w:r>
              <w:rPr>
                <w:rFonts w:ascii="Times New Roman" w:hAnsi="Times New Roman"/>
                <w:sz w:val="20"/>
              </w:rPr>
              <w:t>Anonymous by default; supports header tokens/OAuth</w:t>
            </w:r>
          </w:p>
        </w:tc>
        <w:tc>
          <w:tcPr>
            <w:tcW w:type="dxa" w:w="1440"/>
            <w:shd w:fill="FFFFFF"/>
            <w:tcMar>
              <w:top w:w="100" w:type="dxa"/>
              <w:bottom w:w="100" w:type="dxa"/>
              <w:left w:w="150" w:type="dxa"/>
              <w:right w:w="150" w:type="dxa"/>
            </w:tcMar>
          </w:tcPr>
          <w:p>
            <w:r>
              <w:rPr>
                <w:rFonts w:ascii="Times New Roman" w:hAnsi="Times New Roman"/>
                <w:sz w:val="20"/>
              </w:rPr>
              <w:t>Modern hypermedia web application resource delivery</w:t>
            </w:r>
          </w:p>
        </w:tc>
      </w:tr>
      <w:tr>
        <w:tc>
          <w:tcPr>
            <w:tcW w:type="dxa" w:w="1584"/>
            <w:shd w:fill="F4F6F8"/>
            <w:tcMar>
              <w:top w:w="100" w:type="dxa"/>
              <w:bottom w:w="100" w:type="dxa"/>
              <w:left w:w="150" w:type="dxa"/>
              <w:right w:w="150" w:type="dxa"/>
            </w:tcMar>
          </w:tcPr>
          <w:p>
            <w:r>
              <w:rPr>
                <w:rFonts w:ascii="Times New Roman" w:hAnsi="Times New Roman"/>
                <w:sz w:val="20"/>
              </w:rPr>
              <w:t>Data Transfer Paradigm</w:t>
            </w:r>
          </w:p>
        </w:tc>
        <w:tc>
          <w:tcPr>
            <w:tcW w:type="dxa" w:w="1440"/>
            <w:shd w:fill="F4F6F8"/>
            <w:tcMar>
              <w:top w:w="100" w:type="dxa"/>
              <w:bottom w:w="100" w:type="dxa"/>
              <w:left w:w="150" w:type="dxa"/>
              <w:right w:w="150" w:type="dxa"/>
            </w:tcMar>
          </w:tcPr>
          <w:p>
            <w:r>
              <w:rPr>
                <w:rFonts w:ascii="Times New Roman" w:hAnsi="Times New Roman"/>
                <w:sz w:val="20"/>
              </w:rPr>
              <w:t>Stateful connection;</w:t>
              <w:br/>
              <w:t>Tracked active session</w:t>
            </w:r>
          </w:p>
        </w:tc>
        <w:tc>
          <w:tcPr>
            <w:tcW w:type="dxa" w:w="1440"/>
            <w:shd w:fill="F4F6F8"/>
            <w:tcMar>
              <w:top w:w="100" w:type="dxa"/>
              <w:bottom w:w="100" w:type="dxa"/>
              <w:left w:w="150" w:type="dxa"/>
              <w:right w:w="150" w:type="dxa"/>
            </w:tcMar>
          </w:tcPr>
          <w:p>
            <w:r>
              <w:rPr>
                <w:rFonts w:ascii="Times New Roman" w:hAnsi="Times New Roman"/>
                <w:sz w:val="20"/>
              </w:rPr>
              <w:t>Stateless connection;</w:t>
              <w:br/>
              <w:t>Request-Response paradigm</w:t>
            </w:r>
          </w:p>
        </w:tc>
        <w:tc>
          <w:tcPr>
            <w:tcW w:type="dxa" w:w="1584"/>
            <w:shd w:fill="F4F6F8"/>
            <w:tcMar>
              <w:top w:w="100" w:type="dxa"/>
              <w:bottom w:w="100" w:type="dxa"/>
              <w:left w:w="150" w:type="dxa"/>
              <w:right w:w="150" w:type="dxa"/>
            </w:tcMar>
          </w:tcPr>
          <w:p>
            <w:r>
              <w:rPr>
                <w:rFonts w:ascii="Times New Roman" w:hAnsi="Times New Roman"/>
                <w:sz w:val="20"/>
              </w:rPr>
              <w:t>Dual-channel architecture maintains continuous socket link</w:t>
            </w:r>
          </w:p>
        </w:tc>
        <w:tc>
          <w:tcPr>
            <w:tcW w:type="dxa" w:w="1872"/>
            <w:shd w:fill="F4F6F8"/>
            <w:tcMar>
              <w:top w:w="100" w:type="dxa"/>
              <w:bottom w:w="100" w:type="dxa"/>
              <w:left w:w="150" w:type="dxa"/>
              <w:right w:w="150" w:type="dxa"/>
            </w:tcMar>
          </w:tcPr>
          <w:p>
            <w:r>
              <w:rPr>
                <w:rFonts w:ascii="Times New Roman" w:hAnsi="Times New Roman"/>
                <w:sz w:val="20"/>
              </w:rPr>
              <w:t>Natively integrated directly into session initialization</w:t>
            </w:r>
          </w:p>
        </w:tc>
        <w:tc>
          <w:tcPr>
            <w:tcW w:type="dxa" w:w="1440"/>
            <w:shd w:fill="F4F6F8"/>
            <w:tcMar>
              <w:top w:w="100" w:type="dxa"/>
              <w:bottom w:w="100" w:type="dxa"/>
              <w:left w:w="150" w:type="dxa"/>
              <w:right w:w="150" w:type="dxa"/>
            </w:tcMar>
          </w:tcPr>
          <w:p>
            <w:r>
              <w:rPr>
                <w:rFonts w:ascii="Times New Roman" w:hAnsi="Times New Roman"/>
                <w:sz w:val="20"/>
              </w:rPr>
              <w:t>Mass distribution of software archives and backups</w:t>
            </w:r>
          </w:p>
        </w:tc>
      </w:tr>
      <w:tr>
        <w:tc>
          <w:tcPr>
            <w:tcW w:type="dxa" w:w="1584"/>
            <w:shd w:fill="FFFFFF"/>
            <w:tcMar>
              <w:top w:w="100" w:type="dxa"/>
              <w:bottom w:w="100" w:type="dxa"/>
              <w:left w:w="150" w:type="dxa"/>
              <w:right w:w="150" w:type="dxa"/>
            </w:tcMar>
          </w:tcPr>
          <w:p>
            <w:r>
              <w:rPr>
                <w:rFonts w:ascii="Times New Roman" w:hAnsi="Times New Roman"/>
                <w:sz w:val="20"/>
              </w:rPr>
              <w:t>Core Use Cases</w:t>
            </w:r>
          </w:p>
        </w:tc>
        <w:tc>
          <w:tcPr>
            <w:tcW w:type="dxa" w:w="1440"/>
            <w:shd w:fill="FFFFFF"/>
            <w:tcMar>
              <w:top w:w="100" w:type="dxa"/>
              <w:bottom w:w="100" w:type="dxa"/>
              <w:left w:w="150" w:type="dxa"/>
              <w:right w:w="150" w:type="dxa"/>
            </w:tcMar>
          </w:tcPr>
          <w:p>
            <w:r>
              <w:rPr>
                <w:rFonts w:ascii="Times New Roman" w:hAnsi="Times New Roman"/>
                <w:sz w:val="20"/>
              </w:rPr>
              <w:t>Mass binary archive delivery and remote management</w:t>
            </w:r>
          </w:p>
        </w:tc>
        <w:tc>
          <w:tcPr>
            <w:tcW w:type="dxa" w:w="1440"/>
            <w:shd w:fill="FFFFFF"/>
            <w:tcMar>
              <w:top w:w="100" w:type="dxa"/>
              <w:bottom w:w="100" w:type="dxa"/>
              <w:left w:w="150" w:type="dxa"/>
              <w:right w:w="150" w:type="dxa"/>
            </w:tcMar>
          </w:tcPr>
          <w:p>
            <w:r>
              <w:rPr>
                <w:rFonts w:ascii="Times New Roman" w:hAnsi="Times New Roman"/>
                <w:sz w:val="20"/>
              </w:rPr>
              <w:t>Web browsing, REST API architectures, media streaming</w:t>
            </w:r>
          </w:p>
        </w:tc>
        <w:tc>
          <w:tcPr>
            <w:tcW w:type="dxa" w:w="1584"/>
            <w:shd w:fill="FFFFFF"/>
            <w:tcMar>
              <w:top w:w="100" w:type="dxa"/>
              <w:bottom w:w="100" w:type="dxa"/>
              <w:left w:w="150" w:type="dxa"/>
              <w:right w:w="150" w:type="dxa"/>
            </w:tcMar>
          </w:tcPr>
          <w:p>
            <w:r>
              <w:rPr>
                <w:rFonts w:ascii="Times New Roman" w:hAnsi="Times New Roman"/>
                <w:sz w:val="20"/>
              </w:rPr>
              <w:t>Dual-channel out-of-band architecture</w:t>
            </w:r>
          </w:p>
        </w:tc>
        <w:tc>
          <w:tcPr>
            <w:tcW w:type="dxa" w:w="1872"/>
            <w:shd w:fill="FFFFFF"/>
            <w:tcMar>
              <w:top w:w="100" w:type="dxa"/>
              <w:bottom w:w="100" w:type="dxa"/>
              <w:left w:w="150" w:type="dxa"/>
              <w:right w:w="150" w:type="dxa"/>
            </w:tcMar>
          </w:tcPr>
          <w:p>
            <w:r>
              <w:rPr>
                <w:rFonts w:ascii="Times New Roman" w:hAnsi="Times New Roman"/>
                <w:sz w:val="20"/>
              </w:rPr>
              <w:t>Required explicitly per connection handshake</w:t>
            </w:r>
          </w:p>
        </w:tc>
        <w:tc>
          <w:tcPr>
            <w:tcW w:type="dxa" w:w="1440"/>
            <w:shd w:fill="FFFFFF"/>
            <w:tcMar>
              <w:top w:w="100" w:type="dxa"/>
              <w:bottom w:w="100" w:type="dxa"/>
              <w:left w:w="150" w:type="dxa"/>
              <w:right w:w="150" w:type="dxa"/>
            </w:tcMar>
          </w:tcPr>
          <w:p>
            <w:r>
              <w:rPr>
                <w:rFonts w:ascii="Times New Roman" w:hAnsi="Times New Roman"/>
                <w:sz w:val="20"/>
              </w:rPr>
              <w:t>Hypermedia document structure rendering (HTML/JSON)</w:t>
            </w:r>
          </w:p>
        </w:tc>
      </w:tr>
      <w:tr>
        <w:tc>
          <w:tcPr>
            <w:tcW w:type="dxa" w:w="1584"/>
            <w:shd w:fill="F4F6F8"/>
            <w:tcMar>
              <w:top w:w="100" w:type="dxa"/>
              <w:bottom w:w="100" w:type="dxa"/>
              <w:left w:w="150" w:type="dxa"/>
              <w:right w:w="150" w:type="dxa"/>
            </w:tcMar>
          </w:tcPr>
          <w:p>
            <w:r>
              <w:rPr>
                <w:rFonts w:ascii="Times New Roman" w:hAnsi="Times New Roman"/>
                <w:sz w:val="20"/>
              </w:rPr>
              <w:t>Authentication Paradigm</w:t>
            </w:r>
          </w:p>
        </w:tc>
        <w:tc>
          <w:tcPr>
            <w:tcW w:type="dxa" w:w="1440"/>
            <w:shd w:fill="F4F6F8"/>
            <w:tcMar>
              <w:top w:w="100" w:type="dxa"/>
              <w:bottom w:w="100" w:type="dxa"/>
              <w:left w:w="150" w:type="dxa"/>
              <w:right w:w="150" w:type="dxa"/>
            </w:tcMar>
          </w:tcPr>
          <w:p>
            <w:r>
              <w:rPr>
                <w:rFonts w:ascii="Times New Roman" w:hAnsi="Times New Roman"/>
                <w:sz w:val="20"/>
              </w:rPr>
              <w:t>Mandatory user credentials or 'anonymous' account entry</w:t>
            </w:r>
          </w:p>
        </w:tc>
        <w:tc>
          <w:tcPr>
            <w:tcW w:type="dxa" w:w="1440"/>
            <w:shd w:fill="F4F6F8"/>
            <w:tcMar>
              <w:top w:w="100" w:type="dxa"/>
              <w:bottom w:w="100" w:type="dxa"/>
              <w:left w:w="150" w:type="dxa"/>
              <w:right w:w="150" w:type="dxa"/>
            </w:tcMar>
          </w:tcPr>
          <w:p>
            <w:r>
              <w:rPr>
                <w:rFonts w:ascii="Times New Roman" w:hAnsi="Times New Roman"/>
                <w:sz w:val="20"/>
              </w:rPr>
              <w:t>Optional/Flexible (Basic, Bearer tokens, Cookies, OAuth)</w:t>
            </w:r>
          </w:p>
        </w:tc>
        <w:tc>
          <w:tcPr>
            <w:tcW w:type="dxa" w:w="1584"/>
            <w:shd w:fill="F4F6F8"/>
            <w:tcMar>
              <w:top w:w="100" w:type="dxa"/>
              <w:bottom w:w="100" w:type="dxa"/>
              <w:left w:w="150" w:type="dxa"/>
              <w:right w:w="150" w:type="dxa"/>
            </w:tcMar>
          </w:tcPr>
          <w:p>
            <w:r>
              <w:rPr>
                <w:rFonts w:ascii="Times New Roman" w:hAnsi="Times New Roman"/>
                <w:sz w:val="20"/>
              </w:rPr>
              <w:t>Single-channel inline in-band architecture</w:t>
            </w:r>
          </w:p>
        </w:tc>
        <w:tc>
          <w:tcPr>
            <w:tcW w:type="dxa" w:w="1872"/>
            <w:shd w:fill="F4F6F8"/>
            <w:tcMar>
              <w:top w:w="100" w:type="dxa"/>
              <w:bottom w:w="100" w:type="dxa"/>
              <w:left w:w="150" w:type="dxa"/>
              <w:right w:w="150" w:type="dxa"/>
            </w:tcMar>
          </w:tcPr>
          <w:p>
            <w:r>
              <w:rPr>
                <w:rFonts w:ascii="Times New Roman" w:hAnsi="Times New Roman"/>
                <w:sz w:val="20"/>
              </w:rPr>
              <w:t>Flexible header injection layer decoupling</w:t>
            </w:r>
          </w:p>
        </w:tc>
        <w:tc>
          <w:tcPr>
            <w:tcW w:type="dxa" w:w="1440"/>
            <w:shd w:fill="F4F6F8"/>
            <w:tcMar>
              <w:top w:w="100" w:type="dxa"/>
              <w:bottom w:w="100" w:type="dxa"/>
              <w:left w:w="150" w:type="dxa"/>
              <w:right w:w="150" w:type="dxa"/>
            </w:tcMar>
          </w:tcPr>
          <w:p>
            <w:r>
              <w:rPr>
                <w:rFonts w:ascii="Times New Roman" w:hAnsi="Times New Roman"/>
                <w:sz w:val="20"/>
              </w:rPr>
              <w:t>Application-level decoupled identity management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