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3F1B" w:rsidRDefault="005C7F31">
      <w:pPr>
        <w:spacing w:after="40"/>
        <w:jc w:val="center"/>
      </w:pPr>
      <w:r>
        <w:rPr>
          <w:b/>
          <w:color w:val="1B365D"/>
          <w:sz w:val="40"/>
        </w:rPr>
        <w:t>Wide Area Networks (WAN) &amp; Data Routing Assessment</w:t>
      </w:r>
    </w:p>
    <w:p w:rsidR="00843F1B" w:rsidRDefault="005C7F31">
      <w:pPr>
        <w:keepNext/>
        <w:spacing w:before="360" w:after="120"/>
      </w:pPr>
      <w:r>
        <w:rPr>
          <w:b/>
          <w:color w:val="1B365D"/>
          <w:sz w:val="32"/>
        </w:rPr>
        <w:t>1. Client to Instagram Server Connection Architecture</w:t>
      </w:r>
    </w:p>
    <w:p w:rsidR="00843F1B" w:rsidRDefault="005C7F31">
      <w:pPr>
        <w:spacing w:after="120"/>
      </w:pPr>
      <w:r>
        <w:t>The diagram below maps the multi-hop transmission path required to</w:t>
      </w:r>
      <w:r>
        <w:t xml:space="preserve"> route packet requests originating from a standard smart mobile device over a local home Wi-Fi station to Instagram's distributed Core Data Infrastructure across the Wide Area Network (WAN).</w:t>
      </w:r>
    </w:p>
    <w:p w:rsidR="00843F1B" w:rsidRDefault="005C7F31">
      <w:pPr>
        <w:pBdr>
          <w:left w:val="single" w:sz="18" w:space="8" w:color="A0B2C6"/>
        </w:pBdr>
        <w:shd w:val="clear" w:color="auto" w:fill="F5F7FA"/>
        <w:spacing w:before="80" w:after="80"/>
        <w:ind w:left="360"/>
      </w:pPr>
      <w:r>
        <w:rPr>
          <w:color w:val="222222"/>
          <w:sz w:val="20"/>
        </w:rPr>
        <w:br/>
        <w:t>+-------------------------+</w:t>
      </w:r>
      <w:r>
        <w:rPr>
          <w:color w:val="222222"/>
          <w:sz w:val="20"/>
        </w:rPr>
        <w:br/>
        <w:t>|  User Smart Phone       | (Local C</w:t>
      </w:r>
      <w:r>
        <w:rPr>
          <w:color w:val="222222"/>
          <w:sz w:val="20"/>
        </w:rPr>
        <w:t>lient IP: e.g., 192.168.1.5)</w:t>
      </w:r>
      <w:r>
        <w:rPr>
          <w:color w:val="222222"/>
          <w:sz w:val="20"/>
        </w:rPr>
        <w:br/>
        <w:t>+-------------------------+</w:t>
      </w:r>
      <w:r>
        <w:rPr>
          <w:color w:val="222222"/>
          <w:sz w:val="20"/>
        </w:rPr>
        <w:br/>
        <w:t xml:space="preserve">             |</w:t>
      </w:r>
      <w:r>
        <w:rPr>
          <w:color w:val="222222"/>
          <w:sz w:val="20"/>
        </w:rPr>
        <w:br/>
        <w:t xml:space="preserve">             v [Wireless IEEE 802.11 Link]</w:t>
      </w:r>
      <w:r>
        <w:rPr>
          <w:color w:val="222222"/>
          <w:sz w:val="20"/>
        </w:rPr>
        <w:br/>
        <w:t>+-------------------------+</w:t>
      </w:r>
      <w:r>
        <w:rPr>
          <w:color w:val="222222"/>
          <w:sz w:val="20"/>
        </w:rPr>
        <w:br/>
        <w:t>| Home Wi-Fi Router / CPE | (Performs NAT to Public IP; Local Gateway)</w:t>
      </w:r>
      <w:r>
        <w:rPr>
          <w:color w:val="222222"/>
          <w:sz w:val="20"/>
        </w:rPr>
        <w:br/>
        <w:t>+-------------------------+</w:t>
      </w:r>
      <w:r>
        <w:rPr>
          <w:color w:val="222222"/>
          <w:sz w:val="20"/>
        </w:rPr>
        <w:br/>
        <w:t xml:space="preserve">             |</w:t>
      </w:r>
      <w:r>
        <w:rPr>
          <w:color w:val="222222"/>
          <w:sz w:val="20"/>
        </w:rPr>
        <w:br/>
        <w:t xml:space="preserve">             v [Physical Medium: Fiber-to-the-Home / Coaxial Drop]</w:t>
      </w:r>
      <w:r>
        <w:rPr>
          <w:color w:val="222222"/>
          <w:sz w:val="20"/>
        </w:rPr>
        <w:br/>
        <w:t>+-------------------------------------------------------------------------------+</w:t>
      </w:r>
      <w:r>
        <w:rPr>
          <w:color w:val="222222"/>
          <w:sz w:val="20"/>
        </w:rPr>
        <w:br/>
        <w:t>|                      INTERNET SERVICE PROVIDER (ISP) NETWORK                  |</w:t>
      </w:r>
      <w:r>
        <w:rPr>
          <w:color w:val="222222"/>
          <w:sz w:val="20"/>
        </w:rPr>
        <w:br/>
        <w:t xml:space="preserve">|                       </w:t>
      </w:r>
      <w:r>
        <w:rPr>
          <w:color w:val="222222"/>
          <w:sz w:val="20"/>
        </w:rPr>
        <w:t xml:space="preserve">                                                        |</w:t>
      </w:r>
      <w:r>
        <w:rPr>
          <w:color w:val="222222"/>
          <w:sz w:val="20"/>
        </w:rPr>
        <w:br/>
        <w:t>|   +-----------------------+              +--------------------------------+   |</w:t>
      </w:r>
      <w:r>
        <w:rPr>
          <w:color w:val="222222"/>
          <w:sz w:val="20"/>
        </w:rPr>
        <w:br/>
        <w:t>|   |  ISP Edge Router      | -----------&gt; | WAN Device 1: Core Provider    |   |</w:t>
      </w:r>
      <w:r>
        <w:rPr>
          <w:color w:val="222222"/>
          <w:sz w:val="20"/>
        </w:rPr>
        <w:br/>
        <w:t xml:space="preserve">|   |  (Aggregation Node)   |     </w:t>
      </w:r>
      <w:r>
        <w:rPr>
          <w:color w:val="222222"/>
          <w:sz w:val="20"/>
        </w:rPr>
        <w:t xml:space="preserve">         | Router (Autonomous Transit)    |   |</w:t>
      </w:r>
      <w:r>
        <w:rPr>
          <w:color w:val="222222"/>
          <w:sz w:val="20"/>
        </w:rPr>
        <w:br/>
        <w:t>|   +-----------------------+              +--------------------------------+   |</w:t>
      </w:r>
      <w:r>
        <w:rPr>
          <w:color w:val="222222"/>
          <w:sz w:val="20"/>
        </w:rPr>
        <w:br/>
        <w:t>|                                                          |                    |</w:t>
      </w:r>
      <w:r>
        <w:rPr>
          <w:color w:val="222222"/>
          <w:sz w:val="20"/>
        </w:rPr>
        <w:br/>
        <w:t>+-------------------------------------------</w:t>
      </w:r>
      <w:r>
        <w:rPr>
          <w:color w:val="222222"/>
          <w:sz w:val="20"/>
        </w:rPr>
        <w:t>---------------|--------------------+</w:t>
      </w:r>
      <w:r>
        <w:rPr>
          <w:color w:val="222222"/>
          <w:sz w:val="20"/>
        </w:rPr>
        <w:br/>
        <w:t xml:space="preserve">                                                           v</w:t>
      </w:r>
      <w:r>
        <w:rPr>
          <w:color w:val="222222"/>
          <w:sz w:val="20"/>
        </w:rPr>
        <w:br/>
        <w:t xml:space="preserve">                                           +--------------------------------+</w:t>
      </w:r>
      <w:r>
        <w:rPr>
          <w:color w:val="222222"/>
          <w:sz w:val="20"/>
        </w:rPr>
        <w:br/>
        <w:t xml:space="preserve">                                           | WAN Device 2: Global Internet  |</w:t>
      </w:r>
      <w:r>
        <w:rPr>
          <w:color w:val="222222"/>
          <w:sz w:val="20"/>
        </w:rPr>
        <w:br/>
        <w:t xml:space="preserve"> </w:t>
      </w:r>
      <w:r>
        <w:rPr>
          <w:color w:val="222222"/>
          <w:sz w:val="20"/>
        </w:rPr>
        <w:t xml:space="preserve">                                          | Exchange Point (IXP Router)    |</w:t>
      </w:r>
      <w:r>
        <w:rPr>
          <w:color w:val="222222"/>
          <w:sz w:val="20"/>
        </w:rPr>
        <w:br/>
        <w:t xml:space="preserve">                                           +--------------------------------+</w:t>
      </w:r>
      <w:r>
        <w:rPr>
          <w:color w:val="222222"/>
          <w:sz w:val="20"/>
        </w:rPr>
        <w:br/>
        <w:t xml:space="preserve">                                                           |</w:t>
      </w:r>
      <w:r>
        <w:rPr>
          <w:color w:val="222222"/>
          <w:sz w:val="20"/>
        </w:rPr>
        <w:br/>
        <w:t xml:space="preserve">                                        </w:t>
      </w:r>
      <w:r>
        <w:rPr>
          <w:color w:val="222222"/>
          <w:sz w:val="20"/>
        </w:rPr>
        <w:t xml:space="preserve">                   v [BGP Routed Path]</w:t>
      </w:r>
      <w:r>
        <w:rPr>
          <w:color w:val="222222"/>
          <w:sz w:val="20"/>
        </w:rPr>
        <w:br/>
        <w:t>+-------------------------------------------------------------------------------+</w:t>
      </w:r>
      <w:r>
        <w:rPr>
          <w:color w:val="222222"/>
          <w:sz w:val="20"/>
        </w:rPr>
        <w:br/>
        <w:t>|                        INSTAGRAM (META) DATA CENTER FABRIC                    |</w:t>
      </w:r>
      <w:r>
        <w:rPr>
          <w:color w:val="222222"/>
          <w:sz w:val="20"/>
        </w:rPr>
        <w:br/>
        <w:t xml:space="preserve">|                                                    </w:t>
      </w:r>
      <w:r>
        <w:rPr>
          <w:color w:val="222222"/>
          <w:sz w:val="20"/>
        </w:rPr>
        <w:t xml:space="preserve">                           |</w:t>
      </w:r>
      <w:r>
        <w:rPr>
          <w:color w:val="222222"/>
          <w:sz w:val="20"/>
        </w:rPr>
        <w:br/>
        <w:t>|   +-----------------------+              +--------------------------------+   |</w:t>
      </w:r>
      <w:r>
        <w:rPr>
          <w:color w:val="222222"/>
          <w:sz w:val="20"/>
        </w:rPr>
        <w:br/>
        <w:t>|   | Meta Edge Boundary    | -----------&gt; | Distributed Application Servers|   |</w:t>
      </w:r>
      <w:r>
        <w:rPr>
          <w:color w:val="222222"/>
          <w:sz w:val="20"/>
        </w:rPr>
        <w:br/>
        <w:t>|   | Load Balancer Matrix  |              | (Media / Content /</w:t>
      </w:r>
      <w:r>
        <w:rPr>
          <w:color w:val="222222"/>
          <w:sz w:val="20"/>
        </w:rPr>
        <w:t xml:space="preserve"> Databases)  |   |</w:t>
      </w:r>
      <w:r>
        <w:rPr>
          <w:color w:val="222222"/>
          <w:sz w:val="20"/>
        </w:rPr>
        <w:br/>
        <w:t>|   +-----------------------+              +--------------------------------+   |</w:t>
      </w:r>
      <w:r>
        <w:rPr>
          <w:color w:val="222222"/>
          <w:sz w:val="20"/>
        </w:rPr>
        <w:br/>
        <w:t>+-------------------------------------------------------------------------------+</w:t>
      </w:r>
      <w:r>
        <w:rPr>
          <w:color w:val="222222"/>
          <w:sz w:val="20"/>
        </w:rPr>
        <w:br/>
      </w:r>
    </w:p>
    <w:p w:rsidR="00843F1B" w:rsidRDefault="005C7F31">
      <w:pPr>
        <w:keepNext/>
        <w:spacing w:before="360" w:after="120"/>
      </w:pPr>
      <w:r>
        <w:rPr>
          <w:b/>
          <w:color w:val="1B365D"/>
          <w:sz w:val="32"/>
        </w:rPr>
        <w:lastRenderedPageBreak/>
        <w:t>2. Comprehensive Wide Area Network (WAN) Technology Matrix</w:t>
      </w:r>
    </w:p>
    <w:p w:rsidR="00843F1B" w:rsidRDefault="005C7F31">
      <w:pPr>
        <w:spacing w:after="120"/>
      </w:pPr>
      <w:r>
        <w:t>Different env</w:t>
      </w:r>
      <w:r>
        <w:t>ironments demand specific connectivity architectures. The table below analyzes three foundational WAN technologies used across modern enterprise landscapes.</w:t>
      </w:r>
    </w:p>
    <w:tbl>
      <w:tblPr>
        <w:tblStyle w:val="TableGrid"/>
        <w:tblW w:w="0" w:type="auto"/>
        <w:tblLook w:val="04A0" w:firstRow="1" w:lastRow="0" w:firstColumn="1" w:lastColumn="0" w:noHBand="0" w:noVBand="1"/>
      </w:tblPr>
      <w:tblGrid>
        <w:gridCol w:w="2340"/>
        <w:gridCol w:w="2340"/>
        <w:gridCol w:w="2340"/>
        <w:gridCol w:w="2340"/>
      </w:tblGrid>
      <w:tr w:rsidR="00843F1B">
        <w:tc>
          <w:tcPr>
            <w:tcW w:w="2340" w:type="dxa"/>
            <w:tcBorders>
              <w:top w:val="single" w:sz="4" w:space="0" w:color="D3D3D3"/>
              <w:left w:val="single" w:sz="4" w:space="0" w:color="D3D3D3"/>
              <w:bottom w:val="single" w:sz="4" w:space="0" w:color="D3D3D3"/>
              <w:right w:val="single" w:sz="4" w:space="0" w:color="D3D3D3"/>
            </w:tcBorders>
            <w:shd w:val="clear" w:color="auto" w:fill="1B365D"/>
          </w:tcPr>
          <w:p w:rsidR="00843F1B" w:rsidRDefault="005C7F31">
            <w:r>
              <w:rPr>
                <w:b/>
                <w:color w:val="FFFFFF"/>
                <w:sz w:val="20"/>
              </w:rPr>
              <w:t>WAN Technology Type</w:t>
            </w:r>
          </w:p>
        </w:tc>
        <w:tc>
          <w:tcPr>
            <w:tcW w:w="2340" w:type="dxa"/>
            <w:tcBorders>
              <w:top w:val="single" w:sz="4" w:space="0" w:color="D3D3D3"/>
              <w:left w:val="single" w:sz="4" w:space="0" w:color="D3D3D3"/>
              <w:bottom w:val="single" w:sz="4" w:space="0" w:color="D3D3D3"/>
              <w:right w:val="single" w:sz="4" w:space="0" w:color="D3D3D3"/>
            </w:tcBorders>
            <w:shd w:val="clear" w:color="auto" w:fill="1B365D"/>
          </w:tcPr>
          <w:p w:rsidR="00843F1B" w:rsidRDefault="005C7F31">
            <w:r>
              <w:rPr>
                <w:b/>
                <w:color w:val="FFFFFF"/>
                <w:sz w:val="20"/>
              </w:rPr>
              <w:t>Operational Speed Profile</w:t>
            </w:r>
          </w:p>
        </w:tc>
        <w:tc>
          <w:tcPr>
            <w:tcW w:w="2340" w:type="dxa"/>
            <w:tcBorders>
              <w:top w:val="single" w:sz="4" w:space="0" w:color="D3D3D3"/>
              <w:left w:val="single" w:sz="4" w:space="0" w:color="D3D3D3"/>
              <w:bottom w:val="single" w:sz="4" w:space="0" w:color="D3D3D3"/>
              <w:right w:val="single" w:sz="4" w:space="0" w:color="D3D3D3"/>
            </w:tcBorders>
            <w:shd w:val="clear" w:color="auto" w:fill="1B365D"/>
          </w:tcPr>
          <w:p w:rsidR="00843F1B" w:rsidRDefault="005C7F31">
            <w:r>
              <w:rPr>
                <w:b/>
                <w:color w:val="FFFFFF"/>
                <w:sz w:val="20"/>
              </w:rPr>
              <w:t>Cost/Expenditure Model</w:t>
            </w:r>
          </w:p>
        </w:tc>
        <w:tc>
          <w:tcPr>
            <w:tcW w:w="2340" w:type="dxa"/>
            <w:tcBorders>
              <w:top w:val="single" w:sz="4" w:space="0" w:color="D3D3D3"/>
              <w:left w:val="single" w:sz="4" w:space="0" w:color="D3D3D3"/>
              <w:bottom w:val="single" w:sz="4" w:space="0" w:color="D3D3D3"/>
              <w:right w:val="single" w:sz="4" w:space="0" w:color="D3D3D3"/>
            </w:tcBorders>
            <w:shd w:val="clear" w:color="auto" w:fill="1B365D"/>
          </w:tcPr>
          <w:p w:rsidR="00843F1B" w:rsidRDefault="005C7F31">
            <w:r>
              <w:rPr>
                <w:b/>
                <w:color w:val="FFFFFF"/>
                <w:sz w:val="20"/>
              </w:rPr>
              <w:t>Real-World Deployment Context</w:t>
            </w:r>
          </w:p>
        </w:tc>
      </w:tr>
      <w:tr w:rsidR="00843F1B">
        <w:tc>
          <w:tcPr>
            <w:tcW w:w="2340" w:type="dxa"/>
            <w:tcBorders>
              <w:top w:val="single" w:sz="4" w:space="0" w:color="D3D3D3"/>
              <w:left w:val="single" w:sz="4" w:space="0" w:color="D3D3D3"/>
              <w:bottom w:val="single" w:sz="4" w:space="0" w:color="D3D3D3"/>
              <w:right w:val="single" w:sz="4" w:space="0" w:color="D3D3D3"/>
            </w:tcBorders>
          </w:tcPr>
          <w:p w:rsidR="00843F1B" w:rsidRDefault="005C7F31">
            <w:pPr>
              <w:spacing w:before="80" w:after="80" w:line="276" w:lineRule="auto"/>
            </w:pPr>
            <w:r>
              <w:rPr>
                <w:sz w:val="20"/>
              </w:rPr>
              <w:t>Broadband Internet</w:t>
            </w:r>
          </w:p>
        </w:tc>
        <w:tc>
          <w:tcPr>
            <w:tcW w:w="2340" w:type="dxa"/>
            <w:tcBorders>
              <w:top w:val="single" w:sz="4" w:space="0" w:color="D3D3D3"/>
              <w:left w:val="single" w:sz="4" w:space="0" w:color="D3D3D3"/>
              <w:bottom w:val="single" w:sz="4" w:space="0" w:color="D3D3D3"/>
              <w:right w:val="single" w:sz="4" w:space="0" w:color="D3D3D3"/>
            </w:tcBorders>
          </w:tcPr>
          <w:p w:rsidR="00843F1B" w:rsidRDefault="005C7F31">
            <w:pPr>
              <w:spacing w:before="80" w:after="80" w:line="276" w:lineRule="auto"/>
            </w:pPr>
            <w:r>
              <w:rPr>
                <w:sz w:val="20"/>
              </w:rPr>
              <w:t>Variable downstream (typically 50 Mbps - 1 Gbps) with asymmetric slower upstream constraints.</w:t>
            </w:r>
          </w:p>
        </w:tc>
        <w:tc>
          <w:tcPr>
            <w:tcW w:w="2340" w:type="dxa"/>
            <w:tcBorders>
              <w:top w:val="single" w:sz="4" w:space="0" w:color="D3D3D3"/>
              <w:left w:val="single" w:sz="4" w:space="0" w:color="D3D3D3"/>
              <w:bottom w:val="single" w:sz="4" w:space="0" w:color="D3D3D3"/>
              <w:right w:val="single" w:sz="4" w:space="0" w:color="D3D3D3"/>
            </w:tcBorders>
          </w:tcPr>
          <w:p w:rsidR="00843F1B" w:rsidRDefault="005C7F31">
            <w:pPr>
              <w:spacing w:before="80" w:after="80" w:line="276" w:lineRule="auto"/>
            </w:pPr>
            <w:r>
              <w:rPr>
                <w:sz w:val="20"/>
              </w:rPr>
              <w:t>Low capital and operational expenditure; standard consumer billing tier.</w:t>
            </w:r>
          </w:p>
        </w:tc>
        <w:tc>
          <w:tcPr>
            <w:tcW w:w="2340" w:type="dxa"/>
            <w:tcBorders>
              <w:top w:val="single" w:sz="4" w:space="0" w:color="D3D3D3"/>
              <w:left w:val="single" w:sz="4" w:space="0" w:color="D3D3D3"/>
              <w:bottom w:val="single" w:sz="4" w:space="0" w:color="D3D3D3"/>
              <w:right w:val="single" w:sz="4" w:space="0" w:color="D3D3D3"/>
            </w:tcBorders>
          </w:tcPr>
          <w:p w:rsidR="00843F1B" w:rsidRDefault="005C7F31">
            <w:pPr>
              <w:spacing w:before="80" w:after="80" w:line="276" w:lineRule="auto"/>
            </w:pPr>
            <w:r>
              <w:rPr>
                <w:sz w:val="20"/>
              </w:rPr>
              <w:t>Personal consumer home setup, or small remote coffee shop operations.</w:t>
            </w:r>
          </w:p>
        </w:tc>
      </w:tr>
      <w:tr w:rsidR="00843F1B">
        <w:tc>
          <w:tcPr>
            <w:tcW w:w="2340" w:type="dxa"/>
            <w:tcBorders>
              <w:top w:val="single" w:sz="4" w:space="0" w:color="D3D3D3"/>
              <w:left w:val="single" w:sz="4" w:space="0" w:color="D3D3D3"/>
              <w:bottom w:val="single" w:sz="4" w:space="0" w:color="D3D3D3"/>
              <w:right w:val="single" w:sz="4" w:space="0" w:color="D3D3D3"/>
            </w:tcBorders>
          </w:tcPr>
          <w:p w:rsidR="00843F1B" w:rsidRDefault="005C7F31">
            <w:pPr>
              <w:spacing w:before="80" w:after="80" w:line="276" w:lineRule="auto"/>
            </w:pPr>
            <w:r>
              <w:rPr>
                <w:sz w:val="20"/>
              </w:rPr>
              <w:t>Dedicated Leased Line</w:t>
            </w:r>
          </w:p>
        </w:tc>
        <w:tc>
          <w:tcPr>
            <w:tcW w:w="2340" w:type="dxa"/>
            <w:tcBorders>
              <w:top w:val="single" w:sz="4" w:space="0" w:color="D3D3D3"/>
              <w:left w:val="single" w:sz="4" w:space="0" w:color="D3D3D3"/>
              <w:bottom w:val="single" w:sz="4" w:space="0" w:color="D3D3D3"/>
              <w:right w:val="single" w:sz="4" w:space="0" w:color="D3D3D3"/>
            </w:tcBorders>
          </w:tcPr>
          <w:p w:rsidR="00843F1B" w:rsidRDefault="005C7F31">
            <w:pPr>
              <w:spacing w:before="80" w:after="80" w:line="276" w:lineRule="auto"/>
            </w:pPr>
            <w:r>
              <w:rPr>
                <w:sz w:val="20"/>
              </w:rPr>
              <w:t>Symmetric dedicated throughput (100 Mbps - 10+ Gbps) featuring an absolute 1:1 contention ratio.</w:t>
            </w:r>
          </w:p>
        </w:tc>
        <w:tc>
          <w:tcPr>
            <w:tcW w:w="2340" w:type="dxa"/>
            <w:tcBorders>
              <w:top w:val="single" w:sz="4" w:space="0" w:color="D3D3D3"/>
              <w:left w:val="single" w:sz="4" w:space="0" w:color="D3D3D3"/>
              <w:bottom w:val="single" w:sz="4" w:space="0" w:color="D3D3D3"/>
              <w:right w:val="single" w:sz="4" w:space="0" w:color="D3D3D3"/>
            </w:tcBorders>
          </w:tcPr>
          <w:p w:rsidR="00843F1B" w:rsidRDefault="005C7F31">
            <w:pPr>
              <w:spacing w:before="80" w:after="80" w:line="276" w:lineRule="auto"/>
            </w:pPr>
            <w:r>
              <w:rPr>
                <w:sz w:val="20"/>
              </w:rPr>
              <w:t>High premium cost; fixed recurring monthly cost with strict Service Level Agreements (SLAs).</w:t>
            </w:r>
          </w:p>
        </w:tc>
        <w:tc>
          <w:tcPr>
            <w:tcW w:w="2340" w:type="dxa"/>
            <w:tcBorders>
              <w:top w:val="single" w:sz="4" w:space="0" w:color="D3D3D3"/>
              <w:left w:val="single" w:sz="4" w:space="0" w:color="D3D3D3"/>
              <w:bottom w:val="single" w:sz="4" w:space="0" w:color="D3D3D3"/>
              <w:right w:val="single" w:sz="4" w:space="0" w:color="D3D3D3"/>
            </w:tcBorders>
          </w:tcPr>
          <w:p w:rsidR="00843F1B" w:rsidRDefault="005C7F31">
            <w:pPr>
              <w:spacing w:before="80" w:after="80" w:line="276" w:lineRule="auto"/>
            </w:pPr>
            <w:r>
              <w:rPr>
                <w:sz w:val="20"/>
              </w:rPr>
              <w:t>IRCTC centralized ticketing core node data</w:t>
            </w:r>
            <w:r>
              <w:rPr>
                <w:sz w:val="20"/>
              </w:rPr>
              <w:t>base hubs or banking clearing systems.</w:t>
            </w:r>
          </w:p>
        </w:tc>
      </w:tr>
      <w:tr w:rsidR="00843F1B">
        <w:tc>
          <w:tcPr>
            <w:tcW w:w="2340" w:type="dxa"/>
            <w:tcBorders>
              <w:top w:val="single" w:sz="4" w:space="0" w:color="D3D3D3"/>
              <w:left w:val="single" w:sz="4" w:space="0" w:color="D3D3D3"/>
              <w:bottom w:val="single" w:sz="4" w:space="0" w:color="D3D3D3"/>
              <w:right w:val="single" w:sz="4" w:space="0" w:color="D3D3D3"/>
            </w:tcBorders>
          </w:tcPr>
          <w:p w:rsidR="00843F1B" w:rsidRDefault="005C7F31">
            <w:pPr>
              <w:spacing w:before="80" w:after="80" w:line="276" w:lineRule="auto"/>
            </w:pPr>
            <w:r>
              <w:rPr>
                <w:sz w:val="20"/>
              </w:rPr>
              <w:t>MPLS</w:t>
            </w:r>
            <w:r>
              <w:rPr>
                <w:sz w:val="20"/>
              </w:rPr>
              <w:br/>
              <w:t>(Multiprotocol Label Switching)</w:t>
            </w:r>
          </w:p>
        </w:tc>
        <w:tc>
          <w:tcPr>
            <w:tcW w:w="2340" w:type="dxa"/>
            <w:tcBorders>
              <w:top w:val="single" w:sz="4" w:space="0" w:color="D3D3D3"/>
              <w:left w:val="single" w:sz="4" w:space="0" w:color="D3D3D3"/>
              <w:bottom w:val="single" w:sz="4" w:space="0" w:color="D3D3D3"/>
              <w:right w:val="single" w:sz="4" w:space="0" w:color="D3D3D3"/>
            </w:tcBorders>
          </w:tcPr>
          <w:p w:rsidR="00843F1B" w:rsidRDefault="005C7F31">
            <w:pPr>
              <w:spacing w:before="80" w:after="80" w:line="276" w:lineRule="auto"/>
            </w:pPr>
            <w:r>
              <w:rPr>
                <w:sz w:val="20"/>
              </w:rPr>
              <w:t>Highly deterministic throughput (typically 10 Mbps - 1 Gbps per node) with label-switched packet priority queues.</w:t>
            </w:r>
          </w:p>
        </w:tc>
        <w:tc>
          <w:tcPr>
            <w:tcW w:w="2340" w:type="dxa"/>
            <w:tcBorders>
              <w:top w:val="single" w:sz="4" w:space="0" w:color="D3D3D3"/>
              <w:left w:val="single" w:sz="4" w:space="0" w:color="D3D3D3"/>
              <w:bottom w:val="single" w:sz="4" w:space="0" w:color="D3D3D3"/>
              <w:right w:val="single" w:sz="4" w:space="0" w:color="D3D3D3"/>
            </w:tcBorders>
          </w:tcPr>
          <w:p w:rsidR="00843F1B" w:rsidRDefault="005C7F31">
            <w:pPr>
              <w:spacing w:before="80" w:after="80" w:line="276" w:lineRule="auto"/>
            </w:pPr>
            <w:r>
              <w:rPr>
                <w:sz w:val="20"/>
              </w:rPr>
              <w:t>Moderate-to-High cost; complex telco-managed private network prov</w:t>
            </w:r>
            <w:r>
              <w:rPr>
                <w:sz w:val="20"/>
              </w:rPr>
              <w:t>isioning.</w:t>
            </w:r>
          </w:p>
        </w:tc>
        <w:tc>
          <w:tcPr>
            <w:tcW w:w="2340" w:type="dxa"/>
            <w:tcBorders>
              <w:top w:val="single" w:sz="4" w:space="0" w:color="D3D3D3"/>
              <w:left w:val="single" w:sz="4" w:space="0" w:color="D3D3D3"/>
              <w:bottom w:val="single" w:sz="4" w:space="0" w:color="D3D3D3"/>
              <w:right w:val="single" w:sz="4" w:space="0" w:color="D3D3D3"/>
            </w:tcBorders>
          </w:tcPr>
          <w:p w:rsidR="00843F1B" w:rsidRDefault="005C7F31">
            <w:pPr>
              <w:spacing w:before="80" w:after="80" w:line="276" w:lineRule="auto"/>
            </w:pPr>
            <w:r>
              <w:rPr>
                <w:sz w:val="20"/>
              </w:rPr>
              <w:t>Zomato corporate headquarters linking mission-critical branch microservices.</w:t>
            </w:r>
          </w:p>
        </w:tc>
      </w:tr>
    </w:tbl>
    <w:p w:rsidR="00843F1B" w:rsidRDefault="005C7F31">
      <w:pPr>
        <w:keepNext/>
        <w:spacing w:before="360" w:after="120"/>
      </w:pPr>
      <w:r>
        <w:rPr>
          <w:b/>
          <w:color w:val="1B365D"/>
          <w:sz w:val="32"/>
        </w:rPr>
        <w:t>3. Mechanics of Virtual Private Network (VPN) Over Public WAN Paths</w:t>
      </w:r>
    </w:p>
    <w:p w:rsidR="00843F1B" w:rsidRDefault="005C7F31">
      <w:pPr>
        <w:spacing w:after="120"/>
      </w:pPr>
      <w:r>
        <w:t>When a user accesses apps like Spotify or YouTube on an unsecured public Wi-Fi network (such as at a</w:t>
      </w:r>
      <w:r>
        <w:t xml:space="preserve"> local coffee shop), their packets travel across open airwaves and public WAN infrastructure, making them vulnerable to sniffing or payload alteration. A VPN completely mitigates this threat through encapsulation and encryption.</w:t>
      </w:r>
    </w:p>
    <w:p w:rsidR="00843F1B" w:rsidRDefault="005C7F31">
      <w:pPr>
        <w:spacing w:after="120"/>
      </w:pPr>
      <w:r>
        <w:t>The process functions via a</w:t>
      </w:r>
      <w:r>
        <w:t xml:space="preserve"> series of deterministic architectural steps:</w:t>
      </w:r>
    </w:p>
    <w:p w:rsidR="00843F1B" w:rsidRDefault="005C7F31">
      <w:pPr>
        <w:pStyle w:val="ListBullet"/>
      </w:pPr>
      <w:r>
        <w:rPr>
          <w:b/>
        </w:rPr>
        <w:t xml:space="preserve">Cryptographic Tunnel Initiation: </w:t>
      </w:r>
      <w:r>
        <w:t>The user's local VPN client software initiates a secure handshake protocol (such as OpenVPN, WireGuard, or IPsec) targeting a remote VPN gateway router.</w:t>
      </w:r>
    </w:p>
    <w:p w:rsidR="00843F1B" w:rsidRDefault="005C7F31">
      <w:pPr>
        <w:pStyle w:val="ListBullet"/>
      </w:pPr>
      <w:r>
        <w:rPr>
          <w:b/>
        </w:rPr>
        <w:t xml:space="preserve">Payload Encapsulation: </w:t>
      </w:r>
      <w:r>
        <w:t>S</w:t>
      </w:r>
      <w:r>
        <w:t>tandard data frames intended for Spotify or YouTube are entirely encrypted at the client machine's network layer. This encrypted frame is packed inside a completely standard outer IP packet header. To any intermediary routers or sniffing entities along the</w:t>
      </w:r>
      <w:r>
        <w:t xml:space="preserve"> local Wi-Fi or public WAN, the payload appears as unreadable data targeted strictly to the VPN server's endpoint IP.</w:t>
      </w:r>
    </w:p>
    <w:p w:rsidR="00843F1B" w:rsidRDefault="005C7F31">
      <w:pPr>
        <w:pStyle w:val="ListBullet"/>
      </w:pPr>
      <w:r>
        <w:rPr>
          <w:b/>
        </w:rPr>
        <w:t xml:space="preserve">Transit and Egress Decryption: </w:t>
      </w:r>
      <w:r>
        <w:t>The public WAN routes this outer packet directly to the destination VPN server. Upon receipt, the VPN serve</w:t>
      </w:r>
      <w:r>
        <w:t>r strips away the outer transit header, decrypts the original internal payload using the negotiated key matrix, and routes the authenticated clean data into the public web architecture toward Spotify or YouTube's primary servers. Return packets undergo the</w:t>
      </w:r>
      <w:r>
        <w:t xml:space="preserve"> exact same reverse process, guaranteeing end-to-end security over untrusted links.</w:t>
      </w:r>
    </w:p>
    <w:p w:rsidR="00843F1B" w:rsidRDefault="005C7F31">
      <w:pPr>
        <w:keepNext/>
        <w:spacing w:before="360" w:after="120"/>
      </w:pPr>
      <w:r>
        <w:rPr>
          <w:b/>
          <w:color w:val="1B365D"/>
          <w:sz w:val="32"/>
        </w:rPr>
        <w:lastRenderedPageBreak/>
        <w:t>4. Recommended Architecture for Flipkart Warehouse Interconnectivity</w:t>
      </w:r>
    </w:p>
    <w:p w:rsidR="00843F1B" w:rsidRDefault="005C7F31">
      <w:pPr>
        <w:spacing w:after="120"/>
      </w:pPr>
      <w:r>
        <w:t xml:space="preserve">To successfully link Flipkart's core sorting facilities across Ahmedabad, Mumbai, and Delhi with the highest tier of operational safety, reliability, and deterministic behavior, the optimal architectural selection is a </w:t>
      </w:r>
      <w:r>
        <w:rPr>
          <w:b/>
        </w:rPr>
        <w:t>Managed Multiprotocol Label Switching</w:t>
      </w:r>
      <w:r>
        <w:rPr>
          <w:b/>
        </w:rPr>
        <w:t xml:space="preserve"> (MPLS) Network Network</w:t>
      </w:r>
      <w:r>
        <w:t xml:space="preserve"> acting alongside a secondary redundant broadband overlay tunnel system.</w:t>
      </w:r>
    </w:p>
    <w:p w:rsidR="00843F1B" w:rsidRDefault="005C7F31">
      <w:pPr>
        <w:keepNext/>
        <w:spacing w:before="280" w:after="80"/>
      </w:pPr>
      <w:r>
        <w:rPr>
          <w:b/>
          <w:color w:val="4A6B82"/>
          <w:sz w:val="26"/>
        </w:rPr>
        <w:t>Justification Pillars for Selection</w:t>
      </w:r>
    </w:p>
    <w:p w:rsidR="00843F1B" w:rsidRDefault="005C7F31">
      <w:pPr>
        <w:spacing w:after="120"/>
      </w:pPr>
      <w:r>
        <w:t>Flipkart's distributed fulfillment warehouses execute real-time automated logistical actions, inventory synchronization loop</w:t>
      </w:r>
      <w:r>
        <w:t>s, and high-frequency database calls to update active customer portals. MPLS operates using a strict 'label switching' protocol at layer 2.5 rather than standard lookup routing tables. This allows Flipkart to tag mission-critical traffic with high priority</w:t>
      </w:r>
      <w:r>
        <w:t xml:space="preserve"> QoS tiers, ensuring core database packets bypass lesser background corporate communication or telemetry data, eliminating latency spikes and jitter.</w:t>
      </w:r>
    </w:p>
    <w:p w:rsidR="00843F1B" w:rsidRDefault="005C7F31">
      <w:pPr>
        <w:spacing w:after="120"/>
      </w:pPr>
      <w:r>
        <w:t xml:space="preserve">Unlike public broadband connections which suffer from un-guaranteed routing changes and congestion paths, </w:t>
      </w:r>
      <w:r>
        <w:t>MPLS networks are completely private, carrier-isolated virtual routing instances. They are delivered with legally binding Service Level Agreements (SLAs) guaranteeing 99.99% network uptime, rapid failover timelines, and fixed round-trip latency profiles. T</w:t>
      </w:r>
      <w:r>
        <w:t xml:space="preserve">his structural stability ensures that fulfillment operations across Ahmedabad, Mumbai, and Delhi never lose real-time visibility during flash </w:t>
      </w:r>
      <w:bookmarkStart w:id="0" w:name="_GoBack"/>
      <w:bookmarkEnd w:id="0"/>
      <w:r>
        <w:t>sales or heavy distribution periods.</w:t>
      </w:r>
    </w:p>
    <w:sectPr w:rsidR="00843F1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C7F31"/>
    <w:rsid w:val="00843F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7C2F120-80E4-44BF-B100-F4ECE6830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1514EA-9F39-45C3-AA2C-07C9DA4FD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1030</Words>
  <Characters>5873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NeelVasani</cp:lastModifiedBy>
  <cp:revision>2</cp:revision>
  <dcterms:created xsi:type="dcterms:W3CDTF">2013-12-23T23:15:00Z</dcterms:created>
  <dcterms:modified xsi:type="dcterms:W3CDTF">2026-06-30T14:25:00Z</dcterms:modified>
  <cp:category/>
</cp:coreProperties>
</file>