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80"/>
        <w:jc w:val="center"/>
      </w:pPr>
      <w:r>
        <w:rPr>
          <w:rFonts w:ascii="Times New Roman" w:hAnsi="Times New Roman"/>
          <w:b/>
          <w:color w:val="1E3A8A"/>
          <w:sz w:val="40"/>
        </w:rPr>
        <w:t>Technical Lab Report:</w:t>
        <w:br/>
        <w:t>Local DNS Server Configuration and Troubleshooting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1. Local BIND9 DNS Server Installation and Zone Creation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This section outlines the setup of a localized Domain Name System (DNS) server running BIND9 on a Linux Ubuntu VM to authoritatively host configuration data for the newly established enterprise forward lookup domain namespace.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BIND9 Package Installation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The server binaries were acquired from official stable distribution channels using the standard package manager. The service suite includes system configuration utilities, core daemons, and security abstraction layers.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$ sudo apt update</w:t>
              <w:br/>
              <w:t>$ sudo apt install bind9 bind9utils bind9-doc -y</w:t>
            </w:r>
          </w:p>
        </w:tc>
      </w:tr>
    </w:tbl>
    <w:p>
      <w:pPr>
        <w:spacing w:before="80" w:after="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Global Forwarding Options Configuration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To ensure the DNS server safely routes queries it is not authoritative for, upstream public DNS resolvers were added to the options file directory tree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// Excerpt from /etc/bind/named.conf.options</w:t>
              <w:br/>
              <w:t>options {</w:t>
              <w:br/>
              <w:t xml:space="preserve">    directory "/var/cache/bind";</w:t>
              <w:br/>
              <w:t xml:space="preserve">    forwarders {</w:t>
              <w:br/>
              <w:t xml:space="preserve">        8.8.8.8;</w:t>
              <w:br/>
              <w:t xml:space="preserve">        8.8.4.4;</w:t>
              <w:br/>
              <w:t xml:space="preserve">    };</w:t>
              <w:br/>
              <w:t xml:space="preserve">    dnssec-validation auto;</w:t>
              <w:br/>
              <w:t xml:space="preserve">    listen-on { any; };</w:t>
              <w:br/>
              <w:t>};</w:t>
            </w:r>
          </w:p>
        </w:tc>
      </w:tr>
    </w:tbl>
    <w:p>
      <w:pPr>
        <w:spacing w:before="80" w:after="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Defining the Forward Lookup Zone File Linkage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The zone definition declaring the system's explicit authority over the destination namespace was added directly inside the localized configuration descriptor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// Excerpt from /etc/bind/named.conf.local</w:t>
              <w:br/>
              <w:t>zone "musicmania.in" {</w:t>
              <w:br/>
              <w:t xml:space="preserve">    type master;</w:t>
              <w:br/>
              <w:t xml:space="preserve">    file "/etc/bind/db.musicmania.in";</w:t>
              <w:br/>
              <w:t>};</w:t>
            </w:r>
          </w:p>
        </w:tc>
      </w:tr>
    </w:tbl>
    <w:p>
      <w:pPr>
        <w:spacing w:before="80" w:after="0"/>
      </w:pPr>
    </w:p>
    <w:p>
      <w:pPr>
        <w:keepNext/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2. Forward Database Management: Adding an Authoritative A Record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The physical database mapping readable text domain hierarchies to canonical layer-3 network identifiers was constructed within the dedicated resource file path.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Constructing the Zone File Map (db.musicmania.in)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The following block establishes baseline Start of Authority (SOA) parameters, designates the local loopback as the primary nameserver (NS), and creates the target canonical IPv4 host resource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; /etc/bind/db.musicmania.in</w:t>
              <w:br/>
              <w:t>$TTL    604800</w:t>
              <w:br/>
              <w:t>@       IN      SOA     ns1.musicmania.in. admin.musicmania.in. (</w:t>
              <w:br/>
              <w:t xml:space="preserve">                     2026063001     ; Serial number representation</w:t>
              <w:br/>
              <w:t xml:space="preserve">                         604800     ; Refresh parameter timing window</w:t>
              <w:br/>
              <w:t xml:space="preserve">                          86400     ; Retry check interval duration</w:t>
              <w:br/>
              <w:t xml:space="preserve">                        2419200     ; Expire tracking envelope</w:t>
              <w:br/>
              <w:t xml:space="preserve">                         604800 )   ; Negative Cache TTL parameter</w:t>
              <w:br/>
              <w:t>;</w:t>
              <w:br/>
              <w:t>@       IN      NS      ns1.musicmania.in.</w:t>
              <w:br/>
              <w:t>ns1     IN      A       127.0.0.1</w:t>
              <w:br/>
              <w:t>www     IN      A       192.168.1.50</w:t>
            </w:r>
          </w:p>
        </w:tc>
      </w:tr>
    </w:tbl>
    <w:p>
      <w:pPr>
        <w:spacing w:before="80" w:after="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Activating and Verifying Zone Bindings via Dig and Nslookup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After reloading the configuration schema layers, standard analytical querying binaries were dispatched against the loopback daemon network interface to verify parsing accuracy.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$ sudo systemctl reload named</w:t>
              <w:br/>
              <w:br/>
              <w:t>$ dig @127.0.0.1 www.musicmania.in</w:t>
              <w:br/>
              <w:br/>
              <w:t>;; ANSWER SECTION:</w:t>
              <w:br/>
              <w:t>www.musicmania.in.   604800  IN  A   192.168.1.50</w:t>
              <w:br/>
              <w:br/>
              <w:t>;; SERVER: 127.0.0.1#53(127.0.0.1)</w:t>
            </w:r>
          </w:p>
        </w:tc>
      </w:tr>
    </w:tbl>
    <w:p>
      <w:pPr>
        <w:spacing w:before="80" w:after="0"/>
      </w:pP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Using the alternative query utility confirms exact target synchronization across all verification criteria: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$ nslookup www.musicmania.in 127.0.0.1</w:t>
              <w:br/>
              <w:t>Server:         127.0.0.1</w:t>
              <w:br/>
              <w:t>Address:        127.0.0.1#53</w:t>
              <w:br/>
              <w:br/>
              <w:t>Name:   www.musicmania.in</w:t>
              <w:br/>
              <w:t>Address: 192.168.1.50</w:t>
            </w:r>
          </w:p>
        </w:tc>
      </w:tr>
    </w:tbl>
    <w:p>
      <w:pPr>
        <w:spacing w:before="80" w:after="0"/>
      </w:pPr>
    </w:p>
    <w:p>
      <w:pPr>
        <w:keepNext/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3. Managing Typo Aliasing: CNAME Record Implementation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To seamlessly resolve structural variants, typos, or specific service subdomains without generating distinct A record tracking instances, a Canonical Name (CNAME) record was deployed.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Appending Alias Strings to Database Definitions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The zone database was modified to ensure traffic seeking the target label points directly to the primary domain map anchor.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; Appended entry within /etc/bind/db.musicmania.in</w:t>
              <w:br/>
              <w:t>play    IN      CNAME   www.musicmania.in.</w:t>
            </w:r>
          </w:p>
        </w:tc>
      </w:tr>
    </w:tbl>
    <w:p>
      <w:pPr>
        <w:spacing w:before="80" w:after="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Validating Alias Interception via Resolution Testing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A fresh lookup command confirms that the engine correctly intercepts the alias, traces the pointer hop, and delivers the parent record's final mapping target.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$ dig @127.0.0.1 play.musicmania.in</w:t>
              <w:br/>
              <w:br/>
              <w:t>;; ANSWER SECTION:</w:t>
              <w:br/>
              <w:t>play.musicmania.in.   604800  IN  CNAME   www.musicmania.in.</w:t>
              <w:br/>
              <w:t>www.musicmania.in.    604800  IN  A       192.168.1.50</w:t>
            </w:r>
          </w:p>
        </w:tc>
      </w:tr>
    </w:tbl>
    <w:p>
      <w:pPr>
        <w:spacing w:before="80" w:after="0"/>
      </w:pPr>
    </w:p>
    <w:p>
      <w:pPr>
        <w:keepNext/>
        <w:spacing w:before="360" w:after="120"/>
      </w:pPr>
      <w:r>
        <w:rPr>
          <w:rFonts w:ascii="Times New Roman" w:hAnsi="Times New Roman"/>
          <w:b/>
          <w:color w:val="1E3A8A"/>
          <w:sz w:val="32"/>
        </w:rPr>
        <w:t>4. Structured System Diagnostic and Troubleshooting Framework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If a zone lookup fails or drops unhandled errors, an infrastructure engineer must systematically check the server layers. Below is the step-by-step resolution checklist: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Step 4.1: Syntactical Validation of Main Configuration Files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Before restarting active runtime instances, parsing tests are run against the core structures to identify hidden brackets, trailing spaces, or broken file paths.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$ named-checkconf /etc/bind/named.conf</w:t>
            </w:r>
          </w:p>
        </w:tc>
      </w:tr>
    </w:tbl>
    <w:p>
      <w:pPr>
        <w:spacing w:before="80" w:after="0"/>
      </w:pP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If the output returns clear, the configuration syntax is correct. Any discovered syntax violations are printed to stderr alongside corresponding line references.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Step 4.2: Authoritative Database Zone Validation Check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Validate the exact content of the database map mapping definitions against internal schema rules before deployment using the zone verification check utility: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$ named-checkzone musicmania.in /etc/bind/db.musicmania.in</w:t>
              <w:br/>
              <w:t>zone musicmania.in/IN: loaded serial 2026063001</w:t>
              <w:br/>
              <w:t>OK</w:t>
            </w:r>
          </w:p>
        </w:tc>
      </w:tr>
    </w:tbl>
    <w:p>
      <w:pPr>
        <w:spacing w:before="80" w:after="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Step 4.3: Restarting and Registering the Linux System Daemon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To flush stale memory allocations and load the clean records into active sockets, the execution daemon service must be restarted and checked for stability.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$ sudo systemctl restart named</w:t>
              <w:br/>
              <w:t>$ sudo systemctl status named</w:t>
            </w:r>
          </w:p>
        </w:tc>
      </w:tr>
    </w:tbl>
    <w:p>
      <w:pPr>
        <w:spacing w:before="80" w:after="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Step 4.4: Analyzing Real-time Operating System Event Streams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If the service fails to reach a running state, checking system logs exposes the raw error codes generated by runtime process exceptions.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$ journalctl -u named -n 50 --no-pager</w:t>
            </w:r>
          </w:p>
        </w:tc>
      </w:tr>
    </w:tbl>
    <w:p>
      <w:pPr>
        <w:spacing w:before="80" w:after="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0F766E"/>
          <w:sz w:val="26"/>
        </w:rPr>
        <w:t>Step 4.5: Isolation Testing via Target Lookup Commands</w:t>
      </w: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Test if the local loopback interface resolves records correctly, bypassing public routing networks entirely to confirm internal functionality.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E3A8A"/>
                <w:sz w:val="19"/>
              </w:rPr>
              <w:t>$ dig @127.0.0.1 www.musicmania.in +norecurse</w:t>
            </w:r>
          </w:p>
        </w:tc>
      </w:tr>
    </w:tbl>
    <w:p>
      <w:pPr>
        <w:spacing w:before="80" w:after="0"/>
      </w:pPr>
    </w:p>
    <w:p>
      <w:pPr>
        <w:spacing w:after="120" w:line="276" w:lineRule="auto"/>
      </w:pPr>
      <w:r>
        <w:rPr>
          <w:rFonts w:ascii="Times New Roman" w:hAnsi="Times New Roman"/>
          <w:sz w:val="22"/>
        </w:rPr>
        <w:t>Analysis: If this internal lookup returns the correct A record but external queries fail, the issue points to firewall settings blocking port 53, or an upstream routing table mismatch.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