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aps/>
          <w:color w:val="2E86C1"/>
          <w:sz w:val="28"/>
          <w:szCs w:val="28"/>
        </w:rPr>
        <w:t xml:space="preserve">USE CASE OVERVIEW</w:t>
      </w:r>
    </w:p>
    <w:p>
      <w:pPr>
        <w:spacing w:after="120"/>
        <w:jc w:val="center"/>
      </w:pPr>
      <w:r>
        <w:rPr>
          <w:rFonts w:ascii="Arial" w:cs="Arial" w:eastAsia="Arial" w:hAnsi="Arial"/>
          <w:b/>
          <w:bCs/>
          <w:color w:val="1B4F72"/>
          <w:sz w:val="52"/>
          <w:szCs w:val="52"/>
        </w:rPr>
        <w:t xml:space="preserve">Market Research</w:t>
      </w:r>
    </w:p>
    <w:p>
      <w:pPr>
        <w:spacing w:after="400"/>
        <w:jc w:val="center"/>
      </w:pPr>
      <w:r>
        <w:rPr>
          <w:rFonts w:ascii="Arial" w:cs="Arial" w:eastAsia="Arial" w:hAnsi="Arial"/>
          <w:b/>
          <w:bCs/>
          <w:color w:val="2E86C1"/>
          <w:sz w:val="52"/>
          <w:szCs w:val="52"/>
        </w:rPr>
        <w:t xml:space="preserve">Email Parser Application</w:t>
      </w:r>
    </w:p>
    <w:p>
      <w:pPr>
        <w:pBdr>
          <w:top w:val="single" w:color="2E86C1" w:sz="2"/>
        </w:pBdr>
        <w:spacing w:before="200" w:after="200"/>
        <w:jc w:val="center"/>
      </w:pPr>
      <w:r>
        <w:rPr>
          <w:rFonts w:ascii="Arial" w:cs="Arial" w:eastAsia="Arial" w:hAnsi="Arial"/>
          <w:color w:val="5D6D7E"/>
          <w:sz w:val="22"/>
          <w:szCs w:val="22"/>
        </w:rPr>
        <w:t xml:space="preserve">Automated inbound email ingestion  →  HTML parsing  →  Structured competitor data</w:t>
      </w:r>
    </w:p>
    <w:p>
      <w:pPr>
        <w:spacing w:before="1200"/>
      </w:pPr>
    </w:p>
    <w:p>
      <w:pPr>
        <w:jc w:val="center"/>
      </w:pPr>
      <w:r>
        <w:rPr>
          <w:rFonts w:ascii="Arial" w:cs="Arial" w:eastAsia="Arial" w:hAnsi="Arial"/>
          <w:i/>
          <w:iCs/>
          <w:color w:val="1B4F72"/>
          <w:sz w:val="24"/>
          <w:szCs w:val="24"/>
        </w:rPr>
        <w:t xml:space="preserve">Built with ServiceNow SDK + Claude Code</w:t>
      </w:r>
    </w:p>
    <w:p>
      <w:pPr>
        <w:spacing w:after="80"/>
        <w:jc w:val="center"/>
      </w:pPr>
      <w:r>
        <w:rPr>
          <w:rFonts w:ascii="Arial" w:cs="Arial" w:eastAsia="Arial" w:hAnsi="Arial"/>
          <w:color w:val="2E86C1"/>
          <w:sz w:val="22"/>
          <w:szCs w:val="22"/>
        </w:rPr>
        <w:t xml:space="preserve">ReAcademy</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4F72"/>
          <w:sz w:val="36"/>
          <w:szCs w:val="36"/>
        </w:rPr>
        <w:t xml:space="preserve">What This Application Does</w:t>
      </w:r>
    </w:p>
    <w:p>
      <w:pPr>
        <w:spacing w:after="120"/>
      </w:pPr>
      <w:r>
        <w:rPr>
          <w:rFonts w:ascii="Arial" w:cs="Arial" w:eastAsia="Arial" w:hAnsi="Arial"/>
          <w:color w:val="2C3E50"/>
          <w:sz w:val="22"/>
          <w:szCs w:val="22"/>
        </w:rPr>
        <w:t xml:space="preserve">This ServiceNow application automatically ingests competitive market research emails, extracts structured competitor data from the HTML body, and stores it as individual searchable records — with zero manual data entry.</w:t>
      </w:r>
    </w:p>
    <w:p>
      <w:pPr>
        <w:spacing w:after="120"/>
      </w:pPr>
      <w:r>
        <w:rPr>
          <w:rFonts w:ascii="Arial" w:cs="Arial" w:eastAsia="Arial" w:hAnsi="Arial"/>
          <w:color w:val="2C3E50"/>
          <w:sz w:val="22"/>
          <w:szCs w:val="22"/>
        </w:rPr>
        <w:t xml:space="preserve">An analyst sends an email with an HTML table of competitor metrics. The application receives it, parses every row, and creates a clean, filterable dataset on the ServiceNow platform.</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High-Level Data Flow</w:t>
      </w:r>
    </w:p>
    <w:p>
      <w:pPr>
        <w:spacing w:after="120"/>
      </w:pPr>
      <w:r>
        <w:rPr>
          <w:rFonts w:ascii="Arial" w:cs="Arial" w:eastAsia="Arial" w:hAnsi="Arial"/>
          <w:color w:val="2C3E50"/>
          <w:sz w:val="22"/>
          <w:szCs w:val="22"/>
        </w:rPr>
        <w:t xml:space="preserve">The end-to-end pipeline works like this:</w:t>
      </w:r>
    </w:p>
    <w:p>
      <w:pPr>
        <w:pStyle w:val="ListParagraph"/>
        <w:numPr>
          <w:ilvl w:val="0"/>
          <w:numId w:val="2"/>
        </w:numPr>
        <w:spacing w:after="80"/>
      </w:pPr>
      <w:r>
        <w:rPr>
          <w:rFonts w:ascii="Arial" w:cs="Arial" w:eastAsia="Arial" w:hAnsi="Arial"/>
          <w:color w:val="2C3E50"/>
          <w:sz w:val="22"/>
          <w:szCs w:val="22"/>
        </w:rPr>
        <w:t xml:space="preserve">An email arrives with "Market Research" in the subject line</w:t>
      </w:r>
    </w:p>
    <w:p>
      <w:pPr>
        <w:pStyle w:val="ListParagraph"/>
        <w:numPr>
          <w:ilvl w:val="0"/>
          <w:numId w:val="2"/>
        </w:numPr>
        <w:spacing w:after="80"/>
      </w:pPr>
      <w:r>
        <w:rPr>
          <w:rFonts w:ascii="Arial" w:cs="Arial" w:eastAsia="Arial" w:hAnsi="Arial"/>
          <w:color w:val="2C3E50"/>
          <w:sz w:val="22"/>
          <w:szCs w:val="22"/>
        </w:rPr>
        <w:t xml:space="preserve">The Inbound Email Flow triggers automatically</w:t>
      </w:r>
    </w:p>
    <w:p>
      <w:pPr>
        <w:pStyle w:val="ListParagraph"/>
        <w:numPr>
          <w:ilvl w:val="0"/>
          <w:numId w:val="2"/>
        </w:numPr>
        <w:spacing w:after="80"/>
      </w:pPr>
      <w:r>
        <w:rPr>
          <w:rFonts w:ascii="Arial" w:cs="Arial" w:eastAsia="Arial" w:hAnsi="Arial"/>
          <w:color w:val="2C3E50"/>
          <w:sz w:val="22"/>
          <w:szCs w:val="22"/>
        </w:rPr>
        <w:t xml:space="preserve">Two records are created: one in the Email Data archive table, one seed record in the Market Research table</w:t>
      </w:r>
    </w:p>
    <w:p>
      <w:pPr>
        <w:pStyle w:val="ListParagraph"/>
        <w:numPr>
          <w:ilvl w:val="0"/>
          <w:numId w:val="2"/>
        </w:numPr>
        <w:spacing w:after="80"/>
      </w:pPr>
      <w:r>
        <w:rPr>
          <w:rFonts w:ascii="Arial" w:cs="Arial" w:eastAsia="Arial" w:hAnsi="Arial"/>
          <w:color w:val="2C3E50"/>
          <w:sz w:val="22"/>
          <w:szCs w:val="22"/>
        </w:rPr>
        <w:t xml:space="preserve">A Business Rule fires on the seed record (after insert)</w:t>
      </w:r>
    </w:p>
    <w:p>
      <w:pPr>
        <w:pStyle w:val="ListParagraph"/>
        <w:numPr>
          <w:ilvl w:val="0"/>
          <w:numId w:val="2"/>
        </w:numPr>
        <w:spacing w:after="80"/>
      </w:pPr>
      <w:r>
        <w:rPr>
          <w:rFonts w:ascii="Arial" w:cs="Arial" w:eastAsia="Arial" w:hAnsi="Arial"/>
          <w:color w:val="2C3E50"/>
          <w:sz w:val="22"/>
          <w:szCs w:val="22"/>
        </w:rPr>
        <w:t xml:space="preserve">The BR parses the HTML body — extracts every &lt;tr&gt;/&lt;td&gt; from the email’s table</w:t>
      </w:r>
    </w:p>
    <w:p>
      <w:pPr>
        <w:pStyle w:val="ListParagraph"/>
        <w:numPr>
          <w:ilvl w:val="0"/>
          <w:numId w:val="2"/>
        </w:numPr>
        <w:spacing w:after="80"/>
      </w:pPr>
      <w:r>
        <w:rPr>
          <w:rFonts w:ascii="Arial" w:cs="Arial" w:eastAsia="Arial" w:hAnsi="Arial"/>
          <w:color w:val="2C3E50"/>
          <w:sz w:val="22"/>
          <w:szCs w:val="22"/>
        </w:rPr>
        <w:t xml:space="preserve">The seed record is updated with the first competitor’s data; additional records are inserted for each remaining competitor</w:t>
      </w:r>
    </w:p>
    <w:p>
      <w:pPr>
        <w:pStyle w:val="ListParagraph"/>
        <w:numPr>
          <w:ilvl w:val="0"/>
          <w:numId w:val="2"/>
        </w:numPr>
        <w:spacing w:after="80"/>
      </w:pPr>
      <w:r>
        <w:rPr>
          <w:rFonts w:ascii="Arial" w:cs="Arial" w:eastAsia="Arial" w:hAnsi="Arial"/>
          <w:color w:val="2C3E50"/>
          <w:sz w:val="22"/>
          <w:szCs w:val="22"/>
        </w:rPr>
        <w:t xml:space="preserve">All records have is_parsed = true, so the BR does not re-fire (recursion guard)</w:t>
      </w:r>
    </w:p>
    <w:p>
      <w:pPr>
        <w:pStyle w:val="ListParagraph"/>
        <w:numPr>
          <w:ilvl w:val="0"/>
          <w:numId w:val="2"/>
        </w:numPr>
        <w:spacing w:after="80"/>
      </w:pPr>
      <w:r>
        <w:rPr>
          <w:rFonts w:ascii="Arial" w:cs="Arial" w:eastAsia="Arial" w:hAnsi="Arial"/>
          <w:color w:val="2C3E50"/>
          <w:sz w:val="22"/>
          <w:szCs w:val="22"/>
        </w:rPr>
        <w:t xml:space="preserve">Users browse the structured data via the application’s navigation menu</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Application Components</w:t>
      </w:r>
    </w:p>
    <w:p>
      <w:pPr>
        <w:pStyle w:val="Heading2"/>
        <w:spacing w:before="280" w:after="160"/>
      </w:pPr>
      <w:r>
        <w:rPr>
          <w:rFonts w:ascii="Arial" w:cs="Arial" w:eastAsia="Arial" w:hAnsi="Arial"/>
          <w:b/>
          <w:bCs/>
          <w:color w:val="2E86C1"/>
          <w:sz w:val="28"/>
          <w:szCs w:val="28"/>
        </w:rPr>
        <w:t xml:space="preserve">1. Inbound Email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src/fluent/flows/inbound-email-parser.now.ts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Trigger</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trigger.application.inboundEmail</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Condition</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subject LIKE Market Research</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Record Type</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new</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The flow captures the sender address, subject, and the raw HTML body (not plain text) so the full &lt;table&gt; structure is preserved for parsing. It creates two records simultaneously:</w:t>
      </w:r>
    </w:p>
    <w:p>
      <w:pPr>
        <w:pStyle w:val="ListParagraph"/>
        <w:numPr>
          <w:ilvl w:val="0"/>
          <w:numId w:val="3"/>
        </w:numPr>
        <w:spacing w:after="80"/>
      </w:pPr>
      <w:r>
        <w:rPr>
          <w:rFonts w:ascii="Arial" w:cs="Arial" w:eastAsia="Arial" w:hAnsi="Arial"/>
          <w:color w:val="2C3E50"/>
          <w:sz w:val="22"/>
          <w:szCs w:val="22"/>
        </w:rPr>
        <w:t xml:space="preserve">Email Data table — permanent archive of the raw email (status = parsed)</w:t>
      </w:r>
    </w:p>
    <w:p>
      <w:pPr>
        <w:pStyle w:val="ListParagraph"/>
        <w:numPr>
          <w:ilvl w:val="0"/>
          <w:numId w:val="3"/>
        </w:numPr>
        <w:spacing w:after="80"/>
      </w:pPr>
      <w:r>
        <w:rPr>
          <w:rFonts w:ascii="Arial" w:cs="Arial" w:eastAsia="Arial" w:hAnsi="Arial"/>
          <w:color w:val="2C3E50"/>
          <w:sz w:val="22"/>
          <w:szCs w:val="22"/>
        </w:rPr>
        <w:t xml:space="preserve">Market Research table — seed record for the Business Rule to process (status = new, is_parsed = false)</w:t>
      </w:r>
    </w:p>
    <w:p>
      <w:pPr>
        <w:pStyle w:val="Heading2"/>
        <w:spacing w:before="280" w:after="160"/>
      </w:pPr>
      <w:r>
        <w:rPr>
          <w:rFonts w:ascii="Arial" w:cs="Arial" w:eastAsia="Arial" w:hAnsi="Arial"/>
          <w:b/>
          <w:bCs/>
          <w:color w:val="2E86C1"/>
          <w:sz w:val="28"/>
          <w:szCs w:val="28"/>
        </w:rPr>
        <w:t xml:space="preserve">2. Email Data Table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sender_email</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address of the sender</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sender_name</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Display name of the sender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subject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subject line</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received_date</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When the email was received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body_text</w:t>
            </w:r>
          </w:p>
        </w:tc>
        <w:tc>
          <w:tcPr>
            <w:tcW w:type="dxa" w:w="1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Journal / HTML</w:t>
            </w:r>
          </w:p>
        </w:tc>
        <w:tc>
          <w:tcPr>
            <w:tcW w:type="dxa" w:w="5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HTML body of the email</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18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Choice</w:t>
            </w:r>
          </w:p>
        </w:tc>
        <w:tc>
          <w:tcPr>
            <w:tcW w:type="dxa" w:w="5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Processing status (new / parsed / error)</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This table is a read-only archive. Every inbound email gets exactly one record here regardless of whether parsing succeeds or fails. It serves as an audit trail and a fallback if parsing needs to be re-run.</w:t>
      </w:r>
    </w:p>
    <w:p>
      <w:pPr>
        <w:pStyle w:val="Heading2"/>
        <w:spacing w:before="280" w:after="160"/>
      </w:pPr>
      <w:r>
        <w:rPr>
          <w:rFonts w:ascii="Arial" w:cs="Arial" w:eastAsia="Arial" w:hAnsi="Arial"/>
          <w:b/>
          <w:bCs/>
          <w:color w:val="2E86C1"/>
          <w:sz w:val="28"/>
          <w:szCs w:val="28"/>
        </w:rPr>
        <w:t xml:space="preserve">3. Market Research Table (Primary)</w:t>
      </w:r>
    </w:p>
    <w:p>
      <w:pPr>
        <w:spacing w:after="120"/>
      </w:pPr>
      <w:r>
        <w:rPr>
          <w:rFonts w:ascii="Arial" w:cs="Arial" w:eastAsia="Arial" w:hAnsi="Arial"/>
          <w:color w:val="2C3E50"/>
          <w:sz w:val="22"/>
          <w:szCs w:val="22"/>
        </w:rPr>
        <w:t xml:space="preserve">This is the main working table. It starts with one seed record per email and ends with one record per competitor after the Business Rule runs.</w:t>
      </w:r>
    </w:p>
    <w:p>
      <w:pPr>
        <w:spacing w:after="120"/>
      </w:pPr>
      <w:r>
        <w:rPr>
          <w:rFonts w:ascii="Arial" w:cs="Arial" w:eastAsia="Arial" w:hAnsi="Arial"/>
          <w:color w:val="2C3E50"/>
          <w:sz w:val="22"/>
          <w:szCs w:val="22"/>
        </w:rPr>
        <w:t xml:space="preserve"/>
      </w:r>
    </w:p>
    <w:p>
      <w:pPr>
        <w:spacing w:before="200" w:after="120"/>
      </w:pPr>
      <w:r>
        <w:rPr>
          <w:rFonts w:ascii="Arial" w:cs="Arial" w:eastAsia="Arial" w:hAnsi="Arial"/>
          <w:b/>
          <w:bCs/>
          <w:color w:val="1B4F72"/>
          <w:sz w:val="24"/>
          <w:szCs w:val="24"/>
        </w:rPr>
        <w:t xml:space="preserve">Email Metadata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sender_email</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Who sent the research email</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sender_name</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Sender display name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subject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subject</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received_date</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DateTime</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When received</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body_text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Journal / HTML</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Raw HTML for re-parsing if needed</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status</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Choice</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Processing status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is_parsed</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Boolean</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Recursion guard (false = seed, true = processed)</w:t>
            </w:r>
          </w:p>
        </w:tc>
      </w:tr>
    </w:tbl>
    <w:p>
      <w:pPr>
        <w:spacing w:after="120"/>
      </w:pPr>
      <w:r>
        <w:rPr>
          <w:rFonts w:ascii="Arial" w:cs="Arial" w:eastAsia="Arial" w:hAnsi="Arial"/>
          <w:color w:val="2C3E50"/>
          <w:sz w:val="22"/>
          <w:szCs w:val="22"/>
        </w:rPr>
        <w:t xml:space="preserve"/>
      </w:r>
    </w:p>
    <w:p>
      <w:pPr>
        <w:spacing w:before="200" w:after="120"/>
      </w:pPr>
      <w:r>
        <w:rPr>
          <w:rFonts w:ascii="Arial" w:cs="Arial" w:eastAsia="Arial" w:hAnsi="Arial"/>
          <w:b/>
          <w:bCs/>
          <w:color w:val="1B4F72"/>
          <w:sz w:val="24"/>
          <w:szCs w:val="24"/>
        </w:rPr>
        <w:t xml:space="preserve">Competitor Data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competitor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Company/product name</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segment</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Market segment (Enterprise, SMB, etc.)</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pricing_tier</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Pricing category (Premium, Mid, Budget)</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market_share</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Market share percentage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nps</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Net Promoter Score</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qoq_growth</w:t>
            </w:r>
          </w:p>
        </w:tc>
        <w:tc>
          <w:tcPr>
            <w:tcW w:type="dxa" w:w="2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Quarter-over-quarter growth rate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key_insight</w:t>
            </w:r>
          </w:p>
        </w:tc>
        <w:tc>
          <w:tcPr>
            <w:tcW w:type="dxa" w:w="2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String</w:t>
            </w:r>
          </w:p>
        </w:tc>
        <w:tc>
          <w:tcPr>
            <w:tcW w:type="dxa" w:w="4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Analyst’s primary observation</w:t>
            </w:r>
          </w:p>
        </w:tc>
      </w:tr>
    </w:tbl>
    <w:p>
      <w:pPr>
        <w:pStyle w:val="Heading2"/>
        <w:spacing w:before="280" w:after="160"/>
      </w:pPr>
      <w:r>
        <w:rPr>
          <w:rFonts w:ascii="Arial" w:cs="Arial" w:eastAsia="Arial" w:hAnsi="Arial"/>
          <w:b/>
          <w:bCs/>
          <w:color w:val="2E86C1"/>
          <w:sz w:val="28"/>
          <w:szCs w:val="28"/>
        </w:rPr>
        <w:t xml:space="preserve">4. Business Rule — Competitor Parser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src/fluent/business-rules/market-research-parser.now.ts</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Script</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src/server/parseHtmlTable.server.js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When</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After insert</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Condition</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is_parsed = FALSE (encoded query filter)</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Table</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Market Research table</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This is where the magic happens. The Business Rule:</w:t>
      </w:r>
    </w:p>
    <w:p>
      <w:pPr>
        <w:pStyle w:val="ListParagraph"/>
        <w:numPr>
          <w:ilvl w:val="0"/>
          <w:numId w:val="4"/>
        </w:numPr>
        <w:spacing w:after="80"/>
      </w:pPr>
      <w:r>
        <w:rPr>
          <w:rFonts w:ascii="Arial" w:cs="Arial" w:eastAsia="Arial" w:hAnsi="Arial"/>
          <w:color w:val="2C3E50"/>
          <w:sz w:val="22"/>
          <w:szCs w:val="22"/>
        </w:rPr>
        <w:t xml:space="preserve">Reads the body_text field (raw HTML from the email)</w:t>
      </w:r>
    </w:p>
    <w:p>
      <w:pPr>
        <w:pStyle w:val="ListParagraph"/>
        <w:numPr>
          <w:ilvl w:val="0"/>
          <w:numId w:val="4"/>
        </w:numPr>
        <w:spacing w:after="80"/>
      </w:pPr>
      <w:r>
        <w:rPr>
          <w:rFonts w:ascii="Arial" w:cs="Arial" w:eastAsia="Arial" w:hAnsi="Arial"/>
          <w:color w:val="2C3E50"/>
          <w:sz w:val="22"/>
          <w:szCs w:val="22"/>
        </w:rPr>
        <w:t xml:space="preserve">Calls parseHtmlTable() — a server-side script that uses regex to extract every &lt;tr&gt;/&lt;td&gt;, strips HTML tags and entities (&amp;minus; → -, &amp;nbsp; → space, etc.)</w:t>
      </w:r>
    </w:p>
    <w:p>
      <w:pPr>
        <w:pStyle w:val="ListParagraph"/>
        <w:numPr>
          <w:ilvl w:val="0"/>
          <w:numId w:val="4"/>
        </w:numPr>
        <w:spacing w:after="80"/>
      </w:pPr>
      <w:r>
        <w:rPr>
          <w:rFonts w:ascii="Arial" w:cs="Arial" w:eastAsia="Arial" w:hAnsi="Arial"/>
          <w:color w:val="2C3E50"/>
          <w:sz w:val="22"/>
          <w:szCs w:val="22"/>
        </w:rPr>
        <w:t xml:space="preserve">Updates the current (seed) record with the first competitor’s data and sets is_parsed = true</w:t>
      </w:r>
    </w:p>
    <w:p>
      <w:pPr>
        <w:pStyle w:val="ListParagraph"/>
        <w:numPr>
          <w:ilvl w:val="0"/>
          <w:numId w:val="4"/>
        </w:numPr>
        <w:spacing w:after="80"/>
      </w:pPr>
      <w:r>
        <w:rPr>
          <w:rFonts w:ascii="Arial" w:cs="Arial" w:eastAsia="Arial" w:hAnsi="Arial"/>
          <w:color w:val="2C3E50"/>
          <w:sz w:val="22"/>
          <w:szCs w:val="22"/>
        </w:rPr>
        <w:t xml:space="preserve">Inserts new GlideRecord rows for each remaining competitor (2nd, 3rd, 4th, etc.), each with is_parsed = true</w:t>
      </w:r>
    </w:p>
    <w:p>
      <w:pPr>
        <w:pBdr>
          <w:left w:val="single" w:color="1E8449" w:sz="6"/>
        </w:pBdr>
        <w:shd w:fill="E8F8F5" w:val="clear"/>
        <w:spacing w:before="120" w:after="120"/>
        <w:ind w:left="360" w:right="360"/>
      </w:pPr>
      <w:r>
        <w:rPr>
          <w:rFonts w:ascii="Arial" w:cs="Arial" w:eastAsia="Arial" w:hAnsi="Arial"/>
          <w:color w:val="0E6251"/>
          <w:sz w:val="22"/>
          <w:szCs w:val="22"/>
        </w:rPr>
        <w:t xml:space="preserve">Recursion guard: Newly inserted records have is_parsed = true, so the filter condition (is_parsed = FALSE) prevents the BR from re-firing on them. This is a simple and reliable pattern for self-inserting Business Rules.</w:t>
      </w:r>
    </w:p>
    <w:p>
      <w:pPr>
        <w:pStyle w:val="Heading2"/>
        <w:spacing w:before="280" w:after="160"/>
      </w:pPr>
      <w:r>
        <w:rPr>
          <w:rFonts w:ascii="Arial" w:cs="Arial" w:eastAsia="Arial" w:hAnsi="Arial"/>
          <w:b/>
          <w:bCs/>
          <w:color w:val="2E86C1"/>
          <w:sz w:val="28"/>
          <w:szCs w:val="28"/>
        </w:rPr>
        <w:t xml:space="preserve">5. Navigation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Points To</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Market Data</w:t>
            </w:r>
          </w:p>
        </w:tc>
        <w:tc>
          <w:tcPr>
            <w:tcW w:type="dxa" w:w="61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List view of the Market Research table</w:t>
            </w:r>
          </w:p>
        </w:tc>
      </w:tr>
      <w:tr>
        <w:tc>
          <w:tcPr>
            <w:tcW w:type="dxa" w:w="3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Email Data</w:t>
            </w:r>
          </w:p>
        </w:tc>
        <w:tc>
          <w:tcPr>
            <w:tcW w:type="dxa" w:w="61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List view of the Email Data table</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Both list views are accessible from the left navigator under the "Market Research" application menu group.</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Sample Input Email</w:t>
      </w:r>
    </w:p>
    <w:p>
      <w:pPr>
        <w:spacing w:after="120"/>
      </w:pPr>
      <w:r>
        <w:rPr>
          <w:rFonts w:ascii="Arial" w:cs="Arial" w:eastAsia="Arial" w:hAnsi="Arial"/>
          <w:color w:val="2C3E50"/>
          <w:sz w:val="22"/>
          <w:szCs w:val="22"/>
        </w:rPr>
        <w:t xml:space="preserve">The application expects emails with an HTML table in the body. Here is an example of what the email content looks like:</w:t>
      </w:r>
    </w:p>
    <w:p>
      <w:pPr>
        <w:spacing w:after="120"/>
      </w:pPr>
      <w:r>
        <w:rPr>
          <w:rFonts w:ascii="Arial" w:cs="Arial" w:eastAsia="Arial" w:hAnsi="Arial"/>
          <w:color w:val="2C3E50"/>
          <w:sz w:val="22"/>
          <w:szCs w:val="22"/>
        </w:rPr>
        <w:t xml:space="preserve"/>
      </w:r>
    </w:p>
    <w:p>
      <w:pPr>
        <w:spacing w:before="200" w:after="120"/>
      </w:pPr>
      <w:r>
        <w:rPr>
          <w:rFonts w:ascii="Arial" w:cs="Arial" w:eastAsia="Arial" w:hAnsi="Arial"/>
          <w:b/>
          <w:bCs/>
          <w:color w:val="1B4F72"/>
          <w:sz w:val="24"/>
          <w:szCs w:val="24"/>
        </w:rPr>
        <w:t xml:space="preserve">Subject: Market Research — Q1 2025 Competitive Landscape</w:t>
      </w:r>
    </w:p>
    <w:p>
      <w:pPr>
        <w:spacing w:before="200" w:after="120"/>
      </w:pPr>
      <w:r>
        <w:rPr>
          <w:rFonts w:ascii="Arial" w:cs="Arial" w:eastAsia="Arial" w:hAnsi="Arial"/>
          <w:b/>
          <w:bCs/>
          <w:color w:val="1B4F72"/>
          <w:sz w:val="24"/>
          <w:szCs w:val="24"/>
        </w:rPr>
        <w:t xml:space="preserve">From: analyst@company.com</w:t>
      </w:r>
    </w:p>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Email body contains an HTML table with columns: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000"/>
        <w:gridCol w:w="1000"/>
        <w:gridCol w:w="700"/>
        <w:gridCol w:w="1000"/>
        <w:gridCol w:w="2360"/>
      </w:tblGrid>
      <w:tr>
        <w:trPr>
          <w:tblHeader/>
        </w:trPr>
        <w:tc>
          <w:tcPr>
            <w:tcW w:type="dxa" w:w="1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11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Pricing Tier</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Market Share</w:t>
            </w:r>
          </w:p>
        </w:tc>
        <w:tc>
          <w:tcPr>
            <w:tcW w:type="dxa" w:w="7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NPS</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QoQ Growth</w:t>
            </w:r>
          </w:p>
        </w:tc>
        <w:tc>
          <w:tcPr>
            <w:tcW w:type="dxa" w:w="2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AlphaCorp</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Enterprise</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Premium</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31%</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72</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+4.2%</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Expanding into APAC with localized pricing</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BetaSoft</w:t>
            </w:r>
          </w:p>
        </w:tc>
        <w:tc>
          <w:tcPr>
            <w:tcW w:type="dxa" w:w="11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Mid-Market</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Mid</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18%</w:t>
            </w:r>
          </w:p>
        </w:tc>
        <w:tc>
          <w:tcPr>
            <w:tcW w:type="dxa" w:w="7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58</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-1.8%</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Lost 3 major accounts to AlphaCorp</w:t>
            </w:r>
          </w:p>
        </w:tc>
      </w:tr>
      <w:tr>
        <w:tc>
          <w:tcPr>
            <w:tcW w:type="dxa" w:w="1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GammaIO</w:t>
            </w:r>
          </w:p>
        </w:tc>
        <w:tc>
          <w:tcPr>
            <w:tcW w:type="dxa" w:w="11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SMB</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Budget</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w:t>
            </w:r>
          </w:p>
        </w:tc>
        <w:tc>
          <w:tcPr>
            <w:tcW w:type="dxa" w:w="7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45</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+8.1%</w:t>
            </w:r>
          </w:p>
        </w:tc>
        <w:tc>
          <w:tcPr>
            <w:tcW w:type="dxa" w:w="2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Viral growth from TikTok campaign</w:t>
            </w:r>
          </w:p>
        </w:tc>
      </w:tr>
      <w:tr>
        <w:tc>
          <w:tcPr>
            <w:tcW w:type="dxa" w:w="12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DeltaCloud</w:t>
            </w:r>
          </w:p>
        </w:tc>
        <w:tc>
          <w:tcPr>
            <w:tcW w:type="dxa" w:w="11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Enterprise</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Premium</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24%</w:t>
            </w:r>
          </w:p>
        </w:tc>
        <w:tc>
          <w:tcPr>
            <w:tcW w:type="dxa" w:w="7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67</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+2.5%</w:t>
            </w:r>
          </w:p>
        </w:tc>
        <w:tc>
          <w:tcPr>
            <w:tcW w:type="dxa" w:w="23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New AI features driving upsell</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After processing, this single email produces 4 records in the Market Research table — one per competitor — plus 1 archive record in the Email Data table.</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Project File Structure</w:t>
      </w:r>
    </w:p>
    <w:p>
      <w:pPr>
        <w:shd w:fill="EBF5FB" w:val="clear"/>
        <w:spacing w:after="40"/>
        <w:ind w:left="360"/>
      </w:pPr>
      <w:r>
        <w:rPr>
          <w:rFonts w:ascii="Courier New" w:cs="Courier New" w:eastAsia="Courier New" w:hAnsi="Courier New"/>
          <w:color w:val="1A5276"/>
          <w:sz w:val="20"/>
          <w:szCs w:val="20"/>
        </w:rPr>
        <w:t xml:space="preserve">my-market-research-app/</w:t>
      </w:r>
    </w:p>
    <w:p>
      <w:pPr>
        <w:shd w:fill="EBF5FB" w:val="clear"/>
        <w:spacing w:after="40"/>
        <w:ind w:left="360"/>
      </w:pPr>
      <w:r>
        <w:rPr>
          <w:rFonts w:ascii="Courier New" w:cs="Courier New" w:eastAsia="Courier New" w:hAnsi="Courier New"/>
          <w:color w:val="1A5276"/>
          <w:sz w:val="20"/>
          <w:szCs w:val="20"/>
        </w:rPr>
        <w:t xml:space="preserve">├── now.config.json</w:t>
      </w:r>
    </w:p>
    <w:p>
      <w:pPr>
        <w:shd w:fill="EBF5FB" w:val="clear"/>
        <w:spacing w:after="40"/>
        <w:ind w:left="360"/>
      </w:pPr>
      <w:r>
        <w:rPr>
          <w:rFonts w:ascii="Courier New" w:cs="Courier New" w:eastAsia="Courier New" w:hAnsi="Courier New"/>
          <w:color w:val="1A5276"/>
          <w:sz w:val="20"/>
          <w:szCs w:val="20"/>
        </w:rPr>
        <w:t xml:space="preserve">├── package.json</w:t>
      </w:r>
    </w:p>
    <w:p>
      <w:pPr>
        <w:shd w:fill="EBF5FB" w:val="clear"/>
        <w:spacing w:after="40"/>
        <w:ind w:left="360"/>
      </w:pPr>
      <w:r>
        <w:rPr>
          <w:rFonts w:ascii="Courier New" w:cs="Courier New" w:eastAsia="Courier New" w:hAnsi="Courier New"/>
          <w:color w:val="1A5276"/>
          <w:sz w:val="20"/>
          <w:szCs w:val="20"/>
        </w:rPr>
        <w:t xml:space="preserve">├── src/</w:t>
      </w:r>
    </w:p>
    <w:p>
      <w:pPr>
        <w:shd w:fill="EBF5FB" w:val="clear"/>
        <w:spacing w:after="40"/>
        <w:ind w:left="360"/>
      </w:pPr>
      <w:r>
        <w:rPr>
          <w:rFonts w:ascii="Courier New" w:cs="Courier New" w:eastAsia="Courier New" w:hAnsi="Courier New"/>
          <w:color w:val="1A5276"/>
          <w:sz w:val="20"/>
          <w:szCs w:val="20"/>
        </w:rPr>
        <w:t xml:space="preserve">│   ├── fluent/</w:t>
      </w:r>
    </w:p>
    <w:p>
      <w:pPr>
        <w:shd w:fill="EBF5FB" w:val="clear"/>
        <w:spacing w:after="40"/>
        <w:ind w:left="360"/>
      </w:pPr>
      <w:r>
        <w:rPr>
          <w:rFonts w:ascii="Courier New" w:cs="Courier New" w:eastAsia="Courier New" w:hAnsi="Courier New"/>
          <w:color w:val="1A5276"/>
          <w:sz w:val="20"/>
          <w:szCs w:val="20"/>
        </w:rPr>
        <w:t xml:space="preserve">│   │   ├── tables/</w:t>
      </w:r>
    </w:p>
    <w:p>
      <w:pPr>
        <w:shd w:fill="EBF5FB" w:val="clear"/>
        <w:spacing w:after="40"/>
        <w:ind w:left="360"/>
      </w:pPr>
      <w:r>
        <w:rPr>
          <w:rFonts w:ascii="Courier New" w:cs="Courier New" w:eastAsia="Courier New" w:hAnsi="Courier New"/>
          <w:color w:val="1A5276"/>
          <w:sz w:val="20"/>
          <w:szCs w:val="20"/>
        </w:rPr>
        <w:t xml:space="preserve">│   │   │   ├── email-data.now.ts</w:t>
      </w:r>
    </w:p>
    <w:p>
      <w:pPr>
        <w:shd w:fill="EBF5FB" w:val="clear"/>
        <w:spacing w:after="40"/>
        <w:ind w:left="360"/>
      </w:pPr>
      <w:r>
        <w:rPr>
          <w:rFonts w:ascii="Courier New" w:cs="Courier New" w:eastAsia="Courier New" w:hAnsi="Courier New"/>
          <w:color w:val="1A5276"/>
          <w:sz w:val="20"/>
          <w:szCs w:val="20"/>
        </w:rPr>
        <w:t xml:space="preserve">│   │   │   └── market-research.now.ts</w:t>
      </w:r>
    </w:p>
    <w:p>
      <w:pPr>
        <w:shd w:fill="EBF5FB" w:val="clear"/>
        <w:spacing w:after="40"/>
        <w:ind w:left="360"/>
      </w:pPr>
      <w:r>
        <w:rPr>
          <w:rFonts w:ascii="Courier New" w:cs="Courier New" w:eastAsia="Courier New" w:hAnsi="Courier New"/>
          <w:color w:val="1A5276"/>
          <w:sz w:val="20"/>
          <w:szCs w:val="20"/>
        </w:rPr>
        <w:t xml:space="preserve">│   │   ├── flows/</w:t>
      </w:r>
    </w:p>
    <w:p>
      <w:pPr>
        <w:shd w:fill="EBF5FB" w:val="clear"/>
        <w:spacing w:after="40"/>
        <w:ind w:left="360"/>
      </w:pPr>
      <w:r>
        <w:rPr>
          <w:rFonts w:ascii="Courier New" w:cs="Courier New" w:eastAsia="Courier New" w:hAnsi="Courier New"/>
          <w:color w:val="1A5276"/>
          <w:sz w:val="20"/>
          <w:szCs w:val="20"/>
        </w:rPr>
        <w:t xml:space="preserve">│   │   │   └── inbound-email-parser.now.ts</w:t>
      </w:r>
    </w:p>
    <w:p>
      <w:pPr>
        <w:shd w:fill="EBF5FB" w:val="clear"/>
        <w:spacing w:after="40"/>
        <w:ind w:left="360"/>
      </w:pPr>
      <w:r>
        <w:rPr>
          <w:rFonts w:ascii="Courier New" w:cs="Courier New" w:eastAsia="Courier New" w:hAnsi="Courier New"/>
          <w:color w:val="1A5276"/>
          <w:sz w:val="20"/>
          <w:szCs w:val="20"/>
        </w:rPr>
        <w:t xml:space="preserve">│   │   ├── business-rules/</w:t>
      </w:r>
    </w:p>
    <w:p>
      <w:pPr>
        <w:shd w:fill="EBF5FB" w:val="clear"/>
        <w:spacing w:after="40"/>
        <w:ind w:left="360"/>
      </w:pPr>
      <w:r>
        <w:rPr>
          <w:rFonts w:ascii="Courier New" w:cs="Courier New" w:eastAsia="Courier New" w:hAnsi="Courier New"/>
          <w:color w:val="1A5276"/>
          <w:sz w:val="20"/>
          <w:szCs w:val="20"/>
        </w:rPr>
        <w:t xml:space="preserve">│   │   │   └── market-research-parser.now.ts</w:t>
      </w:r>
    </w:p>
    <w:p>
      <w:pPr>
        <w:shd w:fill="EBF5FB" w:val="clear"/>
        <w:spacing w:after="40"/>
        <w:ind w:left="360"/>
      </w:pPr>
      <w:r>
        <w:rPr>
          <w:rFonts w:ascii="Courier New" w:cs="Courier New" w:eastAsia="Courier New" w:hAnsi="Courier New"/>
          <w:color w:val="1A5276"/>
          <w:sz w:val="20"/>
          <w:szCs w:val="20"/>
        </w:rPr>
        <w:t xml:space="preserve">│   │   └── navigation/</w:t>
      </w:r>
    </w:p>
    <w:p>
      <w:pPr>
        <w:shd w:fill="EBF5FB" w:val="clear"/>
        <w:spacing w:after="40"/>
        <w:ind w:left="360"/>
      </w:pPr>
      <w:r>
        <w:rPr>
          <w:rFonts w:ascii="Courier New" w:cs="Courier New" w:eastAsia="Courier New" w:hAnsi="Courier New"/>
          <w:color w:val="1A5276"/>
          <w:sz w:val="20"/>
          <w:szCs w:val="20"/>
        </w:rPr>
        <w:t xml:space="preserve">│   │       └── application-menu.now.ts</w:t>
      </w:r>
    </w:p>
    <w:p>
      <w:pPr>
        <w:shd w:fill="EBF5FB" w:val="clear"/>
        <w:spacing w:after="40"/>
        <w:ind w:left="360"/>
      </w:pPr>
      <w:r>
        <w:rPr>
          <w:rFonts w:ascii="Courier New" w:cs="Courier New" w:eastAsia="Courier New" w:hAnsi="Courier New"/>
          <w:color w:val="1A5276"/>
          <w:sz w:val="20"/>
          <w:szCs w:val="20"/>
        </w:rPr>
        <w:t xml:space="preserve">│   └── server/</w:t>
      </w:r>
    </w:p>
    <w:p>
      <w:pPr>
        <w:shd w:fill="EBF5FB" w:val="clear"/>
        <w:spacing w:after="40"/>
        <w:ind w:left="360"/>
      </w:pPr>
      <w:r>
        <w:rPr>
          <w:rFonts w:ascii="Courier New" w:cs="Courier New" w:eastAsia="Courier New" w:hAnsi="Courier New"/>
          <w:color w:val="1A5276"/>
          <w:sz w:val="20"/>
          <w:szCs w:val="20"/>
        </w:rPr>
        <w:t xml:space="preserve">│       └── parseHtmlTable.server.js</w:t>
      </w:r>
    </w:p>
    <w:p>
      <w:pPr>
        <w:shd w:fill="EBF5FB" w:val="clear"/>
        <w:spacing w:after="40"/>
        <w:ind w:left="360"/>
      </w:pPr>
      <w:r>
        <w:rPr>
          <w:rFonts w:ascii="Courier New" w:cs="Courier New" w:eastAsia="Courier New" w:hAnsi="Courier New"/>
          <w:color w:val="1A5276"/>
          <w:sz w:val="20"/>
          <w:szCs w:val="20"/>
        </w:rPr>
        <w:t xml:space="preserve">└── metadata/          (auto-generated, do not edit)</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Build and Deploy</w:t>
      </w:r>
    </w:p>
    <w:p>
      <w:pPr>
        <w:spacing w:after="120"/>
      </w:pPr>
      <w:r>
        <w:rPr>
          <w:rFonts w:ascii="Arial" w:cs="Arial" w:eastAsia="Arial" w:hAnsi="Arial"/>
          <w:color w:val="2C3E50"/>
          <w:sz w:val="22"/>
          <w:szCs w:val="22"/>
        </w:rPr>
        <w:t xml:space="preserve">With all Fluent files in place, deploying is two commands:</w:t>
      </w:r>
    </w:p>
    <w:p>
      <w:pPr>
        <w:shd w:fill="EBF5FB" w:val="clear"/>
        <w:spacing w:after="40"/>
        <w:ind w:left="360"/>
      </w:pPr>
      <w:r>
        <w:rPr>
          <w:rFonts w:ascii="Courier New" w:cs="Courier New" w:eastAsia="Courier New" w:hAnsi="Courier New"/>
          <w:color w:val="1A5276"/>
          <w:sz w:val="20"/>
          <w:szCs w:val="20"/>
        </w:rPr>
        <w:t xml:space="preserve"># Compile Fluent to metadata XML</w:t>
      </w:r>
    </w:p>
    <w:p>
      <w:pPr>
        <w:shd w:fill="EBF5FB" w:val="clear"/>
        <w:spacing w:after="40"/>
        <w:ind w:left="360"/>
      </w:pPr>
      <w:r>
        <w:rPr>
          <w:rFonts w:ascii="Courier New" w:cs="Courier New" w:eastAsia="Courier New" w:hAnsi="Courier New"/>
          <w:color w:val="1A5276"/>
          <w:sz w:val="20"/>
          <w:szCs w:val="20"/>
        </w:rPr>
        <w:t xml:space="preserve">now-sdk build</w:t>
      </w:r>
    </w:p>
    <w:p>
      <w:pPr>
        <w:shd w:fill="EBF5FB" w:val="clear"/>
        <w:spacing w:after="40"/>
        <w:ind w:left="360"/>
      </w:pPr>
      <w:r>
        <w:rPr>
          <w:rFonts w:ascii="Courier New" w:cs="Courier New" w:eastAsia="Courier New" w:hAnsi="Courier New"/>
          <w:color w:val="1A5276"/>
          <w:sz w:val="20"/>
          <w:szCs w:val="20"/>
        </w:rPr>
        <w:t xml:space="preserve"/>
      </w:r>
    </w:p>
    <w:p>
      <w:pPr>
        <w:shd w:fill="EBF5FB" w:val="clear"/>
        <w:spacing w:after="40"/>
        <w:ind w:left="360"/>
      </w:pPr>
      <w:r>
        <w:rPr>
          <w:rFonts w:ascii="Courier New" w:cs="Courier New" w:eastAsia="Courier New" w:hAnsi="Courier New"/>
          <w:color w:val="1A5276"/>
          <w:sz w:val="20"/>
          <w:szCs w:val="20"/>
        </w:rPr>
        <w:t xml:space="preserve"># Package and deploy to your instance</w:t>
      </w:r>
    </w:p>
    <w:p>
      <w:pPr>
        <w:shd w:fill="EBF5FB" w:val="clear"/>
        <w:spacing w:after="40"/>
        <w:ind w:left="360"/>
      </w:pPr>
      <w:r>
        <w:rPr>
          <w:rFonts w:ascii="Courier New" w:cs="Courier New" w:eastAsia="Courier New" w:hAnsi="Courier New"/>
          <w:color w:val="1A5276"/>
          <w:sz w:val="20"/>
          <w:szCs w:val="20"/>
        </w:rPr>
        <w:t xml:space="preserve">now-sdk install --auth dev</w:t>
      </w:r>
    </w:p>
    <w:p>
      <w:pPr>
        <w:spacing w:after="120"/>
      </w:pPr>
      <w:r>
        <w:rPr>
          <w:rFonts w:ascii="Arial" w:cs="Arial" w:eastAsia="Arial" w:hAnsi="Arial"/>
          <w:color w:val="2C3E50"/>
          <w:sz w:val="22"/>
          <w:szCs w:val="22"/>
        </w:rPr>
        <w:t xml:space="preserve">After installation, navigate to your instance, find "Market Research" in the left navigator, and send a test email to verify the pipeline.</w:t>
      </w:r>
    </w:p>
    <w:p>
      <w:pPr>
        <w:pBdr>
          <w:bottom w:val="single" w:color="D5D8DC" w:sz="2"/>
        </w:pBdr>
        <w:spacing w:before="200" w:after="200"/>
      </w:pPr>
    </w:p>
    <w:p>
      <w:pPr>
        <w:pStyle w:val="Heading1"/>
        <w:spacing w:before="360" w:after="200"/>
      </w:pPr>
      <w:r>
        <w:rPr>
          <w:rFonts w:ascii="Arial" w:cs="Arial" w:eastAsia="Arial" w:hAnsi="Arial"/>
          <w:b/>
          <w:bCs/>
          <w:color w:val="1B4F72"/>
          <w:sz w:val="36"/>
          <w:szCs w:val="36"/>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5960"/>
      </w:tblGrid>
      <w:tr>
        <w:trPr>
          <w:tblHeader/>
        </w:trPr>
        <w:tc>
          <w:tcPr>
            <w:tcW w:type="dxa" w:w="24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0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59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Tables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Email Data (archive) + Market Research (working data)</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Flows</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5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Inbound email trigger with dual record creation</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Business Rules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HTML parser with recursion-safe self-insertion</w:t>
            </w:r>
          </w:p>
        </w:tc>
      </w:tr>
      <w:tr>
        <w:tc>
          <w:tcPr>
            <w:tcW w:type="dxa" w:w="24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Script Includes</w:t>
            </w:r>
          </w:p>
        </w:tc>
        <w:tc>
          <w:tcPr>
            <w:tcW w:type="dxa" w:w="100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1</w:t>
            </w:r>
          </w:p>
        </w:tc>
        <w:tc>
          <w:tcPr>
            <w:tcW w:type="dxa" w:w="5960"/>
            <w:tcBorders>
              <w:top w:val="single" w:color="BDC3C7" w:sz="1"/>
              <w:left w:val="single" w:color="BDC3C7" w:sz="1"/>
              <w:bottom w:val="single" w:color="BDC3C7" w:sz="1"/>
              <w:right w:val="single" w:color="BDC3C7" w:sz="1"/>
            </w:tcBorders>
            <w:shd w:fill="F8F9FA" w:val="clear"/>
            <w:tcMar>
              <w:top w:type="dxa" w:w="80"/>
              <w:left w:type="dxa" w:w="120"/>
              <w:bottom w:type="dxa" w:w="80"/>
              <w:right w:type="dxa" w:w="120"/>
            </w:tcMar>
          </w:tcPr>
          <w:p>
            <w:r>
              <w:rPr>
                <w:rFonts w:ascii="Arial" w:cs="Arial" w:eastAsia="Arial" w:hAnsi="Arial"/>
                <w:color w:val="2C3E50"/>
                <w:sz w:val="20"/>
                <w:szCs w:val="20"/>
              </w:rPr>
              <w:t xml:space="preserve">parseHtmlTable() — regex-based HTML table extractor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Navigation Modules</w:t>
            </w:r>
          </w:p>
        </w:tc>
        <w:tc>
          <w:tcPr>
            <w:tcW w:type="dxa" w:w="10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w:t>
            </w:r>
          </w:p>
        </w:tc>
        <w:tc>
          <w:tcPr>
            <w:tcW w:type="dxa" w:w="59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Market Data + Email Data list views</w:t>
            </w:r>
          </w:p>
        </w:tc>
      </w:tr>
    </w:tbl>
    <w:p>
      <w:pPr>
        <w:spacing w:after="120"/>
      </w:pPr>
      <w:r>
        <w:rPr>
          <w:rFonts w:ascii="Arial" w:cs="Arial" w:eastAsia="Arial" w:hAnsi="Arial"/>
          <w:color w:val="2C3E50"/>
          <w:sz w:val="22"/>
          <w:szCs w:val="22"/>
        </w:rPr>
        <w:t xml:space="preserve"/>
      </w:r>
    </w:p>
    <w:p>
      <w:pPr>
        <w:spacing w:after="120"/>
      </w:pPr>
      <w:r>
        <w:rPr>
          <w:rFonts w:ascii="Arial" w:cs="Arial" w:eastAsia="Arial" w:hAnsi="Arial"/>
          <w:color w:val="2C3E50"/>
          <w:sz w:val="22"/>
          <w:szCs w:val="22"/>
        </w:rPr>
        <w:t xml:space="preserve">This application demonstrates a powerful pattern: using inbound email as a data ingestion pipeline, with a Business Rule doing the heavy lifting of transforming unstructured HTML into clean, structured records. The same pattern can be adapted for invoices, support tickets, order confirmations, or any other structured email content.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D6D7E"/>
        <w:sz w:val="18"/>
        <w:szCs w:val="18"/>
      </w:rPr>
      <w:t xml:space="preserve">ReAcademy</w:t>
    </w:r>
    <w:r>
      <w:t xml:space="preserve">	</w:t>
    </w: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D6D7E"/>
        <w:sz w:val="18"/>
        <w:szCs w:val="18"/>
      </w:rPr>
      <w:t xml:space="preserve">Market Research Email Parser — Use Case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2026-03-15T19:20:28.937Z</dcterms:created>
  <dcterms:modified xsi:type="dcterms:W3CDTF">2026-03-15T19:20:28.938Z</dcterms:modified>
</cp:coreProperties>
</file>

<file path=docProps/custom.xml><?xml version="1.0" encoding="utf-8"?>
<Properties xmlns="http://schemas.openxmlformats.org/officeDocument/2006/custom-properties" xmlns:vt="http://schemas.openxmlformats.org/officeDocument/2006/docPropsVTypes"/>
</file>