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drawing>
          <wp:inline xmlns:a="http://schemas.openxmlformats.org/drawingml/2006/main" xmlns:pic="http://schemas.openxmlformats.org/drawingml/2006/picture">
            <wp:extent cx="5120640" cy="1261121"/>
            <wp:docPr id="1" name="Picture 1"/>
            <wp:cNvGraphicFramePr>
              <a:graphicFrameLocks noChangeAspect="1"/>
            </wp:cNvGraphicFramePr>
            <a:graphic>
              <a:graphicData uri="http://schemas.openxmlformats.org/drawingml/2006/picture">
                <pic:pic>
                  <pic:nvPicPr>
                    <pic:cNvPr id="0" name="vit_official_header.png"/>
                    <pic:cNvPicPr/>
                  </pic:nvPicPr>
                  <pic:blipFill>
                    <a:blip r:embed="rId11"/>
                    <a:stretch>
                      <a:fillRect/>
                    </a:stretch>
                  </pic:blipFill>
                  <pic:spPr>
                    <a:xfrm>
                      <a:off x="0" y="0"/>
                      <a:ext cx="5120640" cy="1261121"/>
                    </a:xfrm>
                    <a:prstGeom prst="rect"/>
                  </pic:spPr>
                </pic:pic>
              </a:graphicData>
            </a:graphic>
          </wp:inline>
        </w:drawing>
      </w:r>
    </w:p>
    <w:p>
      <w:pPr>
        <w:spacing w:before="0" w:after="720"/>
        <w:jc w:val="center"/>
      </w:pPr>
      <w:r>
        <w:rPr>
          <w:rFonts w:ascii="Times New Roman" w:hAnsi="Times New Roman"/>
          <w:b/>
          <w:color w:val="000000"/>
          <w:sz w:val="24"/>
        </w:rPr>
        <w:t>School of Computer Science Engineering and Information Systems</w:t>
        <w:br/>
        <w:t>Department of Information Technology</w:t>
        <w:br/>
      </w:r>
      <w:r>
        <w:rPr>
          <w:rFonts w:ascii="Times New Roman" w:hAnsi="Times New Roman"/>
          <w:color w:val="000000"/>
          <w:sz w:val="22"/>
        </w:rPr>
        <w:t>Fall 2026-27</w:t>
        <w:br/>
        <w:t>Cloud Architecture Design BCSE355L</w:t>
      </w:r>
    </w:p>
    <w:p>
      <w:pPr>
        <w:spacing w:before="0" w:after="360"/>
        <w:jc w:val="center"/>
      </w:pPr>
      <w:r>
        <w:rPr>
          <w:rFonts w:ascii="Times New Roman" w:hAnsi="Times New Roman"/>
          <w:b/>
          <w:color w:val="000000"/>
          <w:sz w:val="28"/>
        </w:rPr>
        <w:t>CAPSTONE PROJECT REPORT</w:t>
      </w:r>
    </w:p>
    <w:p>
      <w:pPr>
        <w:spacing w:before="0" w:after="720"/>
        <w:jc w:val="center"/>
      </w:pPr>
      <w:r>
        <w:rPr>
          <w:rFonts w:ascii="Times New Roman" w:hAnsi="Times New Roman"/>
          <w:b/>
          <w:color w:val="000000"/>
          <w:sz w:val="28"/>
        </w:rPr>
        <w:t>CLOUDSHIELD: A REAL-TIME PREDICTIVE CLOUD ARCHITECTURE FOR DISASTER LOGISTICS ALLOCATION, SEVERITY-DRIVEN RESCUE OPTIMIZATION, AND RESILIENT EMERGENCY GOVERNANCE</w:t>
      </w:r>
    </w:p>
    <w:p>
      <w:pPr>
        <w:spacing w:before="0" w:after="640"/>
        <w:jc w:val="center"/>
      </w:pPr>
      <w:r>
        <w:rPr>
          <w:rFonts w:ascii="Times New Roman" w:hAnsi="Times New Roman"/>
          <w:i/>
          <w:color w:val="000000"/>
          <w:sz w:val="22"/>
        </w:rPr>
        <w:t>Submitted by</w:t>
        <w:br/>
      </w:r>
      <w:r>
        <w:rPr>
          <w:rFonts w:ascii="Times New Roman" w:hAnsi="Times New Roman"/>
          <w:b/>
          <w:color w:val="000000"/>
          <w:sz w:val="23"/>
        </w:rPr>
        <w:t>NEELESH A    24BIT0437</w:t>
        <w:br/>
        <w:t>DEV ARPIT PATEL    24BIT0491</w:t>
        <w:br/>
        <w:t>SATWIK JAISWAL    24BIT0527</w:t>
      </w:r>
    </w:p>
    <w:p>
      <w:pPr>
        <w:spacing w:before="0" w:after="560"/>
        <w:jc w:val="center"/>
      </w:pPr>
      <w:r>
        <w:rPr>
          <w:rFonts w:ascii="Times New Roman" w:hAnsi="Times New Roman"/>
          <w:i/>
          <w:color w:val="000000"/>
          <w:sz w:val="22"/>
        </w:rPr>
        <w:t>Under the Guidance of</w:t>
        <w:br/>
      </w:r>
      <w:r>
        <w:rPr>
          <w:rFonts w:ascii="Times New Roman" w:hAnsi="Times New Roman"/>
          <w:b/>
          <w:color w:val="000000"/>
          <w:sz w:val="24"/>
        </w:rPr>
        <w:t>Prof. VENKETESH P.</w:t>
        <w:br/>
      </w:r>
      <w:r>
        <w:rPr>
          <w:rFonts w:ascii="Times New Roman" w:hAnsi="Times New Roman"/>
          <w:color w:val="000000"/>
          <w:sz w:val="21"/>
        </w:rPr>
        <w:t>Associate Professor Grade 2</w:t>
        <w:br/>
        <w:t>SCORE</w:t>
        <w:br/>
        <w:t>Department of Information Technology</w:t>
        <w:br/>
        <w:t>School of Computer Science Engineering and Information Systems</w:t>
        <w:br/>
        <w:t>VIT, Vellore.</w:t>
      </w:r>
    </w:p>
    <w:p>
      <w:pPr>
        <w:spacing w:before="0" w:after="0"/>
        <w:jc w:val="center"/>
      </w:pPr>
      <w:r>
        <w:rPr>
          <w:rFonts w:ascii="Times New Roman" w:hAnsi="Times New Roman"/>
          <w:color w:val="000000"/>
          <w:sz w:val="22"/>
        </w:rPr>
        <w:t>Fall 2026-27</w:t>
      </w:r>
    </w:p>
    <w:p>
      <w:r>
        <w:br w:type="page"/>
      </w:r>
    </w:p>
    <w:p>
      <w:pPr>
        <w:pStyle w:val="Heading1"/>
        <w:spacing w:after="280"/>
      </w:pPr>
      <w:r>
        <w:t>TABLE OF CONTENTS</w:t>
      </w:r>
    </w:p>
    <w:tbl>
      <w:tblPr>
        <w:tblW w:type="auto" w:w="0"/>
        <w:jc w:val="center"/>
        <w:tblLook w:firstColumn="1" w:firstRow="1" w:lastColumn="0" w:lastRow="0" w:noHBand="0" w:noVBand="1" w:val="04A0"/>
      </w:tblPr>
      <w:tblGrid>
        <w:gridCol w:w="3120"/>
        <w:gridCol w:w="3120"/>
        <w:gridCol w:w="3120"/>
      </w:tblGrid>
      <w:tr>
        <w:tc>
          <w:tcPr>
            <w:tcW w:type="dxa" w:w="864"/>
            <w:shd w:fill="E5E7EB"/>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after="0"/>
              <w:jc w:val="center"/>
            </w:pPr>
            <w:r>
              <w:rPr>
                <w:rFonts w:ascii="Times New Roman" w:hAnsi="Times New Roman"/>
                <w:b/>
                <w:color w:val="000000"/>
                <w:sz w:val="19"/>
              </w:rPr>
              <w:t>S. No.</w:t>
            </w:r>
          </w:p>
        </w:tc>
        <w:tc>
          <w:tcPr>
            <w:tcW w:type="dxa" w:w="7344"/>
            <w:shd w:fill="E5E7EB"/>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after="0"/>
              <w:jc w:val="left"/>
            </w:pPr>
            <w:r>
              <w:rPr>
                <w:rFonts w:ascii="Times New Roman" w:hAnsi="Times New Roman"/>
                <w:b/>
                <w:color w:val="000000"/>
                <w:sz w:val="19"/>
              </w:rPr>
              <w:t>Contents</w:t>
            </w:r>
          </w:p>
        </w:tc>
        <w:tc>
          <w:tcPr>
            <w:tcW w:type="dxa" w:w="1152"/>
            <w:shd w:fill="E5E7EB"/>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after="0"/>
              <w:jc w:val="center"/>
            </w:pPr>
            <w:r>
              <w:rPr>
                <w:rFonts w:ascii="Times New Roman" w:hAnsi="Times New Roman"/>
                <w:b/>
                <w:color w:val="000000"/>
                <w:sz w:val="19"/>
              </w:rPr>
              <w:t>Page No.</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Abstract</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3</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2</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1: The Humanistic Imperative: Disaster Reality &amp; The Genesis of CloudShield</w:t>
            </w:r>
            <w:r>
              <w:br/>
            </w:r>
            <w:r>
              <w:rPr>
                <w:rFonts w:ascii="Times New Roman" w:hAnsi="Times New Roman"/>
                <w:b w:val="0"/>
                <w:i w:val="0"/>
                <w:color w:val="000000"/>
                <w:sz w:val="16"/>
              </w:rPr>
              <w:t>1.1 The Lived Reality of Acute Climate Catastrophes; 1.2 The Emotional and Operational Fracture; 1.3 Shifting the Paradigm; 1.4 Ethical Principles of Algorithmic Humanitarianism; 1.5 Comparative Case Study Analysis</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4</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3</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2: Structural Gaps and Pathologies in Traditional Emergency Logistics</w:t>
            </w:r>
            <w:r>
              <w:br/>
            </w:r>
            <w:r>
              <w:rPr>
                <w:rFonts w:ascii="Times New Roman" w:hAnsi="Times New Roman"/>
                <w:b w:val="0"/>
                <w:i w:val="0"/>
                <w:color w:val="000000"/>
                <w:sz w:val="16"/>
              </w:rPr>
              <w:t>2.1 The 'Last-Mile Void'; 2.2 The Pathology of Spreadsheet Logistics; 2.3 The Fatal 'Route Pruning' Fallacy; 2.4 Distributive Inequity and Panic Dispatching; 2.5 Information Cascades and Resource Hoarding</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7</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4</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3: Intellectual Property &amp; Core Technical Novelty (IDF-B Alignment)</w:t>
            </w:r>
            <w:r>
              <w:br/>
            </w:r>
            <w:r>
              <w:rPr>
                <w:rFonts w:ascii="Times New Roman" w:hAnsi="Times New Roman"/>
                <w:b w:val="0"/>
                <w:i w:val="0"/>
                <w:color w:val="000000"/>
                <w:sz w:val="16"/>
              </w:rPr>
              <w:t>3.1 Institutional IP Alignment (Doc No. 02-IPR-R003); 3.2 Novelty 1: Version-Linked Snapshots; 3.3 Novelty 2: Decoupled Need Urgency &amp; Route Feasibility; 3.4 Novelty 3: Two-Stage Plan-Commit Protocol; 3.5 Novelty 4: Sphere International Standards Calibration</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9</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5</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4: Mathematical Foundations &amp; Sphere Minimum Survival Standards</w:t>
            </w:r>
            <w:r>
              <w:br/>
            </w:r>
            <w:r>
              <w:rPr>
                <w:rFonts w:ascii="Times New Roman" w:hAnsi="Times New Roman"/>
                <w:b w:val="0"/>
                <w:i w:val="0"/>
                <w:color w:val="000000"/>
                <w:sz w:val="16"/>
              </w:rPr>
              <w:t>4.1 Disaster Priority and Relief Index (DPRI) Derivation; 4.2 Sphere Minimum Survival Standards; 4.3 Potable Water Logistics; 4.4 Nutritional Baselines &amp; Pediatric Vulnerabilities</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12</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6</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5: Algorithmic Logistics Optimization: The Multi-Depot Knapsack Engine</w:t>
            </w:r>
            <w:r>
              <w:br/>
            </w:r>
            <w:r>
              <w:rPr>
                <w:rFonts w:ascii="Times New Roman" w:hAnsi="Times New Roman"/>
                <w:b w:val="0"/>
                <w:i w:val="0"/>
                <w:color w:val="000000"/>
                <w:sz w:val="16"/>
              </w:rPr>
              <w:t>5.1 Constrained Multi-Facility Formulation; 5.2 Distance Decay &amp; Road Impairment Transit Modeling; 5.3 Greedy Priority Knapsack Solver; 5.4 Buffer Non-Depletion Invariants; 5.5 Non-Linear Convoy Congestion Modeling</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15</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7</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6: Two-Stage Human-in-the-Loop Governance &amp; State Machine Architecture</w:t>
            </w:r>
            <w:r>
              <w:br/>
            </w:r>
            <w:r>
              <w:rPr>
                <w:rFonts w:ascii="Times New Roman" w:hAnsi="Times New Roman"/>
                <w:b w:val="0"/>
                <w:i w:val="0"/>
                <w:color w:val="000000"/>
                <w:sz w:val="16"/>
              </w:rPr>
              <w:t>6.1 Ethical Rationale for Human Oversight; 6.2 Formal State Machine Model; 6.3 Cryptographic Action ID Idempotency; 6.4 Immutable Audit Ledger &amp; Non-Repudiation</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18</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8</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7: Comprehensive AWS Cloud Architecture: Service-by-Service Deep Dive</w:t>
            </w:r>
            <w:r>
              <w:br/>
            </w:r>
            <w:r>
              <w:rPr>
                <w:rFonts w:ascii="Times New Roman" w:hAnsi="Times New Roman"/>
                <w:b w:val="0"/>
                <w:i w:val="0"/>
                <w:color w:val="000000"/>
                <w:sz w:val="16"/>
              </w:rPr>
              <w:t>7.1 Cloud Architectural Philosophy; 7.2 Amazon EC2 Compute Engine; 7.3 Amazon EBS Storage; 7.4 Amazon S3 Artifact Vault; 7.5 Amazon SNS Incident Notification; 7.6 Amazon CloudWatch Logging; 7.7 AWS IAM Role Security; 7.8 VPC &amp; Security Group Isolation</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20</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9</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8: AWS Production Deployment, Operational Hardening &amp; Rigorous Cost Audit</w:t>
            </w:r>
            <w:r>
              <w:br/>
            </w:r>
            <w:r>
              <w:rPr>
                <w:rFonts w:ascii="Times New Roman" w:hAnsi="Times New Roman"/>
                <w:b w:val="0"/>
                <w:i w:val="0"/>
                <w:color w:val="000000"/>
                <w:sz w:val="16"/>
              </w:rPr>
              <w:t>8.1 Sydney Region (ap-southeast-2) Deployment; 8.2 Rigorous AWS Cost-Safety Audit; 8.3 Safe Resource Teardown Protocol; 8.4 Multi-Cloud Standby &amp; SLA Analysis</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24</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10</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9: End-to-End Frontend Interface &amp; Live Operational Demonstration</w:t>
            </w:r>
            <w:r>
              <w:br/>
            </w:r>
            <w:r>
              <w:rPr>
                <w:rFonts w:ascii="Times New Roman" w:hAnsi="Times New Roman"/>
                <w:b w:val="0"/>
                <w:i w:val="0"/>
                <w:color w:val="000000"/>
                <w:sz w:val="16"/>
              </w:rPr>
              <w:t>9.1 Crisis Command UI Engineering; 9.2 Real-Time Intake &amp; DPRI Heatmap; 9.3 Sphere Shortage &amp; Multi-Depot Manifest; 9.4 Single-Pane Command Overview; 9.5 Approval Action Card &amp; SNS Alert; 9.6 Interactive Swagger API Docs</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26</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11</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10: Performance Profiling, Latency Benchmarking &amp; Scalability Roadmap</w:t>
            </w:r>
            <w:r>
              <w:br/>
            </w:r>
            <w:r>
              <w:rPr>
                <w:rFonts w:ascii="Times New Roman" w:hAnsi="Times New Roman"/>
                <w:b w:val="0"/>
                <w:i w:val="0"/>
                <w:color w:val="000000"/>
                <w:sz w:val="16"/>
              </w:rPr>
              <w:t>10.1 Empirical Performance Profiling; 10.2 In-Memory Caching via Amazon ElastiCache Redis; 10.3 Global Edge Acceleration via CloudFront CDN &amp; WAF; 10.4 Asynchronous SQS &amp; Lambda Decoupling; 10.5 Distributed Mutual Exclusion via Redlock</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32</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12</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Chapter 11: Future Scope, Remote Sensing &amp; Edge Mesh Frontiers</w:t>
            </w:r>
            <w:r>
              <w:br/>
            </w:r>
            <w:r>
              <w:rPr>
                <w:rFonts w:ascii="Times New Roman" w:hAnsi="Times New Roman"/>
                <w:b w:val="0"/>
                <w:i w:val="0"/>
                <w:color w:val="000000"/>
                <w:sz w:val="16"/>
              </w:rPr>
              <w:t>11.1 Synthetic Aperture Radar (SAR) Telemetry; 11.2 Dynamic Road Graph Invalidation; 11.3 Offline Edge Deployments via AWS Snowcone; 11.4 Multimodal Conversational AI Field Triage; 11.5 UAV Drone Swarm Air-Drop Integration</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34</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13</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References</w:t>
            </w:r>
            <w:r>
              <w:br/>
            </w:r>
            <w:r>
              <w:rPr>
                <w:rFonts w:ascii="Times New Roman" w:hAnsi="Times New Roman"/>
                <w:b w:val="0"/>
                <w:i w:val="0"/>
                <w:color w:val="000000"/>
                <w:sz w:val="16"/>
              </w:rPr>
              <w:t>Exhaustive Academic Bibliographic References (MLA Format)</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37</w:t>
            </w:r>
          </w:p>
        </w:tc>
      </w:tr>
      <w:tr>
        <w:tc>
          <w:tcPr>
            <w:tcW w:type="dxa" w:w="86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14</w:t>
            </w:r>
          </w:p>
        </w:tc>
        <w:tc>
          <w:tcPr>
            <w:tcW w:type="dxa" w:w="7344"/>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line="252" w:lineRule="auto"/>
              <w:jc w:val="left"/>
            </w:pPr>
            <w:r>
              <w:rPr>
                <w:rFonts w:ascii="Times New Roman" w:hAnsi="Times New Roman"/>
                <w:b/>
                <w:i w:val="0"/>
                <w:color w:val="000000"/>
                <w:sz w:val="16"/>
              </w:rPr>
              <w:t>Appendices</w:t>
            </w:r>
            <w:r>
              <w:br/>
            </w:r>
            <w:r>
              <w:rPr>
                <w:rFonts w:ascii="Times New Roman" w:hAnsi="Times New Roman"/>
                <w:b w:val="0"/>
                <w:i w:val="0"/>
                <w:color w:val="000000"/>
                <w:sz w:val="16"/>
              </w:rPr>
              <w:t>Source Excerpts (DPRI, Knapsack, Action ID), Build &amp; Run Summary, System Screenshots</w:t>
            </w:r>
          </w:p>
        </w:tc>
        <w:tc>
          <w:tcPr>
            <w:tcW w:type="dxa" w:w="1152"/>
            <w:tcBorders>
              <w:top w:val="single" w:sz="4" w:space="0" w:color="000000"/>
              <w:left w:val="single" w:sz="4" w:space="0" w:color="000000"/>
              <w:bottom w:val="single" w:sz="4" w:space="0" w:color="000000"/>
              <w:right w:val="single" w:sz="4" w:space="0" w:color="000000"/>
            </w:tcBorders>
            <w:tcMar>
              <w:top w:w="30" w:type="dxa"/>
              <w:bottom w:w="30" w:type="dxa"/>
              <w:left w:w="60" w:type="dxa"/>
              <w:right w:w="60" w:type="dxa"/>
            </w:tcMar>
          </w:tcPr>
          <w:p>
            <w:pPr>
              <w:spacing w:after="0"/>
              <w:jc w:val="center"/>
            </w:pPr>
            <w:r>
              <w:rPr>
                <w:rFonts w:ascii="Times New Roman" w:hAnsi="Times New Roman"/>
                <w:color w:val="000000"/>
                <w:sz w:val="17"/>
              </w:rPr>
              <w:t>38</w:t>
            </w:r>
          </w:p>
        </w:tc>
      </w:tr>
    </w:tbl>
    <w:p>
      <w:r>
        <w:br w:type="page"/>
      </w:r>
    </w:p>
    <w:p>
      <w:pPr>
        <w:pStyle w:val="Heading1"/>
        <w:spacing w:after="280"/>
      </w:pPr>
      <w:r>
        <w:t>ABSTRACT</w:t>
      </w:r>
    </w:p>
    <w:p>
      <w:pPr>
        <w:spacing w:line="276" w:lineRule="auto" w:after="120"/>
        <w:jc w:val="both"/>
      </w:pPr>
      <w:r>
        <w:rPr>
          <w:rFonts w:ascii="Times New Roman" w:hAnsi="Times New Roman"/>
          <w:b w:val="0"/>
          <w:i w:val="0"/>
          <w:color w:val="000000"/>
          <w:sz w:val="24"/>
        </w:rPr>
        <w:t xml:space="preserve">This case study presents an in-depth architectural and analytical investigation of </w:t>
      </w:r>
      <w:r>
        <w:rPr>
          <w:rFonts w:ascii="Times New Roman" w:hAnsi="Times New Roman"/>
          <w:b/>
          <w:i w:val="0"/>
          <w:color w:val="000000"/>
          <w:sz w:val="24"/>
        </w:rPr>
        <w:t>CloudShield</w:t>
      </w:r>
      <w:r>
        <w:rPr>
          <w:rFonts w:ascii="Times New Roman" w:hAnsi="Times New Roman"/>
          <w:b w:val="0"/>
          <w:i w:val="0"/>
          <w:color w:val="000000"/>
          <w:sz w:val="24"/>
        </w:rPr>
        <w:t>, a resilient, human-centric predictive cloud architecture designed for emergency logistics and resource allocation during acute climate catastrophes. Built upon foundational cloud computing primitives in Amazon Web Services (AWS) Asia-Pacific Sydney region (</w:t>
      </w:r>
      <w:r>
        <w:rPr>
          <w:rFonts w:ascii="Consolas" w:hAnsi="Consolas"/>
          <w:b w:val="0"/>
          <w:i w:val="0"/>
          <w:color w:val="000000"/>
          <w:sz w:val="21"/>
        </w:rPr>
        <w:t>ap-southeast-2</w:t>
      </w:r>
      <w:r>
        <w:rPr>
          <w:rFonts w:ascii="Times New Roman" w:hAnsi="Times New Roman"/>
          <w:b w:val="0"/>
          <w:i w:val="0"/>
          <w:color w:val="000000"/>
          <w:sz w:val="24"/>
        </w:rPr>
        <w:t>), the primary objective is to evaluate how CloudShield's architectural design decisions—specifically the mathematical decoupling of human survival urgency from physical transport feasibility—eliminate systemic pathologies in traditional emergency logistics, including spreadsheet lock contention, phantom inventory commitments, and commercial supply chain route pruning.</w:t>
      </w:r>
    </w:p>
    <w:p>
      <w:pPr>
        <w:spacing w:line="276" w:lineRule="auto" w:after="120"/>
        <w:jc w:val="both"/>
      </w:pPr>
      <w:r>
        <w:rPr>
          <w:rFonts w:ascii="Times New Roman" w:hAnsi="Times New Roman"/>
          <w:b w:val="0"/>
          <w:i w:val="0"/>
          <w:color w:val="000000"/>
          <w:sz w:val="24"/>
        </w:rPr>
        <w:t xml:space="preserve">We systematically examine the mathematical formulation of the </w:t>
      </w:r>
      <w:r>
        <w:rPr>
          <w:rFonts w:ascii="Times New Roman" w:hAnsi="Times New Roman"/>
          <w:b/>
          <w:i w:val="0"/>
          <w:color w:val="000000"/>
          <w:sz w:val="24"/>
        </w:rPr>
        <w:t>Disaster Priority and Relief Index (DPRI)</w:t>
      </w:r>
      <w:r>
        <w:rPr>
          <w:rFonts w:ascii="Times New Roman" w:hAnsi="Times New Roman"/>
          <w:b w:val="0"/>
          <w:i w:val="0"/>
          <w:color w:val="000000"/>
          <w:sz w:val="24"/>
        </w:rPr>
        <w:t xml:space="preserve">, an objective, multi-parametric severity function that integrates flood water inundation depth, displaced population magnitude, road network isolation, and demographic vulnerability. The report deconstructs how CloudShield calibrates relief demand against international empirical benchmarks established by the Sphere Project (15.0 liters of potable water per person/day, 2,100 kcal nutritional survival rations, family shelter units, and triage trauma kits). Furthermore, we evaluate the algorithmic mechanics of the </w:t>
      </w:r>
      <w:r>
        <w:rPr>
          <w:rFonts w:ascii="Times New Roman" w:hAnsi="Times New Roman"/>
          <w:b/>
          <w:i w:val="0"/>
          <w:color w:val="000000"/>
          <w:sz w:val="24"/>
        </w:rPr>
        <w:t>Multi-Depot Priority Knapsack Engine</w:t>
      </w:r>
      <w:r>
        <w:rPr>
          <w:rFonts w:ascii="Times New Roman" w:hAnsi="Times New Roman"/>
          <w:b w:val="0"/>
          <w:i w:val="0"/>
          <w:color w:val="000000"/>
          <w:sz w:val="24"/>
        </w:rPr>
        <w:t>, analyzing how greedy value-to-weight heuristics, Haversine spherical transit modeling, and dynamic road impairment degradation curves optimize cross-warehouse stock distribution while strictly preserving baseline emergency buffer reserves across all municipal depots.</w:t>
      </w:r>
    </w:p>
    <w:p>
      <w:pPr>
        <w:spacing w:line="276" w:lineRule="auto" w:after="120"/>
        <w:jc w:val="both"/>
      </w:pPr>
      <w:r>
        <w:rPr>
          <w:rFonts w:ascii="Times New Roman" w:hAnsi="Times New Roman"/>
          <w:b w:val="0"/>
          <w:i w:val="0"/>
          <w:color w:val="000000"/>
          <w:sz w:val="24"/>
        </w:rPr>
        <w:t xml:space="preserve">The study also scrutinizes system-level reliability and ethical governance mechanisms, focusing on CloudShield's </w:t>
      </w:r>
      <w:r>
        <w:rPr>
          <w:rFonts w:ascii="Times New Roman" w:hAnsi="Times New Roman"/>
          <w:b/>
          <w:i w:val="0"/>
          <w:color w:val="000000"/>
          <w:sz w:val="24"/>
        </w:rPr>
        <w:t>Two-Stage Human-in-the-Loop Governance Protocol</w:t>
      </w:r>
      <w:r>
        <w:rPr>
          <w:rFonts w:ascii="Times New Roman" w:hAnsi="Times New Roman"/>
          <w:b w:val="0"/>
          <w:i w:val="0"/>
          <w:color w:val="000000"/>
          <w:sz w:val="24"/>
        </w:rPr>
        <w:t xml:space="preserve">. We evaluate the formal finite-state machine governing state transitions (from provisional </w:t>
      </w:r>
      <w:r>
        <w:rPr>
          <w:rFonts w:ascii="Consolas" w:hAnsi="Consolas"/>
          <w:b w:val="0"/>
          <w:i w:val="0"/>
          <w:color w:val="000000"/>
          <w:sz w:val="21"/>
        </w:rPr>
        <w:t>DRAFT</w:t>
      </w:r>
      <w:r>
        <w:rPr>
          <w:rFonts w:ascii="Times New Roman" w:hAnsi="Times New Roman"/>
          <w:b w:val="0"/>
          <w:i w:val="0"/>
          <w:color w:val="000000"/>
          <w:sz w:val="24"/>
        </w:rPr>
        <w:t xml:space="preserve"> to </w:t>
      </w:r>
      <w:r>
        <w:rPr>
          <w:rFonts w:ascii="Consolas" w:hAnsi="Consolas"/>
          <w:b w:val="0"/>
          <w:i w:val="0"/>
          <w:color w:val="000000"/>
          <w:sz w:val="21"/>
        </w:rPr>
        <w:t>PENDING_APPROVAL</w:t>
      </w:r>
      <w:r>
        <w:rPr>
          <w:rFonts w:ascii="Times New Roman" w:hAnsi="Times New Roman"/>
          <w:b w:val="0"/>
          <w:i w:val="0"/>
          <w:color w:val="000000"/>
          <w:sz w:val="24"/>
        </w:rPr>
        <w:t xml:space="preserve">, </w:t>
      </w:r>
      <w:r>
        <w:rPr>
          <w:rFonts w:ascii="Consolas" w:hAnsi="Consolas"/>
          <w:b w:val="0"/>
          <w:i w:val="0"/>
          <w:color w:val="000000"/>
          <w:sz w:val="21"/>
        </w:rPr>
        <w:t>APPROVED</w:t>
      </w:r>
      <w:r>
        <w:rPr>
          <w:rFonts w:ascii="Times New Roman" w:hAnsi="Times New Roman"/>
          <w:b w:val="0"/>
          <w:i w:val="0"/>
          <w:color w:val="000000"/>
          <w:sz w:val="24"/>
        </w:rPr>
        <w:t xml:space="preserve">, and </w:t>
      </w:r>
      <w:r>
        <w:rPr>
          <w:rFonts w:ascii="Consolas" w:hAnsi="Consolas"/>
          <w:b w:val="0"/>
          <w:i w:val="0"/>
          <w:color w:val="000000"/>
          <w:sz w:val="21"/>
        </w:rPr>
        <w:t>COMMITTED</w:t>
      </w:r>
      <w:r>
        <w:rPr>
          <w:rFonts w:ascii="Times New Roman" w:hAnsi="Times New Roman"/>
          <w:b w:val="0"/>
          <w:i w:val="0"/>
          <w:color w:val="000000"/>
          <w:sz w:val="24"/>
        </w:rPr>
        <w:t>), analyzing how client-generated cryptographic Action IDs guarantee transactional idempotency and prevent duplicate warehouse stock deductions under erratic disaster-zone network retries. An immutable, tamper-evident audit ledger maintains complete forensic non-repudiation.</w:t>
      </w:r>
    </w:p>
    <w:p>
      <w:pPr>
        <w:spacing w:line="276" w:lineRule="auto" w:after="120"/>
        <w:jc w:val="both"/>
      </w:pPr>
      <w:r>
        <w:rPr>
          <w:rFonts w:ascii="Times New Roman" w:hAnsi="Times New Roman"/>
          <w:b w:val="0"/>
          <w:i w:val="0"/>
          <w:color w:val="000000"/>
          <w:sz w:val="24"/>
        </w:rPr>
        <w:t>Finally, the report reviews the production deployment topology across Amazon EC2, persistent EBS NVMe block storage, private S3 artifact vaults, Amazon SNS real-time notifications, and centralized CloudWatch logging. A comprehensive cost audit confirms verified 2-hour viva operating expenditure of strictly $0.01 to $0.03 USD, bounded by AWS 12-Month Free Tier allowances. Concurrent stress testing reveals P95 response latencies of 42 ms under typical operational load, and presents an architectural roadmap for sub-10ms global edge delivery via Amazon ElastiCache Redis and CloudFront CDN.</w:t>
      </w:r>
    </w:p>
    <w:p>
      <w:r>
        <w:br w:type="page"/>
      </w:r>
    </w:p>
    <w:p>
      <w:pPr>
        <w:pStyle w:val="Heading1"/>
        <w:keepNext/>
        <w:spacing w:before="280" w:after="280"/>
        <w:jc w:val="center"/>
      </w:pPr>
      <w:r>
        <w:rPr>
          <w:rFonts w:ascii="Times New Roman" w:hAnsi="Times New Roman"/>
          <w:b/>
          <w:i w:val="0"/>
          <w:color w:val="000000"/>
          <w:sz w:val="28"/>
        </w:rPr>
        <w:t>CHAPTER 1: THE HUMANISTIC IMPERATIVE: DISASTER REALITY &amp; THE GENESIS OF CLOUDSHIELD</w:t>
      </w:r>
    </w:p>
    <w:p>
      <w:pPr>
        <w:pStyle w:val="Heading2"/>
        <w:keepNext/>
        <w:spacing w:before="200" w:after="80"/>
      </w:pPr>
      <w:r>
        <w:rPr>
          <w:rFonts w:ascii="Times New Roman" w:hAnsi="Times New Roman"/>
          <w:b/>
          <w:i w:val="0"/>
          <w:color w:val="000000"/>
          <w:sz w:val="25"/>
        </w:rPr>
        <w:t>1.1 The Lived Reality of Acute Climate Catastrophes</w:t>
      </w:r>
    </w:p>
    <w:p>
      <w:pPr>
        <w:spacing w:before="0" w:after="120" w:line="276" w:lineRule="auto"/>
        <w:jc w:val="both"/>
      </w:pPr>
      <w:r>
        <w:rPr>
          <w:rFonts w:ascii="Times New Roman" w:hAnsi="Times New Roman"/>
          <w:b w:val="0"/>
          <w:i w:val="0"/>
          <w:color w:val="000000"/>
          <w:sz w:val="24"/>
        </w:rPr>
        <w:t>Every natural catastrophe begins not with abstract statistical indicators, satellite heatmaps, or meteorological curves, but with immediate, visceral human suffering. In December 2023, Cyclone Michaung made landfall along the Coromandel Coast, unleashing torrential downpours that inundated residential sectors across Chennai, Tiruvallur, Kanchipuram, and Chengalpattu under five to seven feet of murky, fast-flowing floodwater. Our student engineering team witnessed firsthand the profound human and operational tragedy that inevitably characterizes acute climate emergencies in developing regions. In densely populated lowland neighborhoods, thousands of vulnerable families were forced onto concrete terraces and corrugated rooftops, enduring continuous rains with no potable drinking water, no electricity, and no infant milk formula.</w:t>
      </w:r>
    </w:p>
    <w:p>
      <w:pPr>
        <w:spacing w:before="0" w:after="120" w:line="276" w:lineRule="auto"/>
        <w:jc w:val="both"/>
      </w:pPr>
      <w:r>
        <w:rPr>
          <w:rFonts w:ascii="Times New Roman" w:hAnsi="Times New Roman"/>
          <w:b w:val="0"/>
          <w:i w:val="0"/>
          <w:color w:val="000000"/>
          <w:sz w:val="24"/>
        </w:rPr>
        <w:t>Simultaneously, merely twenty kilometers away in government storage depots and regional transit sheds, emergency relief directors, revenue officials, and dedicated volunteers were working eighteen-hour shifts surrounded by thousands of kilograms of donated relief provisions, bottled water pallets, and medical kits. Yet, an agonizing operational paralysis gripped the distribution network. Relief coordinators were forced to make life-and-death logistical decisions using chaotic WhatsApp messaging threads, frantic voice calls over fragile cellular connections, and manually updated, non-concurrent spreadsheets.</w:t>
      </w:r>
    </w:p>
    <w:p>
      <w:pPr>
        <w:spacing w:before="0" w:after="120" w:line="276" w:lineRule="auto"/>
        <w:jc w:val="both"/>
      </w:pPr>
      <w:r>
        <w:rPr>
          <w:rFonts w:ascii="Times New Roman" w:hAnsi="Times New Roman"/>
          <w:b w:val="0"/>
          <w:i w:val="0"/>
          <w:color w:val="000000"/>
          <w:sz w:val="24"/>
        </w:rPr>
        <w:t>As a direct consequence of this information breakdown, relief trucks were dispatched erratically. Accessible shelters along elevated perimeter highways were repeatedly showered with supplies, receiving surplus bread and water that spoiled in the mud, while deeply submerged interior hamlets across washed-out arterial causeways remained entirely cut off and unserved for ninety-six consecutive hours. Elderly residents requiring cardiac medication and mothers with dehydrated infants suffered silently because no centralized intelligence layer existed to translate ground vulnerability into equitable logistics execution.</w:t>
      </w:r>
    </w:p>
    <w:p>
      <w:pPr>
        <w:pStyle w:val="Heading2"/>
        <w:keepNext/>
        <w:spacing w:before="200" w:after="80"/>
      </w:pPr>
      <w:r>
        <w:rPr>
          <w:rFonts w:ascii="Times New Roman" w:hAnsi="Times New Roman"/>
          <w:b/>
          <w:i w:val="0"/>
          <w:color w:val="000000"/>
          <w:sz w:val="25"/>
        </w:rPr>
        <w:t>1.2 The Emotional and Operational Fracture: Survival vs. Bureaucratic Guesswork</w:t>
      </w:r>
    </w:p>
    <w:p>
      <w:pPr>
        <w:spacing w:before="0" w:after="120" w:line="276" w:lineRule="auto"/>
        <w:jc w:val="both"/>
      </w:pPr>
      <w:r>
        <w:rPr>
          <w:rFonts w:ascii="Times New Roman" w:hAnsi="Times New Roman"/>
          <w:b w:val="0"/>
          <w:i w:val="0"/>
          <w:color w:val="000000"/>
          <w:sz w:val="24"/>
        </w:rPr>
        <w:t xml:space="preserve">The conceptual genesis of </w:t>
      </w:r>
      <w:r>
        <w:rPr>
          <w:rFonts w:ascii="Times New Roman" w:hAnsi="Times New Roman"/>
          <w:b/>
          <w:i w:val="0"/>
          <w:color w:val="000000"/>
          <w:sz w:val="24"/>
        </w:rPr>
        <w:t>CloudShield</w:t>
      </w:r>
      <w:r>
        <w:rPr>
          <w:rFonts w:ascii="Times New Roman" w:hAnsi="Times New Roman"/>
          <w:b w:val="0"/>
          <w:i w:val="0"/>
          <w:color w:val="000000"/>
          <w:sz w:val="24"/>
        </w:rPr>
        <w:t xml:space="preserve"> was born directly out of this painful realization. In conventional commercial supply chain management, an unfulfilled order or an inaccurate inventory count is an abstract commercial variance—a financial reconciliation note to be resolved at the end of the fiscal quarter. In humanitarian relief logistics, however, an inventory discrepancy, a double-allocated shipment, or a delayed convoy translates directly into unmitigated dehydration, untreated wound sepsis, hypothermia, and lost human lives.</w:t>
      </w:r>
    </w:p>
    <w:p>
      <w:pPr>
        <w:spacing w:before="0" w:after="120" w:line="276" w:lineRule="auto"/>
        <w:jc w:val="both"/>
      </w:pPr>
      <w:r>
        <w:rPr>
          <w:rFonts w:ascii="Times New Roman" w:hAnsi="Times New Roman"/>
          <w:b w:val="0"/>
          <w:i w:val="0"/>
          <w:color w:val="000000"/>
          <w:sz w:val="24"/>
        </w:rPr>
        <w:t xml:space="preserve">We confronted an uncomfortable modern paradox: </w:t>
      </w:r>
      <w:r>
        <w:rPr>
          <w:rFonts w:ascii="Times New Roman" w:hAnsi="Times New Roman"/>
          <w:b w:val="0"/>
          <w:i/>
          <w:color w:val="000000"/>
          <w:sz w:val="24"/>
        </w:rPr>
        <w:t>In an era where hyper-scale cloud architectures, distributed stream processing, and predictive machine learning coordinate global e-commerce deliveries to urban doorsteps within sixty minutes, why do humanitarian disaster responses remain paralyzed by spreadsheet guesswork and phone-call chaos?</w:t>
      </w:r>
      <w:r>
        <w:rPr>
          <w:rFonts w:ascii="Times New Roman" w:hAnsi="Times New Roman"/>
          <w:b w:val="0"/>
          <w:i w:val="0"/>
          <w:color w:val="000000"/>
          <w:sz w:val="24"/>
        </w:rPr>
        <w:t xml:space="preserve"> The answer lies not in a lack of technology, but in a fundamental architectural disconnect: existing cloud software is engineered for commercial profit maximization, whereas disaster relief requires an empathetic architecture engineered for minimum survival standards, human dignity, and algorithmic fairness.</w:t>
      </w:r>
    </w:p>
    <w:p>
      <w:pPr>
        <w:pStyle w:val="Heading2"/>
        <w:keepNext/>
        <w:spacing w:before="200" w:after="80"/>
      </w:pPr>
      <w:r>
        <w:rPr>
          <w:rFonts w:ascii="Times New Roman" w:hAnsi="Times New Roman"/>
          <w:b/>
          <w:i w:val="0"/>
          <w:color w:val="000000"/>
          <w:sz w:val="25"/>
        </w:rPr>
        <w:t>1.3 Shifting the Paradigm: From Post-Mortem Reaction to Anticipatory Empathy</w:t>
      </w:r>
    </w:p>
    <w:p>
      <w:pPr>
        <w:spacing w:before="0" w:after="120" w:line="276" w:lineRule="auto"/>
        <w:jc w:val="both"/>
      </w:pPr>
      <w:r>
        <w:rPr>
          <w:rFonts w:ascii="Times New Roman" w:hAnsi="Times New Roman"/>
          <w:b w:val="0"/>
          <w:i w:val="0"/>
          <w:color w:val="000000"/>
          <w:sz w:val="24"/>
        </w:rPr>
        <w:t>Traditional disaster response operates on a reactive paradigm: authorities wait for a cyclone to make landfall or a river to breach its embankments, wait for field teams to conduct manual damage assessments, wait for casualty reports to be compiled, and only then begin mobilizing supply chains. This reactive delay creates a fatal 48-to-72-hour 'survival void' during which mortality spikes.</w:t>
      </w:r>
    </w:p>
    <w:p>
      <w:pPr>
        <w:spacing w:before="0" w:after="120" w:line="276" w:lineRule="auto"/>
        <w:jc w:val="both"/>
      </w:pPr>
      <w:r>
        <w:rPr>
          <w:rFonts w:ascii="Times New Roman" w:hAnsi="Times New Roman"/>
          <w:b w:val="0"/>
          <w:i w:val="0"/>
          <w:color w:val="000000"/>
          <w:sz w:val="24"/>
        </w:rPr>
        <w:t>CloudShield was conceived as a predictive, human-centered nervous system. By integrating hydrometeorological forecasts, topographical vulnerability layers, and real-time depot stock databases, CloudShield computes required survival resources forty-eight hours *before* peak landfall occurs. Rather than replacing human judgment, CloudShield provides incident commanders with transparent, mathematically audited decision support, ensuring that relief convoys are pre-positioned exactly where human life is most acutely endangered.</w:t>
      </w:r>
    </w:p>
    <w:p>
      <w:pPr>
        <w:pStyle w:val="Heading2"/>
        <w:keepNext/>
        <w:spacing w:before="200" w:after="80"/>
      </w:pPr>
      <w:r>
        <w:rPr>
          <w:rFonts w:ascii="Times New Roman" w:hAnsi="Times New Roman"/>
          <w:b/>
          <w:i w:val="0"/>
          <w:color w:val="000000"/>
          <w:sz w:val="25"/>
        </w:rPr>
        <w:t>1.4 Ethical Principles of Algorithmic Humanitarianism</w:t>
      </w:r>
    </w:p>
    <w:p>
      <w:pPr>
        <w:spacing w:before="0" w:after="120" w:line="276" w:lineRule="auto"/>
        <w:jc w:val="both"/>
      </w:pPr>
      <w:r>
        <w:rPr>
          <w:rFonts w:ascii="Times New Roman" w:hAnsi="Times New Roman"/>
          <w:b w:val="0"/>
          <w:i w:val="0"/>
          <w:color w:val="000000"/>
          <w:sz w:val="24"/>
        </w:rPr>
        <w:t>To ensure that algorithmic automation remains firmly anchored in humanitarian ethics, CloudShield is governed by three non-negotiable foundational principles:</w:t>
      </w:r>
      <w:r>
        <w:br/>
      </w:r>
      <w:r>
        <w:rPr>
          <w:rFonts w:ascii="Times New Roman" w:hAnsi="Times New Roman"/>
          <w:b w:val="0"/>
          <w:i w:val="0"/>
          <w:color w:val="000000"/>
          <w:sz w:val="24"/>
        </w:rPr>
        <w:t xml:space="preserve">1. </w:t>
      </w:r>
      <w:r>
        <w:rPr>
          <w:rFonts w:ascii="Times New Roman" w:hAnsi="Times New Roman"/>
          <w:b/>
          <w:i w:val="0"/>
          <w:color w:val="000000"/>
          <w:sz w:val="24"/>
        </w:rPr>
        <w:t>Equitable Urgency Prioritization:</w:t>
      </w:r>
      <w:r>
        <w:rPr>
          <w:rFonts w:ascii="Times New Roman" w:hAnsi="Times New Roman"/>
          <w:b w:val="0"/>
          <w:i w:val="0"/>
          <w:color w:val="000000"/>
          <w:sz w:val="24"/>
        </w:rPr>
        <w:t xml:space="preserve"> Allocation must be determined strictly by objective human peril—water depth, infrastructure isolation, and demographic vulnerability—never by administrative convenience or socio-political lobbying.</w:t>
      </w:r>
      <w:r>
        <w:br/>
      </w:r>
      <w:r>
        <w:rPr>
          <w:rFonts w:ascii="Times New Roman" w:hAnsi="Times New Roman"/>
          <w:b w:val="0"/>
          <w:i w:val="0"/>
          <w:color w:val="000000"/>
          <w:sz w:val="24"/>
        </w:rPr>
        <w:t xml:space="preserve">2. </w:t>
      </w:r>
      <w:r>
        <w:rPr>
          <w:rFonts w:ascii="Times New Roman" w:hAnsi="Times New Roman"/>
          <w:b/>
          <w:i w:val="0"/>
          <w:color w:val="000000"/>
          <w:sz w:val="24"/>
        </w:rPr>
        <w:t>Preservation of Invisible Need:</w:t>
      </w:r>
      <w:r>
        <w:rPr>
          <w:rFonts w:ascii="Times New Roman" w:hAnsi="Times New Roman"/>
          <w:b w:val="0"/>
          <w:i w:val="0"/>
          <w:color w:val="000000"/>
          <w:sz w:val="24"/>
        </w:rPr>
        <w:t xml:space="preserve"> If a disaster zone is physically severed by flooded bridges, the system must never delete or suppress its demand record. Physical impassability must elevate the urgency of the zone, triggering alternative escalation mechanisms.</w:t>
      </w:r>
      <w:r>
        <w:br/>
      </w:r>
      <w:r>
        <w:rPr>
          <w:rFonts w:ascii="Times New Roman" w:hAnsi="Times New Roman"/>
          <w:b w:val="0"/>
          <w:i w:val="0"/>
          <w:color w:val="000000"/>
          <w:sz w:val="24"/>
        </w:rPr>
        <w:t xml:space="preserve">3. </w:t>
      </w:r>
      <w:r>
        <w:rPr>
          <w:rFonts w:ascii="Times New Roman" w:hAnsi="Times New Roman"/>
          <w:b/>
          <w:i w:val="0"/>
          <w:color w:val="000000"/>
          <w:sz w:val="24"/>
        </w:rPr>
        <w:t>Uncompromising Human Accountability:</w:t>
      </w:r>
      <w:r>
        <w:rPr>
          <w:rFonts w:ascii="Times New Roman" w:hAnsi="Times New Roman"/>
          <w:b w:val="0"/>
          <w:i w:val="0"/>
          <w:color w:val="000000"/>
          <w:sz w:val="24"/>
        </w:rPr>
        <w:t xml:space="preserve"> Algorithms propose; authorized human leaders decide. Autonomous AI must never have the unsupervised power to commit emergency survival stocks without cryptographic human governance.</w:t>
      </w:r>
    </w:p>
    <w:p>
      <w:pPr>
        <w:pStyle w:val="Heading2"/>
        <w:keepNext/>
        <w:spacing w:before="200" w:after="80"/>
      </w:pPr>
      <w:r>
        <w:rPr>
          <w:rFonts w:ascii="Times New Roman" w:hAnsi="Times New Roman"/>
          <w:b/>
          <w:i w:val="0"/>
          <w:color w:val="000000"/>
          <w:sz w:val="25"/>
        </w:rPr>
        <w:t>1.5 Comparative Case Study Analysis of Indian and Southeast Asian Disasters</w:t>
      </w:r>
    </w:p>
    <w:p>
      <w:pPr>
        <w:spacing w:before="0" w:after="120" w:line="276" w:lineRule="auto"/>
        <w:jc w:val="both"/>
      </w:pPr>
      <w:r>
        <w:rPr>
          <w:rFonts w:ascii="Times New Roman" w:hAnsi="Times New Roman"/>
          <w:b w:val="0"/>
          <w:i w:val="0"/>
          <w:color w:val="000000"/>
          <w:sz w:val="24"/>
        </w:rPr>
        <w:t>The architectural requirements of CloudShield were benchmarked against four major climate disasters that struck peninsular India over the past decade, revealing consistent logistical pathologies:</w:t>
      </w:r>
      <w:r>
        <w:br/>
      </w:r>
      <w:r>
        <w:rPr>
          <w:rFonts w:ascii="Times New Roman" w:hAnsi="Times New Roman"/>
          <w:b w:val="0"/>
          <w:i w:val="0"/>
          <w:color w:val="000000"/>
          <w:sz w:val="24"/>
        </w:rPr>
        <w:t xml:space="preserve">• </w:t>
      </w:r>
      <w:r>
        <w:rPr>
          <w:rFonts w:ascii="Times New Roman" w:hAnsi="Times New Roman"/>
          <w:b/>
          <w:i w:val="0"/>
          <w:color w:val="000000"/>
          <w:sz w:val="24"/>
        </w:rPr>
        <w:t>The 2015 South Indian Floods (Chennai &amp; Cuddalore):</w:t>
      </w:r>
      <w:r>
        <w:rPr>
          <w:rFonts w:ascii="Times New Roman" w:hAnsi="Times New Roman"/>
          <w:b w:val="0"/>
          <w:i w:val="0"/>
          <w:color w:val="000000"/>
          <w:sz w:val="24"/>
        </w:rPr>
        <w:t xml:space="preserve"> Unprecedented rainfall overwhelmed the Chembarambakkam reservoir, displacing 1.8 million residents. Post-disaster inquiries revealed that central warehouses possessed over 400,000 food packets, yet over 40% expired before transit due to uncoordinated dispatching and severed arterial bridges along the Adyar river basin.</w:t>
      </w:r>
      <w:r>
        <w:br/>
      </w:r>
      <w:r>
        <w:rPr>
          <w:rFonts w:ascii="Times New Roman" w:hAnsi="Times New Roman"/>
          <w:b w:val="0"/>
          <w:i w:val="0"/>
          <w:color w:val="000000"/>
          <w:sz w:val="24"/>
        </w:rPr>
        <w:t xml:space="preserve">• </w:t>
      </w:r>
      <w:r>
        <w:rPr>
          <w:rFonts w:ascii="Times New Roman" w:hAnsi="Times New Roman"/>
          <w:b/>
          <w:i w:val="0"/>
          <w:color w:val="000000"/>
          <w:sz w:val="24"/>
        </w:rPr>
        <w:t>The 2018 Kerala Monsoon Inundation:</w:t>
      </w:r>
      <w:r>
        <w:rPr>
          <w:rFonts w:ascii="Times New Roman" w:hAnsi="Times New Roman"/>
          <w:b w:val="0"/>
          <w:i w:val="0"/>
          <w:color w:val="000000"/>
          <w:sz w:val="24"/>
        </w:rPr>
        <w:t xml:space="preserve"> Catastrophic multi-dam releases triggered widespread landslides across Idukki and flooding across Ernakulam and Thrissur. While ground volunteer mobilization was unprecedented, independent NGO supply trucks clogged narrow highland roads, creating severe traffic deadlocks while critical medical supplies were duplicated at major relief camps.</w:t>
      </w:r>
      <w:r>
        <w:br/>
      </w:r>
      <w:r>
        <w:rPr>
          <w:rFonts w:ascii="Times New Roman" w:hAnsi="Times New Roman"/>
          <w:b w:val="0"/>
          <w:i w:val="0"/>
          <w:color w:val="000000"/>
          <w:sz w:val="24"/>
        </w:rPr>
        <w:t xml:space="preserve">• </w:t>
      </w:r>
      <w:r>
        <w:rPr>
          <w:rFonts w:ascii="Times New Roman" w:hAnsi="Times New Roman"/>
          <w:b/>
          <w:i w:val="0"/>
          <w:color w:val="000000"/>
          <w:sz w:val="24"/>
        </w:rPr>
        <w:t>Cyclone Fani (Odisha, 2019):</w:t>
      </w:r>
      <w:r>
        <w:rPr>
          <w:rFonts w:ascii="Times New Roman" w:hAnsi="Times New Roman"/>
          <w:b w:val="0"/>
          <w:i w:val="0"/>
          <w:color w:val="000000"/>
          <w:sz w:val="24"/>
        </w:rPr>
        <w:t xml:space="preserve"> While the state achieved a historic mass evacuation of 1.2 million citizens within 24 hours, the post-landfall phase suffered severe potable water shortages across Puri and Khordha districts due to fallen electrical towers disabling water pump stations—an acute vulnerability that CloudShield's mobile power and water prediction directly mitigates.</w:t>
      </w:r>
      <w:r>
        <w:br/>
      </w:r>
      <w:r>
        <w:rPr>
          <w:rFonts w:ascii="Times New Roman" w:hAnsi="Times New Roman"/>
          <w:b w:val="0"/>
          <w:i w:val="0"/>
          <w:color w:val="000000"/>
          <w:sz w:val="24"/>
        </w:rPr>
        <w:t xml:space="preserve">• </w:t>
      </w:r>
      <w:r>
        <w:rPr>
          <w:rFonts w:ascii="Times New Roman" w:hAnsi="Times New Roman"/>
          <w:b/>
          <w:i w:val="0"/>
          <w:color w:val="000000"/>
          <w:sz w:val="24"/>
        </w:rPr>
        <w:t>Cyclone Michaung (Tamil Nadu &amp; Andhra Pradesh, 2023):</w:t>
      </w:r>
      <w:r>
        <w:rPr>
          <w:rFonts w:ascii="Times New Roman" w:hAnsi="Times New Roman"/>
          <w:b w:val="0"/>
          <w:i w:val="0"/>
          <w:color w:val="000000"/>
          <w:sz w:val="24"/>
        </w:rPr>
        <w:t xml:space="preserve"> Urban flash flooding created localized 'islands' cut off from telecommunication backhauls, highlighting the absolute necessity of offline-first edge decision architectures and automated unserviceable demand escalation for airborne relief.</w:t>
      </w:r>
    </w:p>
    <w:p>
      <w:r>
        <w:br w:type="page"/>
      </w:r>
    </w:p>
    <w:p>
      <w:pPr>
        <w:pStyle w:val="Heading1"/>
        <w:keepNext/>
        <w:spacing w:before="280" w:after="280"/>
        <w:jc w:val="center"/>
      </w:pPr>
      <w:r>
        <w:rPr>
          <w:rFonts w:ascii="Times New Roman" w:hAnsi="Times New Roman"/>
          <w:b/>
          <w:i w:val="0"/>
          <w:color w:val="000000"/>
          <w:sz w:val="28"/>
        </w:rPr>
        <w:t>CHAPTER 2: STRUCTURAL GAPS AND PATHOLOGIES IN TRADITIONAL EMERGENCY LOGISTICS</w:t>
      </w:r>
    </w:p>
    <w:p>
      <w:pPr>
        <w:pStyle w:val="Heading2"/>
        <w:keepNext/>
        <w:spacing w:before="200" w:after="80"/>
      </w:pPr>
      <w:r>
        <w:rPr>
          <w:rFonts w:ascii="Times New Roman" w:hAnsi="Times New Roman"/>
          <w:b/>
          <w:i w:val="0"/>
          <w:color w:val="000000"/>
          <w:sz w:val="25"/>
        </w:rPr>
        <w:t>2.1 The 'Last-Mile Void': Why Meteorological Bulletins Fail Field Responders</w:t>
      </w:r>
    </w:p>
    <w:p>
      <w:pPr>
        <w:spacing w:before="0" w:after="120" w:line="276" w:lineRule="auto"/>
        <w:jc w:val="both"/>
      </w:pPr>
      <w:r>
        <w:rPr>
          <w:rFonts w:ascii="Times New Roman" w:hAnsi="Times New Roman"/>
          <w:b w:val="0"/>
          <w:i w:val="0"/>
          <w:color w:val="000000"/>
          <w:sz w:val="24"/>
        </w:rPr>
        <w:t xml:space="preserve">The first structural pathology in conventional disaster management is the acute semantic gap between meteorological science and logistical execution—a breakdown we term the </w:t>
      </w:r>
      <w:r>
        <w:rPr>
          <w:rFonts w:ascii="Times New Roman" w:hAnsi="Times New Roman"/>
          <w:b w:val="0"/>
          <w:i/>
          <w:color w:val="000000"/>
          <w:sz w:val="24"/>
        </w:rPr>
        <w:t>Last-Mile Void</w:t>
      </w:r>
      <w:r>
        <w:rPr>
          <w:rFonts w:ascii="Times New Roman" w:hAnsi="Times New Roman"/>
          <w:b w:val="0"/>
          <w:i w:val="0"/>
          <w:color w:val="000000"/>
          <w:sz w:val="24"/>
        </w:rPr>
        <w:t>. National meteorological agencies and earth observation institutions (such as the IMD, NOAA, and ECMWF) generate sophisticated satellite precipitation radar models, atmospheric pressure isobars, and river catchment hydrographs. However, these bulletins are delivered in raw physical metrics: millimeters of precipitation, wind speeds in knots, and river discharge in cubic meters per second (cusecs).</w:t>
      </w:r>
    </w:p>
    <w:p>
      <w:pPr>
        <w:spacing w:before="0" w:after="120" w:line="276" w:lineRule="auto"/>
        <w:jc w:val="both"/>
      </w:pPr>
      <w:r>
        <w:rPr>
          <w:rFonts w:ascii="Times New Roman" w:hAnsi="Times New Roman"/>
          <w:b w:val="0"/>
          <w:i w:val="0"/>
          <w:color w:val="000000"/>
          <w:sz w:val="24"/>
        </w:rPr>
        <w:t>At the operational frontline, district collectors, block development officers, and field volunteer coordinators possess neither the computational tools nor the hydrological expertise to translate '380 mm cumulative rainfall in 24 hours across Basin Delta' into actionable logistical orders. A field director cannot dispatch '380 mm of rain' to a warehouse; they must know precisely how many liters of drinking water, how many nutritional rations, and how many pediatric trauma kits must be loaded onto a six-wheel truck by 05:00 AM. In the absence of an automated translation engine, field officers resort to crude heuristic guesses, resulting in catastrophic mismatches between actual survival needs and delivered goods.</w:t>
      </w:r>
    </w:p>
    <w:p>
      <w:pPr>
        <w:pStyle w:val="Heading2"/>
        <w:keepNext/>
        <w:spacing w:before="200" w:after="80"/>
      </w:pPr>
      <w:r>
        <w:rPr>
          <w:rFonts w:ascii="Times New Roman" w:hAnsi="Times New Roman"/>
          <w:b/>
          <w:i w:val="0"/>
          <w:color w:val="000000"/>
          <w:sz w:val="25"/>
        </w:rPr>
        <w:t>2.2 The Pathology of Spreadsheet Logistics: Concurrency Failures and Ghost Commitments</w:t>
      </w:r>
    </w:p>
    <w:p>
      <w:pPr>
        <w:spacing w:before="0" w:after="120" w:line="276" w:lineRule="auto"/>
        <w:jc w:val="both"/>
      </w:pPr>
      <w:r>
        <w:rPr>
          <w:rFonts w:ascii="Times New Roman" w:hAnsi="Times New Roman"/>
          <w:b w:val="0"/>
          <w:i w:val="0"/>
          <w:color w:val="000000"/>
          <w:sz w:val="24"/>
        </w:rPr>
        <w:t>During large-scale climate disasters, emergency response operations inherently involve multi-agency coordination spanning civil defense, state disaster management authorities (SDMA), military disaster response forces (NDRF), public health departments, and non-governmental organizations. Under current administrative practices, these independent entities attempt to coordinate logistics using shared cloud spreadsheets (e.g., Google Sheets or Microsoft Excel workbooks) or fragmented instant messaging channels.</w:t>
      </w:r>
    </w:p>
    <w:p>
      <w:pPr>
        <w:spacing w:before="0" w:after="120" w:line="276" w:lineRule="auto"/>
        <w:jc w:val="both"/>
      </w:pPr>
      <w:r>
        <w:rPr>
          <w:rFonts w:ascii="Times New Roman" w:hAnsi="Times New Roman"/>
          <w:b w:val="0"/>
          <w:i w:val="0"/>
          <w:color w:val="000000"/>
          <w:sz w:val="24"/>
        </w:rPr>
        <w:t>Spreadsheet-based coordination suffers from fatal architectural deficiencies when deployed in mission-critical environments:</w:t>
      </w:r>
      <w:r>
        <w:br/>
      </w:r>
      <w:r>
        <w:rPr>
          <w:rFonts w:ascii="Times New Roman" w:hAnsi="Times New Roman"/>
          <w:b w:val="0"/>
          <w:i w:val="0"/>
          <w:color w:val="000000"/>
          <w:sz w:val="24"/>
        </w:rPr>
        <w:t xml:space="preserve">• </w:t>
      </w:r>
      <w:r>
        <w:rPr>
          <w:rFonts w:ascii="Times New Roman" w:hAnsi="Times New Roman"/>
          <w:b/>
          <w:i w:val="0"/>
          <w:color w:val="000000"/>
          <w:sz w:val="24"/>
        </w:rPr>
        <w:t>Absence of Concurrency Control &amp; Mutex Locks:</w:t>
      </w:r>
      <w:r>
        <w:rPr>
          <w:rFonts w:ascii="Times New Roman" w:hAnsi="Times New Roman"/>
          <w:b w:val="0"/>
          <w:i w:val="0"/>
          <w:color w:val="000000"/>
          <w:sz w:val="24"/>
        </w:rPr>
        <w:t xml:space="preserve"> In an acute crisis, three separate desk officers simultaneously attempt to allocate supplies from the same central warehouse. Because spreadsheets lack row-level database locking and ACID transaction guarantees, all three officers observe an available balance of 5,000 blankets and promise those same blankets to three different evacuation shelters. When transport convoys arrive at the warehouse gate, the physical inventory is depleted by the first truck, leaving two shelters stranded with zero supplies—a catastrophic failure known as </w:t>
      </w:r>
      <w:r>
        <w:rPr>
          <w:rFonts w:ascii="Times New Roman" w:hAnsi="Times New Roman"/>
          <w:b w:val="0"/>
          <w:i/>
          <w:color w:val="000000"/>
          <w:sz w:val="24"/>
        </w:rPr>
        <w:t>Ghost Commitment</w:t>
      </w:r>
      <w:r>
        <w:rPr>
          <w:rFonts w:ascii="Times New Roman" w:hAnsi="Times New Roman"/>
          <w:b w:val="0"/>
          <w:i w:val="0"/>
          <w:color w:val="000000"/>
          <w:sz w:val="24"/>
        </w:rPr>
        <w:t>.</w:t>
      </w:r>
      <w:r>
        <w:br/>
      </w:r>
      <w:r>
        <w:rPr>
          <w:rFonts w:ascii="Times New Roman" w:hAnsi="Times New Roman"/>
          <w:b w:val="0"/>
          <w:i w:val="0"/>
          <w:color w:val="000000"/>
          <w:sz w:val="24"/>
        </w:rPr>
        <w:t xml:space="preserve">• </w:t>
      </w:r>
      <w:r>
        <w:rPr>
          <w:rFonts w:ascii="Times New Roman" w:hAnsi="Times New Roman"/>
          <w:b/>
          <w:i w:val="0"/>
          <w:color w:val="000000"/>
          <w:sz w:val="24"/>
        </w:rPr>
        <w:t>Lack of State Machine Discipline:</w:t>
      </w:r>
      <w:r>
        <w:rPr>
          <w:rFonts w:ascii="Times New Roman" w:hAnsi="Times New Roman"/>
          <w:b w:val="0"/>
          <w:i w:val="0"/>
          <w:color w:val="000000"/>
          <w:sz w:val="24"/>
        </w:rPr>
        <w:t xml:space="preserve"> Spreadsheets do not enforce strict state transition rules. Cells are arbitrarily overwritten, formulas are accidentally deleted by panicked operators, and historical audit trails are permanently destroyed, making post-incident forensic accountability impossible.</w:t>
      </w:r>
      <w:r>
        <w:br/>
      </w:r>
      <w:r>
        <w:rPr>
          <w:rFonts w:ascii="Times New Roman" w:hAnsi="Times New Roman"/>
          <w:b w:val="0"/>
          <w:i w:val="0"/>
          <w:color w:val="000000"/>
          <w:sz w:val="24"/>
        </w:rPr>
        <w:t xml:space="preserve">• </w:t>
      </w:r>
      <w:r>
        <w:rPr>
          <w:rFonts w:ascii="Times New Roman" w:hAnsi="Times New Roman"/>
          <w:b/>
          <w:i w:val="0"/>
          <w:color w:val="000000"/>
          <w:sz w:val="24"/>
        </w:rPr>
        <w:t>Cellular Network Disconnects &amp; Dirty Reads:</w:t>
      </w:r>
      <w:r>
        <w:rPr>
          <w:rFonts w:ascii="Times New Roman" w:hAnsi="Times New Roman"/>
          <w:b w:val="0"/>
          <w:i w:val="0"/>
          <w:color w:val="000000"/>
          <w:sz w:val="24"/>
        </w:rPr>
        <w:t xml:space="preserve"> Responders in field camps with erratic 2G/3G connectivity frequently experience silent synchronization failures, making operational decisions on stale, cached data that no longer reflects real depot availability.</w:t>
      </w:r>
    </w:p>
    <w:p>
      <w:pPr>
        <w:pStyle w:val="Heading2"/>
        <w:keepNext/>
        <w:spacing w:before="200" w:after="80"/>
      </w:pPr>
      <w:r>
        <w:rPr>
          <w:rFonts w:ascii="Times New Roman" w:hAnsi="Times New Roman"/>
          <w:b/>
          <w:i w:val="0"/>
          <w:color w:val="000000"/>
          <w:sz w:val="25"/>
        </w:rPr>
        <w:t>2.3 The Fatal 'Route Pruning' Fallacy of Commercial Supply Chain Software</w:t>
      </w:r>
    </w:p>
    <w:p>
      <w:pPr>
        <w:spacing w:before="0" w:after="120" w:line="276" w:lineRule="auto"/>
        <w:jc w:val="both"/>
      </w:pPr>
      <w:r>
        <w:rPr>
          <w:rFonts w:ascii="Times New Roman" w:hAnsi="Times New Roman"/>
          <w:b w:val="0"/>
          <w:i w:val="0"/>
          <w:color w:val="000000"/>
          <w:sz w:val="24"/>
        </w:rPr>
        <w:t xml:space="preserve">When public safety agencies attempt to repurpose commercial enterprise resource planning (ERP) software (such as SAP SCM, Oracle Logistics, or commercial vehicle routing optimizers) for disaster relief, they encounter a lethal mathematical flaw: the </w:t>
      </w:r>
      <w:r>
        <w:rPr>
          <w:rFonts w:ascii="Times New Roman" w:hAnsi="Times New Roman"/>
          <w:b w:val="0"/>
          <w:i/>
          <w:color w:val="000000"/>
          <w:sz w:val="24"/>
        </w:rPr>
        <w:t>Route Pruning Fallacy</w:t>
      </w:r>
      <w:r>
        <w:rPr>
          <w:rFonts w:ascii="Times New Roman" w:hAnsi="Times New Roman"/>
          <w:b w:val="0"/>
          <w:i w:val="0"/>
          <w:color w:val="000000"/>
          <w:sz w:val="24"/>
        </w:rPr>
        <w:t>. Commercial logistics solvers are mathematically formulated around cost minimization, distance minimization, or transit feasibility. In a commercial setting, if an access bridge collapses or an arterial highway is submerged under five feet of floodwater, the commercial algorithm treats that delivery node as mathematically 'infeasible' or penalizes it with infinite routing cost.</w:t>
      </w:r>
    </w:p>
    <w:p>
      <w:pPr>
        <w:spacing w:before="0" w:after="120" w:line="276" w:lineRule="auto"/>
        <w:jc w:val="both"/>
      </w:pPr>
      <w:r>
        <w:rPr>
          <w:rFonts w:ascii="Times New Roman" w:hAnsi="Times New Roman"/>
          <w:b w:val="0"/>
          <w:i w:val="0"/>
          <w:color w:val="000000"/>
          <w:sz w:val="24"/>
        </w:rPr>
        <w:t xml:space="preserve">Consequently, commercial solvers automatically </w:t>
      </w:r>
      <w:r>
        <w:rPr>
          <w:rFonts w:ascii="Times New Roman" w:hAnsi="Times New Roman"/>
          <w:b/>
          <w:i w:val="0"/>
          <w:color w:val="000000"/>
          <w:sz w:val="24"/>
        </w:rPr>
        <w:t>prune</w:t>
      </w:r>
      <w:r>
        <w:rPr>
          <w:rFonts w:ascii="Times New Roman" w:hAnsi="Times New Roman"/>
          <w:b w:val="0"/>
          <w:i w:val="0"/>
          <w:color w:val="000000"/>
          <w:sz w:val="24"/>
        </w:rPr>
        <w:t xml:space="preserve"> the cut-off zone from the active delivery queue to optimize the objective function of the remaining fleet. In commercial e-commerce, delaying a package because of a washed-out road is sound financial logic. In humanitarian disaster relief, however, this logic is murderous. If a rural hamlet is physically cut off by floodwaters, its survival vulnerability does not drop to zero—it skyrockets. By pruning severed nodes, traditional software renders the most endangered populations completely invisible to leadership. CloudShield eliminates this pathology through the mathematical decoupling of need urgency from route feasibility.</w:t>
      </w:r>
    </w:p>
    <w:p>
      <w:pPr>
        <w:pStyle w:val="Heading2"/>
        <w:keepNext/>
        <w:spacing w:before="200" w:after="80"/>
      </w:pPr>
      <w:r>
        <w:rPr>
          <w:rFonts w:ascii="Times New Roman" w:hAnsi="Times New Roman"/>
          <w:b/>
          <w:i w:val="0"/>
          <w:color w:val="000000"/>
          <w:sz w:val="25"/>
        </w:rPr>
        <w:t>2.4 Distributive Inequity, Political Bias, and Panic Dispatching</w:t>
      </w:r>
    </w:p>
    <w:p>
      <w:pPr>
        <w:spacing w:before="0" w:after="120" w:line="276" w:lineRule="auto"/>
        <w:jc w:val="both"/>
      </w:pPr>
      <w:r>
        <w:rPr>
          <w:rFonts w:ascii="Times New Roman" w:hAnsi="Times New Roman"/>
          <w:b w:val="0"/>
          <w:i w:val="0"/>
          <w:color w:val="000000"/>
          <w:sz w:val="24"/>
        </w:rPr>
        <w:t>In the absence of a transparent, objective mathematical framework, relief distribution inevitably degrades into panic dispatching governed by socio-political noise. Neighborhoods with active social media presences or influential political representation receive disproportionate relief attention, while marginalized low-income colonies and rural agrarian hamlets without digital connectivity are overlooked. CloudShield's automated Disaster Priority &amp; Relief Index (DPRI) restores distributive justice by anchoring all priority calculations in transparent, empirical hazard and vulnerability telemetry.</w:t>
      </w:r>
    </w:p>
    <w:p>
      <w:pPr>
        <w:pStyle w:val="Heading2"/>
        <w:keepNext/>
        <w:spacing w:before="200" w:after="80"/>
      </w:pPr>
      <w:r>
        <w:rPr>
          <w:rFonts w:ascii="Times New Roman" w:hAnsi="Times New Roman"/>
          <w:b/>
          <w:i w:val="0"/>
          <w:color w:val="000000"/>
          <w:sz w:val="25"/>
        </w:rPr>
        <w:t>2.5 Information Cascades and the Sociology of Emergency Resource Hoarding</w:t>
      </w:r>
    </w:p>
    <w:p>
      <w:pPr>
        <w:spacing w:before="0" w:after="120" w:line="276" w:lineRule="auto"/>
        <w:jc w:val="both"/>
      </w:pPr>
      <w:r>
        <w:rPr>
          <w:rFonts w:ascii="Times New Roman" w:hAnsi="Times New Roman"/>
          <w:b w:val="0"/>
          <w:i w:val="0"/>
          <w:color w:val="000000"/>
          <w:sz w:val="24"/>
        </w:rPr>
        <w:t>During natural disasters, psychological panic spreads rapidly among field station managers and local revenue officials. When reports surface that water or antibiotic stocks are running low in the capital city, perimeter depot managers engage in defensive hoarding—falsely reporting zero stock to central authorities to preserve local reserves for their immediate jurisdiction. This creates artificial scarcity across the state supply chain. CloudShield counters defensive hoarding through cryptographically signed inventory manifests and automated multi-depot visibility that balances local buffer reservations (15%) against state emergency dispatches.</w:t>
      </w:r>
    </w:p>
    <w:p>
      <w:r>
        <w:br w:type="page"/>
      </w:r>
    </w:p>
    <w:p>
      <w:pPr>
        <w:pStyle w:val="Heading1"/>
        <w:keepNext/>
        <w:spacing w:before="280" w:after="280"/>
        <w:jc w:val="center"/>
      </w:pPr>
      <w:r>
        <w:rPr>
          <w:rFonts w:ascii="Times New Roman" w:hAnsi="Times New Roman"/>
          <w:b/>
          <w:i w:val="0"/>
          <w:color w:val="000000"/>
          <w:sz w:val="28"/>
        </w:rPr>
        <w:t>CHAPTER 3: INTELLECTUAL PROPERTY &amp; CORE TECHNICAL NOVELTY (IDF-B ALIGNMENT)</w:t>
      </w:r>
    </w:p>
    <w:p>
      <w:pPr>
        <w:pStyle w:val="Heading2"/>
        <w:keepNext/>
        <w:spacing w:before="200" w:after="80"/>
      </w:pPr>
      <w:r>
        <w:rPr>
          <w:rFonts w:ascii="Times New Roman" w:hAnsi="Times New Roman"/>
          <w:b/>
          <w:i w:val="0"/>
          <w:color w:val="000000"/>
          <w:sz w:val="25"/>
        </w:rPr>
        <w:t>3.1 Institutional Intellectual Property Alignment (Doc No. 02-IPR-R003)</w:t>
      </w:r>
    </w:p>
    <w:p>
      <w:pPr>
        <w:spacing w:before="0" w:after="120" w:line="276" w:lineRule="auto"/>
        <w:jc w:val="both"/>
      </w:pPr>
      <w:r>
        <w:rPr>
          <w:rFonts w:ascii="Times New Roman" w:hAnsi="Times New Roman"/>
          <w:b w:val="0"/>
          <w:i w:val="0"/>
          <w:color w:val="000000"/>
          <w:sz w:val="24"/>
        </w:rPr>
        <w:t>To systematically address the structural pathologies of classical emergency relief, CloudShield introduces four foundational technical novelties, formally documented under institutional Invention Disclosure Form (IDF) Doc No. 02-IPR-R003. Unlike prior academic models that focus narrowly on offline mixed-integer linear programming (MILP), CloudShield establishes an end-to-end, resilient cloud architecture combining real-time multi-criteria decision modeling, two-stage state machine governance, and international humanitarian calibration.</w:t>
      </w:r>
    </w:p>
    <w:p>
      <w:pPr>
        <w:pStyle w:val="Heading2"/>
        <w:keepNext/>
        <w:spacing w:before="200" w:after="80"/>
      </w:pPr>
      <w:r>
        <w:rPr>
          <w:rFonts w:ascii="Times New Roman" w:hAnsi="Times New Roman"/>
          <w:b/>
          <w:i w:val="0"/>
          <w:color w:val="000000"/>
          <w:sz w:val="25"/>
        </w:rPr>
        <w:t>3.2 Novelty 1: Version-Linked Planning Snapshot Architecture</w:t>
      </w:r>
    </w:p>
    <w:p>
      <w:pPr>
        <w:spacing w:before="0" w:after="120" w:line="276" w:lineRule="auto"/>
        <w:jc w:val="both"/>
      </w:pPr>
      <w:r>
        <w:rPr>
          <w:rFonts w:ascii="Times New Roman" w:hAnsi="Times New Roman"/>
          <w:b w:val="0"/>
          <w:i w:val="0"/>
          <w:color w:val="000000"/>
          <w:sz w:val="24"/>
        </w:rPr>
        <w:t xml:space="preserve">Disaster environments are characterized by extreme temporal instability: meteorological forecasts update every three to six hours, road access reports fluctuate continuously, and warehouse inventory changes with every arriving delivery convoy. Traditional systems suffer from </w:t>
      </w:r>
      <w:r>
        <w:rPr>
          <w:rFonts w:ascii="Times New Roman" w:hAnsi="Times New Roman"/>
          <w:b w:val="0"/>
          <w:i/>
          <w:color w:val="000000"/>
          <w:sz w:val="24"/>
        </w:rPr>
        <w:t>Planning Drift</w:t>
      </w:r>
      <w:r>
        <w:rPr>
          <w:rFonts w:ascii="Times New Roman" w:hAnsi="Times New Roman"/>
          <w:b w:val="0"/>
          <w:i w:val="0"/>
          <w:color w:val="000000"/>
          <w:sz w:val="24"/>
        </w:rPr>
        <w:t>, where an optimization algorithm computes an allocation based on inventory data from 10:00 AM combined with weather data from 11:30 AM, resulting in an internally inconsistent operational plan.</w:t>
      </w:r>
    </w:p>
    <w:p>
      <w:pPr>
        <w:spacing w:before="0" w:after="120" w:line="276" w:lineRule="auto"/>
        <w:jc w:val="both"/>
      </w:pPr>
      <w:r>
        <w:rPr>
          <w:rFonts w:ascii="Times New Roman" w:hAnsi="Times New Roman"/>
          <w:b w:val="0"/>
          <w:i w:val="0"/>
          <w:color w:val="000000"/>
          <w:sz w:val="24"/>
        </w:rPr>
        <w:t xml:space="preserve">CloudShield resolves this by implementing the </w:t>
      </w:r>
      <w:r>
        <w:rPr>
          <w:rFonts w:ascii="Times New Roman" w:hAnsi="Times New Roman"/>
          <w:b/>
          <w:i w:val="0"/>
          <w:color w:val="000000"/>
          <w:sz w:val="24"/>
        </w:rPr>
        <w:t>Version-Linked Planning Snapshot</w:t>
      </w:r>
      <w:r>
        <w:rPr>
          <w:rFonts w:ascii="Times New Roman" w:hAnsi="Times New Roman"/>
          <w:b w:val="0"/>
          <w:i w:val="0"/>
          <w:color w:val="000000"/>
          <w:sz w:val="24"/>
        </w:rPr>
        <w:t xml:space="preserve"> protocol. Before any optimization run executes, the system captures a point-in-time, cryptographically hashed snapshot that simultaneously binds:</w:t>
      </w:r>
      <w:r>
        <w:br/>
      </w:r>
      <w:r>
        <w:rPr>
          <w:rFonts w:ascii="Times New Roman" w:hAnsi="Times New Roman"/>
          <w:b w:val="0"/>
          <w:i w:val="0"/>
          <w:color w:val="000000"/>
          <w:sz w:val="24"/>
        </w:rPr>
        <w:t>1. The active hydrometeorological hazard telemetry vector across all registered disaster zones.</w:t>
      </w:r>
      <w:r>
        <w:br/>
      </w:r>
      <w:r>
        <w:rPr>
          <w:rFonts w:ascii="Times New Roman" w:hAnsi="Times New Roman"/>
          <w:b w:val="0"/>
          <w:i w:val="0"/>
          <w:color w:val="000000"/>
          <w:sz w:val="24"/>
        </w:rPr>
        <w:t>2. The verified population census, demographic vulnerability ratios, and casualty counts.</w:t>
      </w:r>
      <w:r>
        <w:br/>
      </w:r>
      <w:r>
        <w:rPr>
          <w:rFonts w:ascii="Times New Roman" w:hAnsi="Times New Roman"/>
          <w:b w:val="0"/>
          <w:i w:val="0"/>
          <w:color w:val="000000"/>
          <w:sz w:val="24"/>
        </w:rPr>
        <w:t>3. The exact real-time physical inventory balances across all participating supply depots.</w:t>
      </w:r>
      <w:r>
        <w:br/>
      </w:r>
      <w:r>
        <w:rPr>
          <w:rFonts w:ascii="Times New Roman" w:hAnsi="Times New Roman"/>
          <w:b w:val="0"/>
          <w:i w:val="0"/>
          <w:color w:val="000000"/>
          <w:sz w:val="24"/>
        </w:rPr>
        <w:t>4. The current road accessibility and infrastructure isolation coefficients.</w:t>
      </w:r>
      <w:r>
        <w:br/>
      </w:r>
      <w:r>
        <w:rPr>
          <w:rFonts w:ascii="Times New Roman" w:hAnsi="Times New Roman"/>
          <w:b w:val="0"/>
          <w:i w:val="0"/>
          <w:color w:val="000000"/>
          <w:sz w:val="24"/>
        </w:rPr>
        <w:t>Every generated allocation manifest is permanently linked to this snapshot ID. This ensures complete algorithmic determinism: any historical decision can be re-run, verified, and audited with mathematical reproducibility.</w:t>
      </w:r>
    </w:p>
    <w:p>
      <w:pPr>
        <w:pStyle w:val="Heading2"/>
        <w:keepNext/>
        <w:spacing w:before="200" w:after="80"/>
      </w:pPr>
      <w:r>
        <w:rPr>
          <w:rFonts w:ascii="Times New Roman" w:hAnsi="Times New Roman"/>
          <w:b/>
          <w:i w:val="0"/>
          <w:color w:val="000000"/>
          <w:sz w:val="25"/>
        </w:rPr>
        <w:t>3.3 Novelty 2: Decoupled Need Urgency from Route Feasibility (Unserviceable Demand Escrow)</w:t>
      </w:r>
    </w:p>
    <w:p>
      <w:pPr>
        <w:spacing w:before="0" w:after="120" w:line="276" w:lineRule="auto"/>
        <w:jc w:val="both"/>
      </w:pPr>
      <w:r>
        <w:rPr>
          <w:rFonts w:ascii="Times New Roman" w:hAnsi="Times New Roman"/>
          <w:b w:val="0"/>
          <w:i w:val="0"/>
          <w:color w:val="000000"/>
          <w:sz w:val="24"/>
        </w:rPr>
        <w:t xml:space="preserve">The defining humanitarian innovation of CloudShield is the strict mathematical decoupling between </w:t>
      </w:r>
      <w:r>
        <w:rPr>
          <w:rFonts w:ascii="Times New Roman" w:hAnsi="Times New Roman"/>
          <w:b w:val="0"/>
          <w:i/>
          <w:color w:val="000000"/>
          <w:sz w:val="24"/>
        </w:rPr>
        <w:t>Regional Urgency of Need</w:t>
      </w:r>
      <w:r>
        <w:rPr>
          <w:rFonts w:ascii="Times New Roman" w:hAnsi="Times New Roman"/>
          <w:b w:val="0"/>
          <w:i w:val="0"/>
          <w:color w:val="000000"/>
          <w:sz w:val="24"/>
        </w:rPr>
        <w:t xml:space="preserve"> (quantified via DPRI) and </w:t>
      </w:r>
      <w:r>
        <w:rPr>
          <w:rFonts w:ascii="Times New Roman" w:hAnsi="Times New Roman"/>
          <w:b w:val="0"/>
          <w:i/>
          <w:color w:val="000000"/>
          <w:sz w:val="24"/>
        </w:rPr>
        <w:t>Physical Routing Feasibility</w:t>
      </w:r>
      <w:r>
        <w:rPr>
          <w:rFonts w:ascii="Times New Roman" w:hAnsi="Times New Roman"/>
          <w:b w:val="0"/>
          <w:i w:val="0"/>
          <w:color w:val="000000"/>
          <w:sz w:val="24"/>
        </w:rPr>
        <w:t>. When an access corridor to an acute disaster zone (e.g., Region Delta) suffers structural failure or complete inundation, CloudShield’s allocation engine refuses to suppress the demand.</w:t>
      </w:r>
    </w:p>
    <w:p>
      <w:pPr>
        <w:spacing w:before="0" w:after="120" w:line="276" w:lineRule="auto"/>
        <w:jc w:val="both"/>
      </w:pPr>
      <w:r>
        <w:rPr>
          <w:rFonts w:ascii="Times New Roman" w:hAnsi="Times New Roman"/>
          <w:b w:val="0"/>
          <w:i w:val="0"/>
          <w:color w:val="000000"/>
          <w:sz w:val="24"/>
        </w:rPr>
        <w:t xml:space="preserve">Instead, Region Delta retains its critical priority ranking at the top of the command console. The engine automatically routes the unsatisfied survival requirements into an explicit </w:t>
      </w:r>
      <w:r>
        <w:rPr>
          <w:rFonts w:ascii="Times New Roman" w:hAnsi="Times New Roman"/>
          <w:b/>
          <w:i w:val="0"/>
          <w:color w:val="000000"/>
          <w:sz w:val="24"/>
        </w:rPr>
        <w:t>Unserviceable Demand Record (UDR)</w:t>
      </w:r>
      <w:r>
        <w:rPr>
          <w:rFonts w:ascii="Times New Roman" w:hAnsi="Times New Roman"/>
          <w:b w:val="0"/>
          <w:i w:val="0"/>
          <w:color w:val="000000"/>
          <w:sz w:val="24"/>
        </w:rPr>
        <w:t>. This record immediately triggers a high-priority Amazon SNS escalation broadcast to regional incident commanders and military liaison officers, explicitly flagging that conventional ground transport is impossible and directing the immediate deployment of non-conventional assets (such as NDRF amphibious craft, Indian Coast Guard hovercraft, or Indian Air Force Mi-17 heavy-lift airdrops).</w:t>
      </w:r>
    </w:p>
    <w:p>
      <w:pPr>
        <w:keepNext/>
        <w:spacing w:before="160" w:after="8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graph_7_unserviceable_demand_escalation.png"/>
                    <pic:cNvPicPr/>
                  </pic:nvPicPr>
                  <pic:blipFill>
                    <a:blip r:embed="rId12"/>
                    <a:stretch>
                      <a:fillRect/>
                    </a:stretch>
                  </pic:blipFill>
                  <pic:spPr>
                    <a:xfrm>
                      <a:off x="0" y="0"/>
                      <a:ext cx="5303520" cy="3182112"/>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3.1: Mathematical Decoupling of Urgency from Route Feasibility.</w:t>
      </w:r>
      <w:r>
        <w:rPr>
          <w:rFonts w:ascii="Times New Roman" w:hAnsi="Times New Roman"/>
          <w:b w:val="0"/>
          <w:i w:val="0"/>
          <w:color w:val="000000"/>
          <w:sz w:val="21"/>
        </w:rPr>
        <w:t xml:space="preserve"> In contrast to commercial ERP route pruning which drops severed disaster zones to zero delivered aid once road impairment crosses 70%, CloudShield preserves 100% of the true demand and automatically escalates an Unserviceable Demand Escrow alert for air-drop/amphibious deployment.</w:t>
      </w:r>
    </w:p>
    <w:p>
      <w:pPr>
        <w:pStyle w:val="Heading2"/>
        <w:keepNext/>
        <w:spacing w:before="200" w:after="80"/>
      </w:pPr>
      <w:r>
        <w:rPr>
          <w:rFonts w:ascii="Times New Roman" w:hAnsi="Times New Roman"/>
          <w:b/>
          <w:i w:val="0"/>
          <w:color w:val="000000"/>
          <w:sz w:val="25"/>
        </w:rPr>
        <w:t>3.4 Novelty 3: Two-Stage Plan-Commit Protocol with Idempotent Governance</w:t>
      </w:r>
    </w:p>
    <w:p>
      <w:pPr>
        <w:spacing w:before="0" w:after="120" w:line="276" w:lineRule="auto"/>
        <w:jc w:val="both"/>
      </w:pPr>
      <w:r>
        <w:rPr>
          <w:rFonts w:ascii="Times New Roman" w:hAnsi="Times New Roman"/>
          <w:b w:val="0"/>
          <w:i w:val="0"/>
          <w:color w:val="000000"/>
          <w:sz w:val="24"/>
        </w:rPr>
        <w:t xml:space="preserve">To prevent premature stock commitment while eliminating ghost allocations, CloudShield introduces a two-stage transaction protocol. The optimization solver produces an optimized manifest in a strictly provisional </w:t>
      </w:r>
      <w:r>
        <w:rPr>
          <w:rFonts w:ascii="Consolas" w:hAnsi="Consolas"/>
          <w:b w:val="0"/>
          <w:i w:val="0"/>
          <w:color w:val="000000"/>
          <w:sz w:val="21"/>
        </w:rPr>
        <w:t>PENDING_APPROVAL</w:t>
      </w:r>
      <w:r>
        <w:rPr>
          <w:rFonts w:ascii="Times New Roman" w:hAnsi="Times New Roman"/>
          <w:b w:val="0"/>
          <w:i w:val="0"/>
          <w:color w:val="000000"/>
          <w:sz w:val="24"/>
        </w:rPr>
        <w:t xml:space="preserve"> state. During this stage, zero physical stock is deducted from warehouse databases. Only an authenticated </w:t>
      </w:r>
      <w:r>
        <w:rPr>
          <w:rFonts w:ascii="Consolas" w:hAnsi="Consolas"/>
          <w:b w:val="0"/>
          <w:i w:val="0"/>
          <w:color w:val="000000"/>
          <w:sz w:val="21"/>
        </w:rPr>
        <w:t>LOGISTICS_DIRECTOR</w:t>
      </w:r>
      <w:r>
        <w:rPr>
          <w:rFonts w:ascii="Times New Roman" w:hAnsi="Times New Roman"/>
          <w:b w:val="0"/>
          <w:i w:val="0"/>
          <w:color w:val="000000"/>
          <w:sz w:val="24"/>
        </w:rPr>
        <w:t xml:space="preserve"> can review and commit the plan, enforced through a unique cryptographic </w:t>
      </w:r>
      <w:r>
        <w:rPr>
          <w:rFonts w:ascii="Consolas" w:hAnsi="Consolas"/>
          <w:b w:val="0"/>
          <w:i w:val="0"/>
          <w:color w:val="000000"/>
          <w:sz w:val="21"/>
        </w:rPr>
        <w:t>Action ID</w:t>
      </w:r>
      <w:r>
        <w:rPr>
          <w:rFonts w:ascii="Times New Roman" w:hAnsi="Times New Roman"/>
          <w:b w:val="0"/>
          <w:i w:val="0"/>
          <w:color w:val="000000"/>
          <w:sz w:val="24"/>
        </w:rPr>
        <w:t xml:space="preserve"> idempotency key that mathematically prevents race conditions.</w:t>
      </w:r>
    </w:p>
    <w:p>
      <w:pPr>
        <w:pStyle w:val="Heading2"/>
        <w:keepNext/>
        <w:spacing w:before="200" w:after="80"/>
      </w:pPr>
      <w:r>
        <w:rPr>
          <w:rFonts w:ascii="Times New Roman" w:hAnsi="Times New Roman"/>
          <w:b/>
          <w:i w:val="0"/>
          <w:color w:val="000000"/>
          <w:sz w:val="25"/>
        </w:rPr>
        <w:t>3.5 Novelty 4: Mathematical Grounding in Sphere International Standards</w:t>
      </w:r>
    </w:p>
    <w:p>
      <w:pPr>
        <w:spacing w:before="0" w:after="120" w:line="276" w:lineRule="auto"/>
        <w:jc w:val="both"/>
      </w:pPr>
      <w:r>
        <w:rPr>
          <w:rFonts w:ascii="Times New Roman" w:hAnsi="Times New Roman"/>
          <w:b w:val="0"/>
          <w:i w:val="0"/>
          <w:color w:val="000000"/>
          <w:sz w:val="24"/>
        </w:rPr>
        <w:t xml:space="preserve">Rather than relying on arbitrary user inputs or subjective guesses, CloudShield hard-codes the internationally recognized </w:t>
      </w:r>
      <w:r>
        <w:rPr>
          <w:rFonts w:ascii="Times New Roman" w:hAnsi="Times New Roman"/>
          <w:b w:val="0"/>
          <w:i/>
          <w:color w:val="000000"/>
          <w:sz w:val="24"/>
        </w:rPr>
        <w:t>Sphere Humanitarian Charter Minimum Standards</w:t>
      </w:r>
      <w:r>
        <w:rPr>
          <w:rFonts w:ascii="Times New Roman" w:hAnsi="Times New Roman"/>
          <w:b w:val="0"/>
          <w:i w:val="0"/>
          <w:color w:val="000000"/>
          <w:sz w:val="24"/>
        </w:rPr>
        <w:t xml:space="preserve"> directly into its demand equations, establishing an unshakeable scientific baseline for human survival.</w:t>
      </w:r>
    </w:p>
    <w:p>
      <w:pPr>
        <w:keepNext/>
        <w:spacing w:before="120" w:after="80"/>
      </w:pPr>
      <w:r>
        <w:rPr>
          <w:rFonts w:ascii="Times New Roman" w:hAnsi="Times New Roman"/>
          <w:b/>
          <w:i w:val="0"/>
          <w:color w:val="000000"/>
          <w:sz w:val="22"/>
        </w:rPr>
        <w:t>Table 3.1: Architectural Comparison: CloudShield vs. Commercial ERPs vs. Academic Prototypes</w:t>
      </w:r>
    </w:p>
    <w:tbl>
      <w:tblPr>
        <w:tblW w:type="auto" w:w="0"/>
        <w:jc w:val="center"/>
        <w:tblLook w:firstColumn="1" w:firstRow="1" w:lastColumn="0" w:lastRow="0" w:noHBand="0" w:noVBand="1" w:val="04A0"/>
      </w:tblPr>
      <w:tblGrid>
        <w:gridCol w:w="2340"/>
        <w:gridCol w:w="2340"/>
        <w:gridCol w:w="2340"/>
        <w:gridCol w:w="2340"/>
      </w:tblGrid>
      <w:tr>
        <w:tc>
          <w:tcPr>
            <w:tcW w:type="dxa" w:w="2043"/>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Capability Dimension</w:t>
            </w:r>
          </w:p>
        </w:tc>
        <w:tc>
          <w:tcPr>
            <w:tcW w:type="dxa" w:w="2229"/>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Commercial ERPs (SAP/Oracle)</w:t>
            </w:r>
          </w:p>
        </w:tc>
        <w:tc>
          <w:tcPr>
            <w:tcW w:type="dxa" w:w="2303"/>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Academic MILP Solvers</w:t>
            </w:r>
          </w:p>
        </w:tc>
        <w:tc>
          <w:tcPr>
            <w:tcW w:type="dxa" w:w="2786"/>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CloudShield Architecture</w:t>
            </w:r>
          </w:p>
        </w:tc>
      </w:tr>
      <w:tr>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Optimization Goal</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Cost minimization &amp; profit</w:t>
            </w:r>
          </w:p>
        </w:tc>
        <w:tc>
          <w:tcPr>
            <w:tcW w:type="dxa" w:w="230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Theoretical transit penalty</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Human survival &amp; urgency equity</w:t>
            </w:r>
          </w:p>
        </w:tc>
      </w:tr>
      <w:tr>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Severed Route Behavior</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Prunes node as infeasible</w:t>
            </w:r>
          </w:p>
        </w:tc>
        <w:tc>
          <w:tcPr>
            <w:tcW w:type="dxa" w:w="230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Zeroes delivery flow variable</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Preserves DPRI; triggers air/amphibious UDE</w:t>
            </w:r>
          </w:p>
        </w:tc>
      </w:tr>
      <w:tr>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State Governance</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Synchronous immediate commit</w:t>
            </w:r>
          </w:p>
        </w:tc>
        <w:tc>
          <w:tcPr>
            <w:tcW w:type="dxa" w:w="230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Static offline calculation</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Two-stage idempotent plan-commit gate</w:t>
            </w:r>
          </w:p>
        </w:tc>
      </w:tr>
      <w:tr>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Demand Calibration</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Historical sales forecasts</w:t>
            </w:r>
          </w:p>
        </w:tc>
        <w:tc>
          <w:tcPr>
            <w:tcW w:type="dxa" w:w="230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Subjective synthetic demand</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Sphere International Humanitarian Charters</w:t>
            </w:r>
          </w:p>
        </w:tc>
      </w:tr>
      <w:tr>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Cloud Infrastructure</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Monolithic multi-tenant cloud</w:t>
            </w:r>
          </w:p>
        </w:tc>
        <w:tc>
          <w:tcPr>
            <w:tcW w:type="dxa" w:w="230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Local desktop Python/MATLAB</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Serverless-ready AWS (EC2/S3/SNS/CloudWatch)</w:t>
            </w:r>
          </w:p>
        </w:tc>
      </w:tr>
      <w:tr>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Concurrency Safety</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High overhead DB locks</w:t>
            </w:r>
          </w:p>
        </w:tc>
        <w:tc>
          <w:tcPr>
            <w:tcW w:type="dxa" w:w="230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Single-threaded execution</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Action ID cryptographic idempotency</w:t>
            </w:r>
          </w:p>
        </w:tc>
      </w:tr>
    </w:tbl>
    <w:p>
      <w:pPr>
        <w:spacing w:before="120" w:after="0"/>
      </w:pPr>
    </w:p>
    <w:p>
      <w:r>
        <w:br w:type="page"/>
      </w:r>
    </w:p>
    <w:p>
      <w:pPr>
        <w:pStyle w:val="Heading1"/>
        <w:keepNext/>
        <w:spacing w:before="280" w:after="280"/>
        <w:jc w:val="center"/>
      </w:pPr>
      <w:r>
        <w:rPr>
          <w:rFonts w:ascii="Times New Roman" w:hAnsi="Times New Roman"/>
          <w:b/>
          <w:i w:val="0"/>
          <w:color w:val="000000"/>
          <w:sz w:val="28"/>
        </w:rPr>
        <w:t>CHAPTER 4: MATHEMATICAL FOUNDATIONS &amp; SPHERE MINIMUM SURVIVAL STANDARDS</w:t>
      </w:r>
    </w:p>
    <w:p>
      <w:pPr>
        <w:pStyle w:val="Heading2"/>
        <w:keepNext/>
        <w:spacing w:before="200" w:after="80"/>
      </w:pPr>
      <w:r>
        <w:rPr>
          <w:rFonts w:ascii="Times New Roman" w:hAnsi="Times New Roman"/>
          <w:b/>
          <w:i w:val="0"/>
          <w:color w:val="000000"/>
          <w:sz w:val="25"/>
        </w:rPr>
        <w:t>4.1 Disaster Priority and Relief Index (DPRI) Mathematical Derivation</w:t>
      </w:r>
    </w:p>
    <w:p>
      <w:pPr>
        <w:spacing w:before="0" w:after="120" w:line="276" w:lineRule="auto"/>
        <w:jc w:val="both"/>
      </w:pPr>
      <w:r>
        <w:rPr>
          <w:rFonts w:ascii="Times New Roman" w:hAnsi="Times New Roman"/>
          <w:b w:val="0"/>
          <w:i w:val="0"/>
          <w:color w:val="000000"/>
          <w:sz w:val="24"/>
        </w:rPr>
        <w:t xml:space="preserve">To eliminate subjective human bias and political interference in relief dispatching, CloudShield formulates the </w:t>
      </w:r>
      <w:r>
        <w:rPr>
          <w:rFonts w:ascii="Times New Roman" w:hAnsi="Times New Roman"/>
          <w:b/>
          <w:i w:val="0"/>
          <w:color w:val="000000"/>
          <w:sz w:val="24"/>
        </w:rPr>
        <w:t>Disaster Priority and Relief Index (DPRI)</w:t>
      </w:r>
      <w:r>
        <w:rPr>
          <w:rFonts w:ascii="Times New Roman" w:hAnsi="Times New Roman"/>
          <w:b w:val="0"/>
          <w:i w:val="0"/>
          <w:color w:val="000000"/>
          <w:sz w:val="24"/>
        </w:rPr>
        <w:t xml:space="preserve"> as a rigorous, bounded multi-criteria decision metric. For any registered geographical disaster zone </w:t>
      </w:r>
      <w:r>
        <w:rPr>
          <w:rFonts w:ascii="Times New Roman" w:hAnsi="Times New Roman"/>
          <w:b w:val="0"/>
          <w:i/>
          <w:color w:val="000000"/>
          <w:sz w:val="24"/>
        </w:rPr>
        <w:t>r</w:t>
      </w:r>
      <w:r>
        <w:rPr>
          <w:rFonts w:ascii="Times New Roman" w:hAnsi="Times New Roman"/>
          <w:b w:val="0"/>
          <w:i w:val="0"/>
          <w:color w:val="000000"/>
          <w:sz w:val="24"/>
        </w:rPr>
        <w:t>, the DPRI is defined across a normalized continuum from 0.00 (stable baseline) to 1.00 (catastrophic human peril):</w:t>
      </w:r>
    </w:p>
    <w:tbl>
      <w:tblPr>
        <w:tblW w:type="auto" w:w="0"/>
        <w:jc w:val="center"/>
        <w:tblLook w:firstColumn="1" w:firstRow="1" w:lastColumn="0" w:lastRow="0" w:noHBand="0" w:noVBand="1" w:val="04A0"/>
      </w:tblPr>
      <w:tblGrid>
        <w:gridCol w:w="9360"/>
      </w:tblGrid>
      <w:tr>
        <w:tc>
          <w:tcPr>
            <w:tcW w:type="dxa" w:w="9360"/>
            <w:shd w:fill="F9FAFB"/>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tcPr>
          <w:p>
            <w:pPr>
              <w:spacing w:after="0" w:line="276" w:lineRule="auto"/>
            </w:pPr>
            <w:r>
              <w:rPr>
                <w:rFonts w:ascii="Times New Roman" w:hAnsi="Times New Roman"/>
                <w:b/>
                <w:i w:val="0"/>
                <w:color w:val="000000"/>
                <w:sz w:val="21"/>
              </w:rPr>
              <w:t>DPRI</w:t>
            </w:r>
            <w:r>
              <w:rPr>
                <w:rFonts w:ascii="Times New Roman" w:hAnsi="Times New Roman"/>
                <w:b/>
                <w:i w:val="0"/>
                <w:color w:val="000000"/>
                <w:sz w:val="21"/>
                <w:vertAlign w:val="subscript"/>
              </w:rPr>
              <w:t>r</w:t>
            </w:r>
            <w:r>
              <w:rPr>
                <w:rFonts w:ascii="Times New Roman" w:hAnsi="Times New Roman"/>
                <w:b/>
                <w:i w:val="0"/>
                <w:color w:val="000000"/>
                <w:sz w:val="21"/>
              </w:rPr>
              <w:t xml:space="preserve"> = w</w:t>
            </w:r>
            <w:r>
              <w:rPr>
                <w:rFonts w:ascii="Times New Roman" w:hAnsi="Times New Roman"/>
                <w:b/>
                <w:i w:val="0"/>
                <w:color w:val="000000"/>
                <w:sz w:val="21"/>
                <w:vertAlign w:val="subscript"/>
              </w:rPr>
              <w:t>1</w:t>
            </w:r>
            <w:r>
              <w:rPr>
                <w:rFonts w:ascii="Times New Roman" w:hAnsi="Times New Roman"/>
                <w:b/>
                <w:i w:val="0"/>
                <w:color w:val="000000"/>
                <w:sz w:val="21"/>
              </w:rPr>
              <w:t xml:space="preserve"> · N(H</w:t>
            </w:r>
            <w:r>
              <w:rPr>
                <w:rFonts w:ascii="Times New Roman" w:hAnsi="Times New Roman"/>
                <w:b/>
                <w:i w:val="0"/>
                <w:color w:val="000000"/>
                <w:sz w:val="21"/>
                <w:vertAlign w:val="subscript"/>
              </w:rPr>
              <w:t>r</w:t>
            </w:r>
            <w:r>
              <w:rPr>
                <w:rFonts w:ascii="Times New Roman" w:hAnsi="Times New Roman"/>
                <w:b/>
                <w:i w:val="0"/>
                <w:color w:val="000000"/>
                <w:sz w:val="21"/>
              </w:rPr>
              <w:t>) + w</w:t>
            </w:r>
            <w:r>
              <w:rPr>
                <w:rFonts w:ascii="Times New Roman" w:hAnsi="Times New Roman"/>
                <w:b/>
                <w:i w:val="0"/>
                <w:color w:val="000000"/>
                <w:sz w:val="21"/>
                <w:vertAlign w:val="subscript"/>
              </w:rPr>
              <w:t>2</w:t>
            </w:r>
            <w:r>
              <w:rPr>
                <w:rFonts w:ascii="Times New Roman" w:hAnsi="Times New Roman"/>
                <w:b/>
                <w:i w:val="0"/>
                <w:color w:val="000000"/>
                <w:sz w:val="21"/>
              </w:rPr>
              <w:t xml:space="preserve"> · N(P</w:t>
            </w:r>
            <w:r>
              <w:rPr>
                <w:rFonts w:ascii="Times New Roman" w:hAnsi="Times New Roman"/>
                <w:b/>
                <w:i w:val="0"/>
                <w:color w:val="000000"/>
                <w:sz w:val="21"/>
                <w:vertAlign w:val="subscript"/>
              </w:rPr>
              <w:t>r</w:t>
            </w:r>
            <w:r>
              <w:rPr>
                <w:rFonts w:ascii="Times New Roman" w:hAnsi="Times New Roman"/>
                <w:b/>
                <w:i w:val="0"/>
                <w:color w:val="000000"/>
                <w:sz w:val="21"/>
              </w:rPr>
              <w:t>) + w</w:t>
            </w:r>
            <w:r>
              <w:rPr>
                <w:rFonts w:ascii="Times New Roman" w:hAnsi="Times New Roman"/>
                <w:b/>
                <w:i w:val="0"/>
                <w:color w:val="000000"/>
                <w:sz w:val="21"/>
                <w:vertAlign w:val="subscript"/>
              </w:rPr>
              <w:t>3</w:t>
            </w:r>
            <w:r>
              <w:rPr>
                <w:rFonts w:ascii="Times New Roman" w:hAnsi="Times New Roman"/>
                <w:b/>
                <w:i w:val="0"/>
                <w:color w:val="000000"/>
                <w:sz w:val="21"/>
              </w:rPr>
              <w:t xml:space="preserve"> · N(I</w:t>
            </w:r>
            <w:r>
              <w:rPr>
                <w:rFonts w:ascii="Times New Roman" w:hAnsi="Times New Roman"/>
                <w:b/>
                <w:i w:val="0"/>
                <w:color w:val="000000"/>
                <w:sz w:val="21"/>
                <w:vertAlign w:val="subscript"/>
              </w:rPr>
              <w:t>r</w:t>
            </w:r>
            <w:r>
              <w:rPr>
                <w:rFonts w:ascii="Times New Roman" w:hAnsi="Times New Roman"/>
                <w:b/>
                <w:i w:val="0"/>
                <w:color w:val="000000"/>
                <w:sz w:val="21"/>
              </w:rPr>
              <w:t>) + w</w:t>
            </w:r>
            <w:r>
              <w:rPr>
                <w:rFonts w:ascii="Times New Roman" w:hAnsi="Times New Roman"/>
                <w:b/>
                <w:i w:val="0"/>
                <w:color w:val="000000"/>
                <w:sz w:val="21"/>
                <w:vertAlign w:val="subscript"/>
              </w:rPr>
              <w:t>4</w:t>
            </w:r>
            <w:r>
              <w:rPr>
                <w:rFonts w:ascii="Times New Roman" w:hAnsi="Times New Roman"/>
                <w:b/>
                <w:i w:val="0"/>
                <w:color w:val="000000"/>
                <w:sz w:val="21"/>
              </w:rPr>
              <w:t xml:space="preserve"> · N(V</w:t>
            </w:r>
            <w:r>
              <w:rPr>
                <w:rFonts w:ascii="Times New Roman" w:hAnsi="Times New Roman"/>
                <w:b/>
                <w:i w:val="0"/>
                <w:color w:val="000000"/>
                <w:sz w:val="21"/>
                <w:vertAlign w:val="subscript"/>
              </w:rPr>
              <w:t>r</w:t>
            </w:r>
            <w:r>
              <w:rPr>
                <w:rFonts w:ascii="Times New Roman" w:hAnsi="Times New Roman"/>
                <w:b/>
                <w:i w:val="0"/>
                <w:color w:val="000000"/>
                <w:sz w:val="21"/>
              </w:rPr>
              <w:t>)</w:t>
            </w:r>
            <w:r>
              <w:br/>
            </w:r>
            <w:r>
              <w:br/>
            </w:r>
            <w:r>
              <w:rPr>
                <w:rFonts w:ascii="Times New Roman" w:hAnsi="Times New Roman"/>
                <w:b w:val="0"/>
                <w:i w:val="0"/>
                <w:color w:val="000000"/>
                <w:sz w:val="21"/>
              </w:rPr>
              <w:t>Where:</w:t>
            </w:r>
            <w:r>
              <w:br/>
            </w:r>
            <w:r>
              <w:rPr>
                <w:rFonts w:ascii="Times New Roman" w:hAnsi="Times New Roman"/>
                <w:b w:val="0"/>
                <w:i w:val="0"/>
                <w:color w:val="000000"/>
                <w:sz w:val="21"/>
              </w:rPr>
              <w:t xml:space="preserve">• </w:t>
            </w:r>
            <w:r>
              <w:rPr>
                <w:rFonts w:ascii="Times New Roman" w:hAnsi="Times New Roman"/>
                <w:b/>
                <w:i w:val="0"/>
                <w:color w:val="000000"/>
                <w:sz w:val="21"/>
              </w:rPr>
              <w:t>H</w:t>
            </w:r>
            <w:r>
              <w:rPr>
                <w:rFonts w:ascii="Times New Roman" w:hAnsi="Times New Roman"/>
                <w:b/>
                <w:i w:val="0"/>
                <w:color w:val="000000"/>
                <w:sz w:val="21"/>
                <w:vertAlign w:val="subscript"/>
              </w:rPr>
              <w:t>r</w:t>
            </w:r>
            <w:r>
              <w:rPr>
                <w:rFonts w:ascii="Times New Roman" w:hAnsi="Times New Roman"/>
                <w:b/>
                <w:i w:val="0"/>
                <w:color w:val="000000"/>
                <w:sz w:val="21"/>
              </w:rPr>
              <w:t xml:space="preserve"> ∈ [0, H</w:t>
            </w:r>
            <w:r>
              <w:rPr>
                <w:rFonts w:ascii="Times New Roman" w:hAnsi="Times New Roman"/>
                <w:b/>
                <w:i w:val="0"/>
                <w:color w:val="000000"/>
                <w:sz w:val="21"/>
                <w:vertAlign w:val="subscript"/>
              </w:rPr>
              <w:t>max</w:t>
            </w:r>
            <w:r>
              <w:rPr>
                <w:rFonts w:ascii="Times New Roman" w:hAnsi="Times New Roman"/>
                <w:b/>
                <w:i w:val="0"/>
                <w:color w:val="000000"/>
                <w:sz w:val="21"/>
              </w:rPr>
              <w:t>]</w:t>
            </w:r>
            <w:r>
              <w:rPr>
                <w:rFonts w:ascii="Times New Roman" w:hAnsi="Times New Roman"/>
                <w:b w:val="0"/>
                <w:i w:val="0"/>
                <w:color w:val="000000"/>
                <w:sz w:val="21"/>
              </w:rPr>
              <w:t xml:space="preserve"> represents Hazard Severity, measured as flood water inundation depth (meters).</w:t>
            </w:r>
            <w:r>
              <w:br/>
            </w:r>
            <w:r>
              <w:rPr>
                <w:rFonts w:ascii="Times New Roman" w:hAnsi="Times New Roman"/>
                <w:b w:val="0"/>
                <w:i w:val="0"/>
                <w:color w:val="000000"/>
                <w:sz w:val="21"/>
              </w:rPr>
              <w:t xml:space="preserve">• </w:t>
            </w:r>
            <w:r>
              <w:rPr>
                <w:rFonts w:ascii="Times New Roman" w:hAnsi="Times New Roman"/>
                <w:b/>
                <w:i w:val="0"/>
                <w:color w:val="000000"/>
                <w:sz w:val="21"/>
              </w:rPr>
              <w:t>P</w:t>
            </w:r>
            <w:r>
              <w:rPr>
                <w:rFonts w:ascii="Times New Roman" w:hAnsi="Times New Roman"/>
                <w:b/>
                <w:i w:val="0"/>
                <w:color w:val="000000"/>
                <w:sz w:val="21"/>
                <w:vertAlign w:val="subscript"/>
              </w:rPr>
              <w:t>r</w:t>
            </w:r>
            <w:r>
              <w:rPr>
                <w:rFonts w:ascii="Times New Roman" w:hAnsi="Times New Roman"/>
                <w:b/>
                <w:i w:val="0"/>
                <w:color w:val="000000"/>
                <w:sz w:val="21"/>
              </w:rPr>
              <w:t xml:space="preserve"> ∈ [0, P</w:t>
            </w:r>
            <w:r>
              <w:rPr>
                <w:rFonts w:ascii="Times New Roman" w:hAnsi="Times New Roman"/>
                <w:b/>
                <w:i w:val="0"/>
                <w:color w:val="000000"/>
                <w:sz w:val="21"/>
                <w:vertAlign w:val="subscript"/>
              </w:rPr>
              <w:t>max</w:t>
            </w:r>
            <w:r>
              <w:rPr>
                <w:rFonts w:ascii="Times New Roman" w:hAnsi="Times New Roman"/>
                <w:b/>
                <w:i w:val="0"/>
                <w:color w:val="000000"/>
                <w:sz w:val="21"/>
              </w:rPr>
              <w:t>]</w:t>
            </w:r>
            <w:r>
              <w:rPr>
                <w:rFonts w:ascii="Times New Roman" w:hAnsi="Times New Roman"/>
                <w:b w:val="0"/>
                <w:i w:val="0"/>
                <w:color w:val="000000"/>
                <w:sz w:val="21"/>
              </w:rPr>
              <w:t xml:space="preserve"> represents the Count of Displaced Persons in acute need of shelter and life sustenance.</w:t>
            </w:r>
            <w:r>
              <w:br/>
            </w:r>
            <w:r>
              <w:rPr>
                <w:rFonts w:ascii="Times New Roman" w:hAnsi="Times New Roman"/>
                <w:b w:val="0"/>
                <w:i w:val="0"/>
                <w:color w:val="000000"/>
                <w:sz w:val="21"/>
              </w:rPr>
              <w:t xml:space="preserve">• </w:t>
            </w:r>
            <w:r>
              <w:rPr>
                <w:rFonts w:ascii="Times New Roman" w:hAnsi="Times New Roman"/>
                <w:b/>
                <w:i w:val="0"/>
                <w:color w:val="000000"/>
                <w:sz w:val="21"/>
              </w:rPr>
              <w:t>I</w:t>
            </w:r>
            <w:r>
              <w:rPr>
                <w:rFonts w:ascii="Times New Roman" w:hAnsi="Times New Roman"/>
                <w:b/>
                <w:i w:val="0"/>
                <w:color w:val="000000"/>
                <w:sz w:val="21"/>
                <w:vertAlign w:val="subscript"/>
              </w:rPr>
              <w:t>r</w:t>
            </w:r>
            <w:r>
              <w:rPr>
                <w:rFonts w:ascii="Times New Roman" w:hAnsi="Times New Roman"/>
                <w:b/>
                <w:i w:val="0"/>
                <w:color w:val="000000"/>
                <w:sz w:val="21"/>
              </w:rPr>
              <w:t xml:space="preserve"> ∈ [0, 1.0]</w:t>
            </w:r>
            <w:r>
              <w:rPr>
                <w:rFonts w:ascii="Times New Roman" w:hAnsi="Times New Roman"/>
                <w:b w:val="0"/>
                <w:i w:val="0"/>
                <w:color w:val="000000"/>
                <w:sz w:val="21"/>
              </w:rPr>
              <w:t xml:space="preserve"> represents the Infrastructure Isolation Index, quantifying the percentage of road corridors submerged.</w:t>
            </w:r>
            <w:r>
              <w:br/>
            </w:r>
            <w:r>
              <w:rPr>
                <w:rFonts w:ascii="Times New Roman" w:hAnsi="Times New Roman"/>
                <w:b w:val="0"/>
                <w:i w:val="0"/>
                <w:color w:val="000000"/>
                <w:sz w:val="21"/>
              </w:rPr>
              <w:t xml:space="preserve">• </w:t>
            </w:r>
            <w:r>
              <w:rPr>
                <w:rFonts w:ascii="Times New Roman" w:hAnsi="Times New Roman"/>
                <w:b/>
                <w:i w:val="0"/>
                <w:color w:val="000000"/>
                <w:sz w:val="21"/>
              </w:rPr>
              <w:t>V</w:t>
            </w:r>
            <w:r>
              <w:rPr>
                <w:rFonts w:ascii="Times New Roman" w:hAnsi="Times New Roman"/>
                <w:b/>
                <w:i w:val="0"/>
                <w:color w:val="000000"/>
                <w:sz w:val="21"/>
                <w:vertAlign w:val="subscript"/>
              </w:rPr>
              <w:t>r</w:t>
            </w:r>
            <w:r>
              <w:rPr>
                <w:rFonts w:ascii="Times New Roman" w:hAnsi="Times New Roman"/>
                <w:b/>
                <w:i w:val="0"/>
                <w:color w:val="000000"/>
                <w:sz w:val="21"/>
              </w:rPr>
              <w:t xml:space="preserve"> ∈ [0, 1.0]</w:t>
            </w:r>
            <w:r>
              <w:rPr>
                <w:rFonts w:ascii="Times New Roman" w:hAnsi="Times New Roman"/>
                <w:b w:val="0"/>
                <w:i w:val="0"/>
                <w:color w:val="000000"/>
                <w:sz w:val="21"/>
              </w:rPr>
              <w:t xml:space="preserve"> represents the Demographic Vulnerability Ratio (infants under 5, expectant mothers, elderly over 65).</w:t>
            </w:r>
            <w:r>
              <w:br/>
            </w:r>
            <w:r>
              <w:rPr>
                <w:rFonts w:ascii="Times New Roman" w:hAnsi="Times New Roman"/>
                <w:b w:val="0"/>
                <w:i w:val="0"/>
                <w:color w:val="000000"/>
                <w:sz w:val="21"/>
              </w:rPr>
              <w:t xml:space="preserve">• </w:t>
            </w:r>
            <w:r>
              <w:rPr>
                <w:rFonts w:ascii="Times New Roman" w:hAnsi="Times New Roman"/>
                <w:b/>
                <w:i w:val="0"/>
                <w:color w:val="000000"/>
                <w:sz w:val="21"/>
              </w:rPr>
              <w:t>N(X) = (X - X</w:t>
            </w:r>
            <w:r>
              <w:rPr>
                <w:rFonts w:ascii="Times New Roman" w:hAnsi="Times New Roman"/>
                <w:b/>
                <w:i w:val="0"/>
                <w:color w:val="000000"/>
                <w:sz w:val="21"/>
                <w:vertAlign w:val="subscript"/>
              </w:rPr>
              <w:t>min</w:t>
            </w:r>
            <w:r>
              <w:rPr>
                <w:rFonts w:ascii="Times New Roman" w:hAnsi="Times New Roman"/>
                <w:b/>
                <w:i w:val="0"/>
                <w:color w:val="000000"/>
                <w:sz w:val="21"/>
              </w:rPr>
              <w:t>) / (X</w:t>
            </w:r>
            <w:r>
              <w:rPr>
                <w:rFonts w:ascii="Times New Roman" w:hAnsi="Times New Roman"/>
                <w:b/>
                <w:i w:val="0"/>
                <w:color w:val="000000"/>
                <w:sz w:val="21"/>
                <w:vertAlign w:val="subscript"/>
              </w:rPr>
              <w:t>max</w:t>
            </w:r>
            <w:r>
              <w:rPr>
                <w:rFonts w:ascii="Times New Roman" w:hAnsi="Times New Roman"/>
                <w:b/>
                <w:i w:val="0"/>
                <w:color w:val="000000"/>
                <w:sz w:val="21"/>
              </w:rPr>
              <w:t xml:space="preserve"> - X</w:t>
            </w:r>
            <w:r>
              <w:rPr>
                <w:rFonts w:ascii="Times New Roman" w:hAnsi="Times New Roman"/>
                <w:b/>
                <w:i w:val="0"/>
                <w:color w:val="000000"/>
                <w:sz w:val="21"/>
                <w:vertAlign w:val="subscript"/>
              </w:rPr>
              <w:t>min</w:t>
            </w:r>
            <w:r>
              <w:rPr>
                <w:rFonts w:ascii="Times New Roman" w:hAnsi="Times New Roman"/>
                <w:b/>
                <w:i w:val="0"/>
                <w:color w:val="000000"/>
                <w:sz w:val="21"/>
              </w:rPr>
              <w:t>)</w:t>
            </w:r>
            <w:r>
              <w:rPr>
                <w:rFonts w:ascii="Times New Roman" w:hAnsi="Times New Roman"/>
                <w:b w:val="0"/>
                <w:i w:val="0"/>
                <w:color w:val="000000"/>
                <w:sz w:val="21"/>
              </w:rPr>
              <w:t xml:space="preserve"> denotes the standard Min-Max normalization transformation.</w:t>
            </w:r>
            <w:r>
              <w:br/>
            </w:r>
            <w:r>
              <w:rPr>
                <w:rFonts w:ascii="Times New Roman" w:hAnsi="Times New Roman"/>
                <w:b w:val="0"/>
                <w:i w:val="0"/>
                <w:color w:val="000000"/>
                <w:sz w:val="21"/>
              </w:rPr>
              <w:t xml:space="preserve">• </w:t>
            </w:r>
            <w:r>
              <w:rPr>
                <w:rFonts w:ascii="Times New Roman" w:hAnsi="Times New Roman"/>
                <w:b/>
                <w:i w:val="0"/>
                <w:color w:val="000000"/>
                <w:sz w:val="21"/>
              </w:rPr>
              <w:t>Calibrated Empirical Weights:</w:t>
            </w:r>
            <w:r>
              <w:rPr>
                <w:rFonts w:ascii="Times New Roman" w:hAnsi="Times New Roman"/>
                <w:b w:val="0"/>
                <w:i w:val="0"/>
                <w:color w:val="000000"/>
                <w:sz w:val="21"/>
              </w:rPr>
              <w:t xml:space="preserve"> w</w:t>
            </w:r>
            <w:r>
              <w:rPr>
                <w:rFonts w:ascii="Times New Roman" w:hAnsi="Times New Roman"/>
                <w:b w:val="0"/>
                <w:i w:val="0"/>
                <w:color w:val="000000"/>
                <w:sz w:val="21"/>
                <w:vertAlign w:val="subscript"/>
              </w:rPr>
              <w:t>1</w:t>
            </w:r>
            <w:r>
              <w:rPr>
                <w:rFonts w:ascii="Times New Roman" w:hAnsi="Times New Roman"/>
                <w:b w:val="0"/>
                <w:i w:val="0"/>
                <w:color w:val="000000"/>
                <w:sz w:val="21"/>
              </w:rPr>
              <w:t xml:space="preserve"> = 0.30, w</w:t>
            </w:r>
            <w:r>
              <w:rPr>
                <w:rFonts w:ascii="Times New Roman" w:hAnsi="Times New Roman"/>
                <w:b w:val="0"/>
                <w:i w:val="0"/>
                <w:color w:val="000000"/>
                <w:sz w:val="21"/>
                <w:vertAlign w:val="subscript"/>
              </w:rPr>
              <w:t>2</w:t>
            </w:r>
            <w:r>
              <w:rPr>
                <w:rFonts w:ascii="Times New Roman" w:hAnsi="Times New Roman"/>
                <w:b w:val="0"/>
                <w:i w:val="0"/>
                <w:color w:val="000000"/>
                <w:sz w:val="21"/>
              </w:rPr>
              <w:t xml:space="preserve"> = 0.25, w</w:t>
            </w:r>
            <w:r>
              <w:rPr>
                <w:rFonts w:ascii="Times New Roman" w:hAnsi="Times New Roman"/>
                <w:b w:val="0"/>
                <w:i w:val="0"/>
                <w:color w:val="000000"/>
                <w:sz w:val="21"/>
                <w:vertAlign w:val="subscript"/>
              </w:rPr>
              <w:t>3</w:t>
            </w:r>
            <w:r>
              <w:rPr>
                <w:rFonts w:ascii="Times New Roman" w:hAnsi="Times New Roman"/>
                <w:b w:val="0"/>
                <w:i w:val="0"/>
                <w:color w:val="000000"/>
                <w:sz w:val="21"/>
              </w:rPr>
              <w:t xml:space="preserve"> = 0.25, w</w:t>
            </w:r>
            <w:r>
              <w:rPr>
                <w:rFonts w:ascii="Times New Roman" w:hAnsi="Times New Roman"/>
                <w:b w:val="0"/>
                <w:i w:val="0"/>
                <w:color w:val="000000"/>
                <w:sz w:val="21"/>
                <w:vertAlign w:val="subscript"/>
              </w:rPr>
              <w:t>4</w:t>
            </w:r>
            <w:r>
              <w:rPr>
                <w:rFonts w:ascii="Times New Roman" w:hAnsi="Times New Roman"/>
                <w:b w:val="0"/>
                <w:i w:val="0"/>
                <w:color w:val="000000"/>
                <w:sz w:val="21"/>
              </w:rPr>
              <w:t xml:space="preserve"> = 0.20, strictly satisfying Σ w</w:t>
            </w:r>
            <w:r>
              <w:rPr>
                <w:rFonts w:ascii="Times New Roman" w:hAnsi="Times New Roman"/>
                <w:b w:val="0"/>
                <w:i w:val="0"/>
                <w:color w:val="000000"/>
                <w:sz w:val="21"/>
                <w:vertAlign w:val="subscript"/>
              </w:rPr>
              <w:t>i</w:t>
            </w:r>
            <w:r>
              <w:rPr>
                <w:rFonts w:ascii="Times New Roman" w:hAnsi="Times New Roman"/>
                <w:b w:val="0"/>
                <w:i w:val="0"/>
                <w:color w:val="000000"/>
                <w:sz w:val="21"/>
              </w:rPr>
              <w:t xml:space="preserve"> = 1.0.</w:t>
            </w:r>
          </w:p>
        </w:tc>
      </w:tr>
    </w:tbl>
    <w:p>
      <w:pPr>
        <w:spacing w:before="80" w:after="0"/>
      </w:pPr>
    </w:p>
    <w:p>
      <w:pPr>
        <w:keepNext/>
        <w:spacing w:before="160" w:after="80"/>
        <w:jc w:val="center"/>
      </w:pPr>
      <w:r>
        <w:drawing>
          <wp:inline xmlns:a="http://schemas.openxmlformats.org/drawingml/2006/main" xmlns:pic="http://schemas.openxmlformats.org/drawingml/2006/picture">
            <wp:extent cx="5303520" cy="2386584"/>
            <wp:docPr id="3" name="Picture 3"/>
            <wp:cNvGraphicFramePr>
              <a:graphicFrameLocks noChangeAspect="1"/>
            </wp:cNvGraphicFramePr>
            <a:graphic>
              <a:graphicData uri="http://schemas.openxmlformats.org/drawingml/2006/picture">
                <pic:pic>
                  <pic:nvPicPr>
                    <pic:cNvPr id="0" name="graph_1_dpri_sensitivity.png"/>
                    <pic:cNvPicPr/>
                  </pic:nvPicPr>
                  <pic:blipFill>
                    <a:blip r:embed="rId13"/>
                    <a:stretch>
                      <a:fillRect/>
                    </a:stretch>
                  </pic:blipFill>
                  <pic:spPr>
                    <a:xfrm>
                      <a:off x="0" y="0"/>
                      <a:ext cx="5303520" cy="2386584"/>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4.1: DPRI Sensitivity Analysis.</w:t>
      </w:r>
      <w:r>
        <w:rPr>
          <w:rFonts w:ascii="Times New Roman" w:hAnsi="Times New Roman"/>
          <w:b w:val="0"/>
          <w:i w:val="0"/>
          <w:color w:val="000000"/>
          <w:sz w:val="21"/>
        </w:rPr>
        <w:t xml:space="preserve"> (a) The non-linear surge of DPRI across flood depths under differing road isolation severities, crossing the Amazon SNS emergency escalation threshold at 0.75. (b) Marginal contribution of each weighted parameter under a 50% shift, demonstrating the intentional dominant sensitivity of hazard water depth and physical isolation.</w:t>
      </w:r>
    </w:p>
    <w:p>
      <w:pPr>
        <w:pStyle w:val="Heading2"/>
        <w:keepNext/>
        <w:spacing w:before="200" w:after="80"/>
      </w:pPr>
      <w:r>
        <w:rPr>
          <w:rFonts w:ascii="Times New Roman" w:hAnsi="Times New Roman"/>
          <w:b/>
          <w:i w:val="0"/>
          <w:color w:val="000000"/>
          <w:sz w:val="25"/>
        </w:rPr>
        <w:t>4.2 Mathematical Formalization of Sphere Humanitarian Minimum Standards</w:t>
      </w:r>
    </w:p>
    <w:p>
      <w:pPr>
        <w:spacing w:before="0" w:after="120" w:line="276" w:lineRule="auto"/>
        <w:jc w:val="both"/>
      </w:pPr>
      <w:r>
        <w:rPr>
          <w:rFonts w:ascii="Times New Roman" w:hAnsi="Times New Roman"/>
          <w:b w:val="0"/>
          <w:i w:val="0"/>
          <w:color w:val="000000"/>
          <w:sz w:val="24"/>
        </w:rPr>
        <w:t xml:space="preserve">A cornerstone of CloudShield's humanistic engineering is the direct mathematical translation of the </w:t>
      </w:r>
      <w:r>
        <w:rPr>
          <w:rFonts w:ascii="Times New Roman" w:hAnsi="Times New Roman"/>
          <w:b w:val="0"/>
          <w:i/>
          <w:color w:val="000000"/>
          <w:sz w:val="24"/>
        </w:rPr>
        <w:t>Sphere Humanitarian Charter</w:t>
      </w:r>
      <w:r>
        <w:rPr>
          <w:rFonts w:ascii="Times New Roman" w:hAnsi="Times New Roman"/>
          <w:b w:val="0"/>
          <w:i w:val="0"/>
          <w:color w:val="000000"/>
          <w:sz w:val="24"/>
        </w:rPr>
        <w:t xml:space="preserve"> into automated demand forecasting equations for an operational window of </w:t>
      </w:r>
      <w:r>
        <w:rPr>
          <w:rFonts w:ascii="Times New Roman" w:hAnsi="Times New Roman"/>
          <w:b w:val="0"/>
          <w:i/>
          <w:color w:val="000000"/>
          <w:sz w:val="24"/>
        </w:rPr>
        <w:t>T</w:t>
      </w:r>
      <w:r>
        <w:rPr>
          <w:rFonts w:ascii="Times New Roman" w:hAnsi="Times New Roman"/>
          <w:b w:val="0"/>
          <w:i w:val="0"/>
          <w:color w:val="000000"/>
          <w:sz w:val="24"/>
        </w:rPr>
        <w:t xml:space="preserve"> days (standard operational planning horizon = 3 days):</w:t>
      </w:r>
    </w:p>
    <w:tbl>
      <w:tblPr>
        <w:tblW w:type="auto" w:w="0"/>
        <w:jc w:val="center"/>
        <w:tblLook w:firstColumn="1" w:firstRow="1" w:lastColumn="0" w:lastRow="0" w:noHBand="0" w:noVBand="1" w:val="04A0"/>
      </w:tblPr>
      <w:tblGrid>
        <w:gridCol w:w="9360"/>
      </w:tblGrid>
      <w:tr>
        <w:tc>
          <w:tcPr>
            <w:tcW w:type="dxa" w:w="9360"/>
            <w:shd w:fill="F9FAFB"/>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tcPr>
          <w:p>
            <w:pPr>
              <w:spacing w:after="0" w:line="276" w:lineRule="auto"/>
            </w:pPr>
            <w:r>
              <w:rPr>
                <w:rFonts w:ascii="Times New Roman" w:hAnsi="Times New Roman"/>
                <w:b/>
                <w:i w:val="0"/>
                <w:color w:val="000000"/>
                <w:sz w:val="21"/>
              </w:rPr>
              <w:t>1. Potable Drinking Water (Sphere Water Supply Standard 2.1):</w:t>
            </w:r>
            <w:r>
              <w:br/>
            </w:r>
            <w:r>
              <w:rPr>
                <w:rFonts w:ascii="Times New Roman" w:hAnsi="Times New Roman"/>
                <w:b w:val="0"/>
                <w:i w:val="0"/>
                <w:color w:val="000000"/>
                <w:sz w:val="21"/>
              </w:rPr>
              <w:t xml:space="preserve">    </w:t>
            </w:r>
            <w:r>
              <w:rPr>
                <w:rFonts w:ascii="Times New Roman" w:hAnsi="Times New Roman"/>
                <w:b w:val="0"/>
                <w:i/>
                <w:color w:val="000000"/>
                <w:sz w:val="21"/>
              </w:rPr>
              <w:t>D</w:t>
            </w:r>
            <w:r>
              <w:rPr>
                <w:rFonts w:ascii="Times New Roman" w:hAnsi="Times New Roman"/>
                <w:b w:val="0"/>
                <w:i/>
                <w:color w:val="000000"/>
                <w:sz w:val="21"/>
                <w:vertAlign w:val="subscript"/>
              </w:rPr>
              <w:t>water</w:t>
            </w:r>
            <w:r>
              <w:rPr>
                <w:rFonts w:ascii="Times New Roman" w:hAnsi="Times New Roman"/>
                <w:b w:val="0"/>
                <w:i/>
                <w:color w:val="000000"/>
                <w:sz w:val="21"/>
              </w:rPr>
              <w:t xml:space="preserve"> = P</w:t>
            </w:r>
            <w:r>
              <w:rPr>
                <w:rFonts w:ascii="Times New Roman" w:hAnsi="Times New Roman"/>
                <w:b w:val="0"/>
                <w:i/>
                <w:color w:val="000000"/>
                <w:sz w:val="21"/>
                <w:vertAlign w:val="subscript"/>
              </w:rPr>
              <w:t>displaced</w:t>
            </w:r>
            <w:r>
              <w:rPr>
                <w:rFonts w:ascii="Times New Roman" w:hAnsi="Times New Roman"/>
                <w:b w:val="0"/>
                <w:i/>
                <w:color w:val="000000"/>
                <w:sz w:val="21"/>
              </w:rPr>
              <w:t xml:space="preserve"> × 15.0 L/day × T days</w:t>
            </w:r>
            <w:r>
              <w:rPr>
                <w:rFonts w:ascii="Times New Roman" w:hAnsi="Times New Roman"/>
                <w:b w:val="0"/>
                <w:i w:val="0"/>
                <w:color w:val="000000"/>
                <w:sz w:val="21"/>
              </w:rPr>
              <w:t xml:space="preserve"> (guarantees 15.0 L per person per day for drinking, cooking, and essential personal hygiene).</w:t>
            </w:r>
            <w:r>
              <w:br/>
            </w:r>
            <w:r>
              <w:rPr>
                <w:rFonts w:ascii="Times New Roman" w:hAnsi="Times New Roman"/>
                <w:b/>
                <w:i w:val="0"/>
                <w:color w:val="000000"/>
                <w:sz w:val="21"/>
              </w:rPr>
              <w:t>2. Nutritional Food Rations (Sphere Food Security Standard 1.1):</w:t>
            </w:r>
            <w:r>
              <w:br/>
            </w:r>
            <w:r>
              <w:rPr>
                <w:rFonts w:ascii="Times New Roman" w:hAnsi="Times New Roman"/>
                <w:b w:val="0"/>
                <w:i w:val="0"/>
                <w:color w:val="000000"/>
                <w:sz w:val="21"/>
              </w:rPr>
              <w:t xml:space="preserve">    </w:t>
            </w:r>
            <w:r>
              <w:rPr>
                <w:rFonts w:ascii="Times New Roman" w:hAnsi="Times New Roman"/>
                <w:b w:val="0"/>
                <w:i/>
                <w:color w:val="000000"/>
                <w:sz w:val="21"/>
              </w:rPr>
              <w:t>D</w:t>
            </w:r>
            <w:r>
              <w:rPr>
                <w:rFonts w:ascii="Times New Roman" w:hAnsi="Times New Roman"/>
                <w:b w:val="0"/>
                <w:i/>
                <w:color w:val="000000"/>
                <w:sz w:val="21"/>
                <w:vertAlign w:val="subscript"/>
              </w:rPr>
              <w:t>food</w:t>
            </w:r>
            <w:r>
              <w:rPr>
                <w:rFonts w:ascii="Times New Roman" w:hAnsi="Times New Roman"/>
                <w:b w:val="0"/>
                <w:i/>
                <w:color w:val="000000"/>
                <w:sz w:val="21"/>
              </w:rPr>
              <w:t xml:space="preserve"> = P</w:t>
            </w:r>
            <w:r>
              <w:rPr>
                <w:rFonts w:ascii="Times New Roman" w:hAnsi="Times New Roman"/>
                <w:b w:val="0"/>
                <w:i/>
                <w:color w:val="000000"/>
                <w:sz w:val="21"/>
                <w:vertAlign w:val="subscript"/>
              </w:rPr>
              <w:t>displaced</w:t>
            </w:r>
            <w:r>
              <w:rPr>
                <w:rFonts w:ascii="Times New Roman" w:hAnsi="Times New Roman"/>
                <w:b w:val="0"/>
                <w:i/>
                <w:color w:val="000000"/>
                <w:sz w:val="21"/>
              </w:rPr>
              <w:t xml:space="preserve"> × 1.0 ration pack/day × T days</w:t>
            </w:r>
            <w:r>
              <w:rPr>
                <w:rFonts w:ascii="Times New Roman" w:hAnsi="Times New Roman"/>
                <w:b w:val="0"/>
                <w:i w:val="0"/>
                <w:color w:val="000000"/>
                <w:sz w:val="21"/>
              </w:rPr>
              <w:t xml:space="preserve"> (each standardized pack delivers 2,100 kcal with balanced macronutrients).</w:t>
            </w:r>
            <w:r>
              <w:br/>
            </w:r>
            <w:r>
              <w:rPr>
                <w:rFonts w:ascii="Times New Roman" w:hAnsi="Times New Roman"/>
                <w:b/>
                <w:i w:val="0"/>
                <w:color w:val="000000"/>
                <w:sz w:val="21"/>
              </w:rPr>
              <w:t>3. Triage Medical Trauma Kits (Sphere Health Action Standard 2.2):</w:t>
            </w:r>
            <w:r>
              <w:br/>
            </w:r>
            <w:r>
              <w:rPr>
                <w:rFonts w:ascii="Times New Roman" w:hAnsi="Times New Roman"/>
                <w:b w:val="0"/>
                <w:i w:val="0"/>
                <w:color w:val="000000"/>
                <w:sz w:val="21"/>
              </w:rPr>
              <w:t xml:space="preserve">    </w:t>
            </w:r>
            <w:r>
              <w:rPr>
                <w:rFonts w:ascii="Times New Roman" w:hAnsi="Times New Roman"/>
                <w:b w:val="0"/>
                <w:i/>
                <w:color w:val="000000"/>
                <w:sz w:val="21"/>
              </w:rPr>
              <w:t>D</w:t>
            </w:r>
            <w:r>
              <w:rPr>
                <w:rFonts w:ascii="Times New Roman" w:hAnsi="Times New Roman"/>
                <w:b w:val="0"/>
                <w:i/>
                <w:color w:val="000000"/>
                <w:sz w:val="21"/>
                <w:vertAlign w:val="subscript"/>
              </w:rPr>
              <w:t>medical</w:t>
            </w:r>
            <w:r>
              <w:rPr>
                <w:rFonts w:ascii="Times New Roman" w:hAnsi="Times New Roman"/>
                <w:b w:val="0"/>
                <w:i/>
                <w:color w:val="000000"/>
                <w:sz w:val="21"/>
              </w:rPr>
              <w:t xml:space="preserve"> = ⌈ N</w:t>
            </w:r>
            <w:r>
              <w:rPr>
                <w:rFonts w:ascii="Times New Roman" w:hAnsi="Times New Roman"/>
                <w:b w:val="0"/>
                <w:i/>
                <w:color w:val="000000"/>
                <w:sz w:val="21"/>
                <w:vertAlign w:val="subscript"/>
              </w:rPr>
              <w:t>injured</w:t>
            </w:r>
            <w:r>
              <w:rPr>
                <w:rFonts w:ascii="Times New Roman" w:hAnsi="Times New Roman"/>
                <w:b w:val="0"/>
                <w:i/>
                <w:color w:val="000000"/>
                <w:sz w:val="21"/>
              </w:rPr>
              <w:t xml:space="preserve"> / 50 ⌉ kits</w:t>
            </w:r>
            <w:r>
              <w:rPr>
                <w:rFonts w:ascii="Times New Roman" w:hAnsi="Times New Roman"/>
                <w:b w:val="0"/>
                <w:i w:val="0"/>
                <w:color w:val="000000"/>
                <w:sz w:val="21"/>
              </w:rPr>
              <w:t xml:space="preserve"> (1 trauma pack containing tourniquets, burn dressings, and IV fluids per 50 casualties).</w:t>
            </w:r>
            <w:r>
              <w:br/>
            </w:r>
            <w:r>
              <w:rPr>
                <w:rFonts w:ascii="Times New Roman" w:hAnsi="Times New Roman"/>
                <w:b/>
                <w:i w:val="0"/>
                <w:color w:val="000000"/>
                <w:sz w:val="21"/>
              </w:rPr>
              <w:t>4. Emergency Family Shelter Tents (Sphere Shelter Standard 1):</w:t>
            </w:r>
            <w:r>
              <w:br/>
            </w:r>
            <w:r>
              <w:rPr>
                <w:rFonts w:ascii="Times New Roman" w:hAnsi="Times New Roman"/>
                <w:b w:val="0"/>
                <w:i w:val="0"/>
                <w:color w:val="000000"/>
                <w:sz w:val="21"/>
              </w:rPr>
              <w:t xml:space="preserve">    </w:t>
            </w:r>
            <w:r>
              <w:rPr>
                <w:rFonts w:ascii="Times New Roman" w:hAnsi="Times New Roman"/>
                <w:b w:val="0"/>
                <w:i/>
                <w:color w:val="000000"/>
                <w:sz w:val="21"/>
              </w:rPr>
              <w:t>D</w:t>
            </w:r>
            <w:r>
              <w:rPr>
                <w:rFonts w:ascii="Times New Roman" w:hAnsi="Times New Roman"/>
                <w:b w:val="0"/>
                <w:i/>
                <w:color w:val="000000"/>
                <w:sz w:val="21"/>
                <w:vertAlign w:val="subscript"/>
              </w:rPr>
              <w:t>shelter</w:t>
            </w:r>
            <w:r>
              <w:rPr>
                <w:rFonts w:ascii="Times New Roman" w:hAnsi="Times New Roman"/>
                <w:b w:val="0"/>
                <w:i/>
                <w:color w:val="000000"/>
                <w:sz w:val="21"/>
              </w:rPr>
              <w:t xml:space="preserve"> = ⌈ P</w:t>
            </w:r>
            <w:r>
              <w:rPr>
                <w:rFonts w:ascii="Times New Roman" w:hAnsi="Times New Roman"/>
                <w:b w:val="0"/>
                <w:i/>
                <w:color w:val="000000"/>
                <w:sz w:val="21"/>
                <w:vertAlign w:val="subscript"/>
              </w:rPr>
              <w:t>displaced</w:t>
            </w:r>
            <w:r>
              <w:rPr>
                <w:rFonts w:ascii="Times New Roman" w:hAnsi="Times New Roman"/>
                <w:b w:val="0"/>
                <w:i/>
                <w:color w:val="000000"/>
                <w:sz w:val="21"/>
              </w:rPr>
              <w:t xml:space="preserve"> / 5 ⌉ tents</w:t>
            </w:r>
            <w:r>
              <w:rPr>
                <w:rFonts w:ascii="Times New Roman" w:hAnsi="Times New Roman"/>
                <w:b w:val="0"/>
                <w:i w:val="0"/>
                <w:color w:val="000000"/>
                <w:sz w:val="21"/>
              </w:rPr>
              <w:t xml:space="preserve"> (allocates 1 weatherized 5-person family tent providing 3.5 m² living space per individual).</w:t>
            </w:r>
            <w:r>
              <w:br/>
            </w:r>
            <w:r>
              <w:rPr>
                <w:rFonts w:ascii="Times New Roman" w:hAnsi="Times New Roman"/>
                <w:b/>
                <w:i w:val="0"/>
                <w:color w:val="000000"/>
                <w:sz w:val="21"/>
              </w:rPr>
              <w:t>5. Mobile Solar / Emergency Power Units (Sphere Telecommunications &amp; Camp Standard 3):</w:t>
            </w:r>
            <w:r>
              <w:br/>
            </w:r>
            <w:r>
              <w:rPr>
                <w:rFonts w:ascii="Times New Roman" w:hAnsi="Times New Roman"/>
                <w:b w:val="0"/>
                <w:i w:val="0"/>
                <w:color w:val="000000"/>
                <w:sz w:val="21"/>
              </w:rPr>
              <w:t xml:space="preserve">    </w:t>
            </w:r>
            <w:r>
              <w:rPr>
                <w:rFonts w:ascii="Times New Roman" w:hAnsi="Times New Roman"/>
                <w:b w:val="0"/>
                <w:i/>
                <w:color w:val="000000"/>
                <w:sz w:val="21"/>
              </w:rPr>
              <w:t>D</w:t>
            </w:r>
            <w:r>
              <w:rPr>
                <w:rFonts w:ascii="Times New Roman" w:hAnsi="Times New Roman"/>
                <w:b w:val="0"/>
                <w:i/>
                <w:color w:val="000000"/>
                <w:sz w:val="21"/>
                <w:vertAlign w:val="subscript"/>
              </w:rPr>
              <w:t>power</w:t>
            </w:r>
            <w:r>
              <w:rPr>
                <w:rFonts w:ascii="Times New Roman" w:hAnsi="Times New Roman"/>
                <w:b w:val="0"/>
                <w:i/>
                <w:color w:val="000000"/>
                <w:sz w:val="21"/>
              </w:rPr>
              <w:t xml:space="preserve"> = ⌈ P</w:t>
            </w:r>
            <w:r>
              <w:rPr>
                <w:rFonts w:ascii="Times New Roman" w:hAnsi="Times New Roman"/>
                <w:b w:val="0"/>
                <w:i/>
                <w:color w:val="000000"/>
                <w:sz w:val="21"/>
                <w:vertAlign w:val="subscript"/>
              </w:rPr>
              <w:t>displaced</w:t>
            </w:r>
            <w:r>
              <w:rPr>
                <w:rFonts w:ascii="Times New Roman" w:hAnsi="Times New Roman"/>
                <w:b w:val="0"/>
                <w:i/>
                <w:color w:val="000000"/>
                <w:sz w:val="21"/>
              </w:rPr>
              <w:t xml:space="preserve"> / 200 ⌉ units</w:t>
            </w:r>
            <w:r>
              <w:rPr>
                <w:rFonts w:ascii="Times New Roman" w:hAnsi="Times New Roman"/>
                <w:b w:val="0"/>
                <w:i w:val="0"/>
                <w:color w:val="000000"/>
                <w:sz w:val="21"/>
              </w:rPr>
              <w:t xml:space="preserve"> (1 ruggedized solar battery generator per 200 persons for medical refrigeration and camp lighting).</w:t>
            </w:r>
          </w:p>
        </w:tc>
      </w:tr>
    </w:tbl>
    <w:p>
      <w:pPr>
        <w:spacing w:before="80" w:after="0"/>
      </w:pPr>
    </w:p>
    <w:p>
      <w:pPr>
        <w:keepNext/>
        <w:spacing w:before="160" w:after="80"/>
        <w:jc w:val="center"/>
      </w:pPr>
      <w:r>
        <w:drawing>
          <wp:inline xmlns:a="http://schemas.openxmlformats.org/drawingml/2006/main" xmlns:pic="http://schemas.openxmlformats.org/drawingml/2006/picture">
            <wp:extent cx="5303520" cy="2386584"/>
            <wp:docPr id="4" name="Picture 4"/>
            <wp:cNvGraphicFramePr>
              <a:graphicFrameLocks noChangeAspect="1"/>
            </wp:cNvGraphicFramePr>
            <a:graphic>
              <a:graphicData uri="http://schemas.openxmlformats.org/drawingml/2006/picture">
                <pic:pic>
                  <pic:nvPicPr>
                    <pic:cNvPr id="0" name="graph_2_sphere_demand_curves.png"/>
                    <pic:cNvPicPr/>
                  </pic:nvPicPr>
                  <pic:blipFill>
                    <a:blip r:embed="rId14"/>
                    <a:stretch>
                      <a:fillRect/>
                    </a:stretch>
                  </pic:blipFill>
                  <pic:spPr>
                    <a:xfrm>
                      <a:off x="0" y="0"/>
                      <a:ext cx="5303520" cy="2386584"/>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4.2: Sphere Minimum Survival Standards 7-Day Cumulative Trajectories.</w:t>
      </w:r>
      <w:r>
        <w:rPr>
          <w:rFonts w:ascii="Times New Roman" w:hAnsi="Times New Roman"/>
          <w:b w:val="0"/>
          <w:i w:val="0"/>
          <w:color w:val="000000"/>
          <w:sz w:val="21"/>
        </w:rPr>
        <w:t xml:space="preserve"> (a) Cumulative drinking water demand in thousands of liters across population cohorts (1,000 to 10,000 evacuees). (b) Cumulative nutritional ration packs and emergency trauma kits, illustrating the exponential logistics burden if response convoys are delayed past the critical 72-hour survival cliff.</w:t>
      </w:r>
    </w:p>
    <w:p>
      <w:pPr>
        <w:pStyle w:val="Heading2"/>
        <w:keepNext/>
        <w:spacing w:before="200" w:after="80"/>
      </w:pPr>
      <w:r>
        <w:rPr>
          <w:rFonts w:ascii="Times New Roman" w:hAnsi="Times New Roman"/>
          <w:b/>
          <w:i w:val="0"/>
          <w:color w:val="000000"/>
          <w:sz w:val="25"/>
        </w:rPr>
        <w:t>4.3 Sphere Water Quality, Residual Chlorine, and Container Logistics</w:t>
      </w:r>
    </w:p>
    <w:p>
      <w:pPr>
        <w:spacing w:before="0" w:after="120" w:line="276" w:lineRule="auto"/>
        <w:jc w:val="both"/>
      </w:pPr>
      <w:r>
        <w:rPr>
          <w:rFonts w:ascii="Times New Roman" w:hAnsi="Times New Roman"/>
          <w:b w:val="0"/>
          <w:i w:val="0"/>
          <w:color w:val="000000"/>
          <w:sz w:val="24"/>
        </w:rPr>
        <w:t>Sphere Standard 2.1 mandates not merely gross water volume (15 L/person/day), but rigorous microbiological and container guidelines. CloudShield’s demand engine translates gross water liters into container units: standard 10-liter collapsible food-grade jerrycans ($N_{\text{jerrycans}} = \lceil D_{\text{water}} / 10 \rceil$) and water purification tablets (Sodium Dichloroisocyanurate - NaDCC) at 1 tablet per 20 liters. This prevents waterborne cholera and acute diarrheal epidemics in flooded displacement shelters.</w:t>
      </w:r>
    </w:p>
    <w:p>
      <w:pPr>
        <w:pStyle w:val="Heading2"/>
        <w:keepNext/>
        <w:spacing w:before="200" w:after="80"/>
      </w:pPr>
      <w:r>
        <w:rPr>
          <w:rFonts w:ascii="Times New Roman" w:hAnsi="Times New Roman"/>
          <w:b/>
          <w:i w:val="0"/>
          <w:color w:val="000000"/>
          <w:sz w:val="25"/>
        </w:rPr>
        <w:t>4.4 Nutritional Caloric Baselines &amp; Pediatric Vulnerability Adjustments</w:t>
      </w:r>
    </w:p>
    <w:p>
      <w:pPr>
        <w:spacing w:before="0" w:after="120" w:line="276" w:lineRule="auto"/>
        <w:jc w:val="both"/>
      </w:pPr>
      <w:r>
        <w:rPr>
          <w:rFonts w:ascii="Times New Roman" w:hAnsi="Times New Roman"/>
          <w:b w:val="0"/>
          <w:i w:val="0"/>
          <w:color w:val="000000"/>
          <w:sz w:val="24"/>
        </w:rPr>
        <w:t>Standard disaster logistics models treat evacuee populations as uniform caloric consumers. CloudShield introduces a dynamic demographic adjustment factor: while an adult ration pack delivers 2,100 kcal/day, cohorts with high infant ratios ($V_r &gt; 0.35$) automatically trigger a 20% reallocation toward Ready-to-Use Therapeutic Food (RUTF - Plumpy'Nut paste, 500 kcal/sachet) and pediatric electrolyte rehydration salts (ORS), ensuring vulnerable infants avoid acute severe malnutrition.</w:t>
      </w:r>
    </w:p>
    <w:p>
      <w:r>
        <w:br w:type="page"/>
      </w:r>
    </w:p>
    <w:p>
      <w:pPr>
        <w:pStyle w:val="Heading1"/>
        <w:keepNext/>
        <w:spacing w:before="280" w:after="280"/>
        <w:jc w:val="center"/>
      </w:pPr>
      <w:r>
        <w:rPr>
          <w:rFonts w:ascii="Times New Roman" w:hAnsi="Times New Roman"/>
          <w:b/>
          <w:i w:val="0"/>
          <w:color w:val="000000"/>
          <w:sz w:val="28"/>
        </w:rPr>
        <w:t>CHAPTER 5: ALGORITHMIC LOGISTICS OPTIMIZATION: THE MULTI-DEPOT KNAPSACK ENGINE</w:t>
      </w:r>
    </w:p>
    <w:p>
      <w:pPr>
        <w:pStyle w:val="Heading2"/>
        <w:keepNext/>
        <w:spacing w:before="200" w:after="80"/>
      </w:pPr>
      <w:r>
        <w:rPr>
          <w:rFonts w:ascii="Times New Roman" w:hAnsi="Times New Roman"/>
          <w:b/>
          <w:i w:val="0"/>
          <w:color w:val="000000"/>
          <w:sz w:val="25"/>
        </w:rPr>
        <w:t>5.1 Formal Problem Formulation: Constrained Multi-Facility Emergency Allocation</w:t>
      </w:r>
    </w:p>
    <w:p>
      <w:pPr>
        <w:spacing w:before="0" w:after="120" w:line="276" w:lineRule="auto"/>
        <w:jc w:val="both"/>
      </w:pPr>
      <w:r>
        <w:rPr>
          <w:rFonts w:ascii="Times New Roman" w:hAnsi="Times New Roman"/>
          <w:b w:val="0"/>
          <w:i w:val="0"/>
          <w:color w:val="000000"/>
          <w:sz w:val="24"/>
        </w:rPr>
        <w:t>Once regional survival demands ($D_{r,i}$) and prioritization indexes ($DPRI_r$) are established, CloudShield must solve an NP-hard multi-facility, multi-commodity inventory allocation problem. The operational environment consists of a set of active disaster regions $R$, a set of forward supply depots $D$, and a set of standardized relief commodities $I$. Each depot $d \in D$ maintains a physical inventory stock $S_{d,i}$ for commodity $i \in I$.</w:t>
      </w:r>
    </w:p>
    <w:p>
      <w:pPr>
        <w:spacing w:before="0" w:after="120" w:line="276" w:lineRule="auto"/>
        <w:jc w:val="both"/>
      </w:pPr>
      <w:r>
        <w:rPr>
          <w:rFonts w:ascii="Times New Roman" w:hAnsi="Times New Roman"/>
          <w:b w:val="0"/>
          <w:i w:val="0"/>
          <w:color w:val="000000"/>
          <w:sz w:val="24"/>
        </w:rPr>
        <w:t xml:space="preserve">To guarantee long-term operational resilience during protracted storms, depots must not be completely emptied by the first requesting region. CloudShield introduces a mandatory </w:t>
      </w:r>
      <w:r>
        <w:rPr>
          <w:rFonts w:ascii="Times New Roman" w:hAnsi="Times New Roman"/>
          <w:b/>
          <w:i w:val="0"/>
          <w:color w:val="000000"/>
          <w:sz w:val="24"/>
        </w:rPr>
        <w:t>Safety Reserve Buffer</w:t>
      </w:r>
      <w:r>
        <w:rPr>
          <w:rFonts w:ascii="Times New Roman" w:hAnsi="Times New Roman"/>
          <w:b w:val="0"/>
          <w:i w:val="0"/>
          <w:color w:val="000000"/>
          <w:sz w:val="24"/>
        </w:rPr>
        <w:t xml:space="preserve"> ($B_{d,i} = 0.15 \cdot S_{d,i}$), ensuring that each depot retains at least 15% of its baseline stock for unforeseen local casualties. The available dispatchable stock is thus bounded by $S_{d,i}^{ ext{avail}} = \max(0, S_{d,i} - B_{d,i})$.</w:t>
      </w:r>
    </w:p>
    <w:p>
      <w:pPr>
        <w:pStyle w:val="Heading2"/>
        <w:keepNext/>
        <w:spacing w:before="200" w:after="80"/>
      </w:pPr>
      <w:r>
        <w:rPr>
          <w:rFonts w:ascii="Times New Roman" w:hAnsi="Times New Roman"/>
          <w:b/>
          <w:i w:val="0"/>
          <w:color w:val="000000"/>
          <w:sz w:val="25"/>
        </w:rPr>
        <w:t>5.2 Distance Decay &amp; Non-Linear Road Impairment Transit Modeling</w:t>
      </w:r>
    </w:p>
    <w:p>
      <w:pPr>
        <w:spacing w:before="0" w:after="120" w:line="276" w:lineRule="auto"/>
        <w:jc w:val="both"/>
      </w:pPr>
      <w:r>
        <w:rPr>
          <w:rFonts w:ascii="Times New Roman" w:hAnsi="Times New Roman"/>
          <w:b w:val="0"/>
          <w:i w:val="0"/>
          <w:color w:val="000000"/>
          <w:sz w:val="24"/>
        </w:rPr>
        <w:t>Geographic transit cost between depot $d$ and disaster zone $r$ is formulated using spherical Haversine trigonometry, modified by a non-linear ground impairment penalty reflecting structural road blockages ($I_r$):</w:t>
      </w:r>
    </w:p>
    <w:tbl>
      <w:tblPr>
        <w:tblW w:type="auto" w:w="0"/>
        <w:jc w:val="center"/>
        <w:tblLook w:firstColumn="1" w:firstRow="1" w:lastColumn="0" w:lastRow="0" w:noHBand="0" w:noVBand="1" w:val="04A0"/>
      </w:tblPr>
      <w:tblGrid>
        <w:gridCol w:w="9360"/>
      </w:tblGrid>
      <w:tr>
        <w:tc>
          <w:tcPr>
            <w:tcW w:type="dxa" w:w="9360"/>
            <w:shd w:fill="F9FAFB"/>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tcPr>
          <w:p>
            <w:pPr>
              <w:spacing w:after="0" w:line="276" w:lineRule="auto"/>
            </w:pPr>
            <w:r>
              <w:rPr>
                <w:rFonts w:ascii="Times New Roman" w:hAnsi="Times New Roman"/>
                <w:b/>
                <w:i w:val="0"/>
                <w:color w:val="000000"/>
                <w:sz w:val="21"/>
              </w:rPr>
              <w:t>d(d, r) = 2 R · arcsin √( sin²(Δφ/2) + cos φ</w:t>
            </w:r>
            <w:r>
              <w:rPr>
                <w:rFonts w:ascii="Times New Roman" w:hAnsi="Times New Roman"/>
                <w:b/>
                <w:i w:val="0"/>
                <w:color w:val="000000"/>
                <w:sz w:val="21"/>
                <w:vertAlign w:val="subscript"/>
              </w:rPr>
              <w:t>d</w:t>
            </w:r>
            <w:r>
              <w:rPr>
                <w:rFonts w:ascii="Times New Roman" w:hAnsi="Times New Roman"/>
                <w:b/>
                <w:i w:val="0"/>
                <w:color w:val="000000"/>
                <w:sz w:val="21"/>
              </w:rPr>
              <w:t xml:space="preserve"> cos φ</w:t>
            </w:r>
            <w:r>
              <w:rPr>
                <w:rFonts w:ascii="Times New Roman" w:hAnsi="Times New Roman"/>
                <w:b/>
                <w:i w:val="0"/>
                <w:color w:val="000000"/>
                <w:sz w:val="21"/>
                <w:vertAlign w:val="subscript"/>
              </w:rPr>
              <w:t>r</w:t>
            </w:r>
            <w:r>
              <w:rPr>
                <w:rFonts w:ascii="Times New Roman" w:hAnsi="Times New Roman"/>
                <w:b/>
                <w:i w:val="0"/>
                <w:color w:val="000000"/>
                <w:sz w:val="21"/>
              </w:rPr>
              <w:t xml:space="preserve"> sin²(Δλ/2) )</w:t>
            </w:r>
            <w:r>
              <w:br/>
            </w:r>
            <w:r>
              <w:br/>
            </w:r>
            <w:r>
              <w:rPr>
                <w:rFonts w:ascii="Times New Roman" w:hAnsi="Times New Roman"/>
                <w:b/>
                <w:i w:val="0"/>
                <w:color w:val="000000"/>
                <w:sz w:val="21"/>
              </w:rPr>
              <w:t>Effective Transit Duration: T(d, r) = [ d(d, r) / v</w:t>
            </w:r>
            <w:r>
              <w:rPr>
                <w:rFonts w:ascii="Times New Roman" w:hAnsi="Times New Roman"/>
                <w:b/>
                <w:i w:val="0"/>
                <w:color w:val="000000"/>
                <w:sz w:val="21"/>
                <w:vertAlign w:val="subscript"/>
              </w:rPr>
              <w:t>base</w:t>
            </w:r>
            <w:r>
              <w:rPr>
                <w:rFonts w:ascii="Times New Roman" w:hAnsi="Times New Roman"/>
                <w:b/>
                <w:i w:val="0"/>
                <w:color w:val="000000"/>
                <w:sz w:val="21"/>
              </w:rPr>
              <w:t xml:space="preserve"> ] · [ 1 / ( 1 - 0.7 · I</w:t>
            </w:r>
            <w:r>
              <w:rPr>
                <w:rFonts w:ascii="Times New Roman" w:hAnsi="Times New Roman"/>
                <w:b/>
                <w:i w:val="0"/>
                <w:color w:val="000000"/>
                <w:sz w:val="21"/>
                <w:vertAlign w:val="subscript"/>
              </w:rPr>
              <w:t>r</w:t>
            </w:r>
            <w:r>
              <w:rPr>
                <w:rFonts w:ascii="Times New Roman" w:hAnsi="Times New Roman"/>
                <w:b/>
                <w:i w:val="0"/>
                <w:color w:val="000000"/>
                <w:sz w:val="21"/>
              </w:rPr>
              <w:t xml:space="preserve"> ) ]</w:t>
            </w:r>
            <w:r>
              <w:br/>
            </w:r>
            <w:r>
              <w:rPr>
                <w:rFonts w:ascii="Times New Roman" w:hAnsi="Times New Roman"/>
                <w:b w:val="0"/>
                <w:i w:val="0"/>
                <w:color w:val="000000"/>
                <w:sz w:val="21"/>
              </w:rPr>
              <w:t>Where $R = 6,371$ km (Earth mean radius), $v_{\text{base}} = 45$ km/h (average heavy relief convoy speed on state highways), and $I_r \in [0, 1.0]$ represents regional road impairment. When $I_r \ge 0.75$, the routing penalty asymptotes, triggering the Unserviceable Demand Escrow (UDE) protocol.</w:t>
            </w:r>
          </w:p>
        </w:tc>
      </w:tr>
    </w:tbl>
    <w:p>
      <w:pPr>
        <w:spacing w:before="80" w:after="0"/>
      </w:pPr>
    </w:p>
    <w:p>
      <w:pPr>
        <w:pStyle w:val="Heading2"/>
        <w:keepNext/>
        <w:spacing w:before="200" w:after="80"/>
      </w:pPr>
      <w:r>
        <w:rPr>
          <w:rFonts w:ascii="Times New Roman" w:hAnsi="Times New Roman"/>
          <w:b/>
          <w:i w:val="0"/>
          <w:color w:val="000000"/>
          <w:sz w:val="25"/>
        </w:rPr>
        <w:t>5.3 Greedy Priority Knapsack Solver: Invariants and Algorithmic Pseudocode</w:t>
      </w:r>
    </w:p>
    <w:p>
      <w:pPr>
        <w:spacing w:before="0" w:after="120" w:line="276" w:lineRule="auto"/>
        <w:jc w:val="both"/>
      </w:pPr>
      <w:r>
        <w:rPr>
          <w:rFonts w:ascii="Times New Roman" w:hAnsi="Times New Roman"/>
          <w:b w:val="0"/>
          <w:i w:val="0"/>
          <w:color w:val="000000"/>
          <w:sz w:val="24"/>
        </w:rPr>
        <w:t xml:space="preserve">To guarantee microsecond execution times during intense crisis coordination without incurring the non-deterministic exponential runtime of exact integer solvers, CloudShield implements a </w:t>
      </w:r>
      <w:r>
        <w:rPr>
          <w:rFonts w:ascii="Times New Roman" w:hAnsi="Times New Roman"/>
          <w:b/>
          <w:i w:val="0"/>
          <w:color w:val="000000"/>
          <w:sz w:val="24"/>
        </w:rPr>
        <w:t>Greedy Priority Multi-Depot Knapsack</w:t>
      </w:r>
      <w:r>
        <w:rPr>
          <w:rFonts w:ascii="Times New Roman" w:hAnsi="Times New Roman"/>
          <w:b w:val="0"/>
          <w:i w:val="0"/>
          <w:color w:val="000000"/>
          <w:sz w:val="24"/>
        </w:rPr>
        <w:t xml:space="preserve"> heuristic. The algorithm enforces the following computational steps:</w:t>
      </w:r>
      <w:r>
        <w:br/>
      </w:r>
      <w:r>
        <w:rPr>
          <w:rFonts w:ascii="Times New Roman" w:hAnsi="Times New Roman"/>
          <w:b w:val="0"/>
          <w:i w:val="0"/>
          <w:color w:val="000000"/>
          <w:sz w:val="24"/>
        </w:rPr>
        <w:t xml:space="preserve">1. </w:t>
      </w:r>
      <w:r>
        <w:rPr>
          <w:rFonts w:ascii="Times New Roman" w:hAnsi="Times New Roman"/>
          <w:b/>
          <w:i w:val="0"/>
          <w:color w:val="000000"/>
          <w:sz w:val="24"/>
        </w:rPr>
        <w:t>Sorting Phase:</w:t>
      </w:r>
      <w:r>
        <w:rPr>
          <w:rFonts w:ascii="Times New Roman" w:hAnsi="Times New Roman"/>
          <w:b w:val="0"/>
          <w:i w:val="0"/>
          <w:color w:val="000000"/>
          <w:sz w:val="24"/>
        </w:rPr>
        <w:t xml:space="preserve"> Rank all disaster regions descending by $DPRI_r$. Regions with higher human peril are strictly evaluated first.</w:t>
      </w:r>
      <w:r>
        <w:br/>
      </w:r>
      <w:r>
        <w:rPr>
          <w:rFonts w:ascii="Times New Roman" w:hAnsi="Times New Roman"/>
          <w:b w:val="0"/>
          <w:i w:val="0"/>
          <w:color w:val="000000"/>
          <w:sz w:val="24"/>
        </w:rPr>
        <w:t xml:space="preserve">2. </w:t>
      </w:r>
      <w:r>
        <w:rPr>
          <w:rFonts w:ascii="Times New Roman" w:hAnsi="Times New Roman"/>
          <w:b/>
          <w:i w:val="0"/>
          <w:color w:val="000000"/>
          <w:sz w:val="24"/>
        </w:rPr>
        <w:t>Candidate Depots Ranking:</w:t>
      </w:r>
      <w:r>
        <w:rPr>
          <w:rFonts w:ascii="Times New Roman" w:hAnsi="Times New Roman"/>
          <w:b w:val="0"/>
          <w:i w:val="0"/>
          <w:color w:val="000000"/>
          <w:sz w:val="24"/>
        </w:rPr>
        <w:t xml:space="preserve"> For each region $r$ and commodity $i$, rank all active depots ascending by effective transit time $T(d, r)$.</w:t>
      </w:r>
      <w:r>
        <w:br/>
      </w:r>
      <w:r>
        <w:rPr>
          <w:rFonts w:ascii="Times New Roman" w:hAnsi="Times New Roman"/>
          <w:b w:val="0"/>
          <w:i w:val="0"/>
          <w:color w:val="000000"/>
          <w:sz w:val="24"/>
        </w:rPr>
        <w:t xml:space="preserve">3. </w:t>
      </w:r>
      <w:r>
        <w:rPr>
          <w:rFonts w:ascii="Times New Roman" w:hAnsi="Times New Roman"/>
          <w:b/>
          <w:i w:val="0"/>
          <w:color w:val="000000"/>
          <w:sz w:val="24"/>
        </w:rPr>
        <w:t>Proportional Stock Allocation:</w:t>
      </w:r>
      <w:r>
        <w:rPr>
          <w:rFonts w:ascii="Times New Roman" w:hAnsi="Times New Roman"/>
          <w:b w:val="0"/>
          <w:i w:val="0"/>
          <w:color w:val="000000"/>
          <w:sz w:val="24"/>
        </w:rPr>
        <w:t xml:space="preserve"> Satisfy demand $D_{r,i}$ by drawing sequentially from the nearest capable depot up to its dispatchable limit $S_{d,i}^{ ext{avail}}$. Decrement temporary in-memory balance.</w:t>
      </w:r>
      <w:r>
        <w:br/>
      </w:r>
      <w:r>
        <w:rPr>
          <w:rFonts w:ascii="Times New Roman" w:hAnsi="Times New Roman"/>
          <w:b w:val="0"/>
          <w:i w:val="0"/>
          <w:color w:val="000000"/>
          <w:sz w:val="24"/>
        </w:rPr>
        <w:t xml:space="preserve">4. </w:t>
      </w:r>
      <w:r>
        <w:rPr>
          <w:rFonts w:ascii="Times New Roman" w:hAnsi="Times New Roman"/>
          <w:b/>
          <w:i w:val="0"/>
          <w:color w:val="000000"/>
          <w:sz w:val="24"/>
        </w:rPr>
        <w:t>Deficit Accounting:</w:t>
      </w:r>
      <w:r>
        <w:rPr>
          <w:rFonts w:ascii="Times New Roman" w:hAnsi="Times New Roman"/>
          <w:b w:val="0"/>
          <w:i w:val="0"/>
          <w:color w:val="000000"/>
          <w:sz w:val="24"/>
        </w:rPr>
        <w:t xml:space="preserve"> If total network stock is insufficient, record the remaining balance as an acute shortage and write an Unserviceable Demand Record.</w:t>
      </w:r>
      <w:r>
        <w:br/>
      </w:r>
      <w:r>
        <w:rPr>
          <w:rFonts w:ascii="Times New Roman" w:hAnsi="Times New Roman"/>
          <w:b w:val="0"/>
          <w:i w:val="0"/>
          <w:color w:val="000000"/>
          <w:sz w:val="24"/>
        </w:rPr>
        <w:t xml:space="preserve">The overall computational time complexity is strictly bounded by </w:t>
      </w:r>
      <w:r>
        <w:rPr>
          <w:rFonts w:ascii="Times New Roman" w:hAnsi="Times New Roman"/>
          <w:b/>
          <w:i w:val="0"/>
          <w:color w:val="000000"/>
          <w:sz w:val="24"/>
        </w:rPr>
        <w:t>O(|R| · log|R| + |R| · |D| · log|D| · |I|)</w:t>
      </w:r>
      <w:r>
        <w:rPr>
          <w:rFonts w:ascii="Times New Roman" w:hAnsi="Times New Roman"/>
          <w:b w:val="0"/>
          <w:i w:val="0"/>
          <w:color w:val="000000"/>
          <w:sz w:val="24"/>
        </w:rPr>
        <w:t>, guaranteeing deterministic sub-50ms execution on standard EC2 compute instances.</w:t>
      </w:r>
    </w:p>
    <w:p>
      <w:pPr>
        <w:keepNext/>
        <w:spacing w:before="160" w:after="80"/>
        <w:jc w:val="center"/>
      </w:pPr>
      <w:r>
        <w:drawing>
          <wp:inline xmlns:a="http://schemas.openxmlformats.org/drawingml/2006/main" xmlns:pic="http://schemas.openxmlformats.org/drawingml/2006/picture">
            <wp:extent cx="5303520" cy="2386584"/>
            <wp:docPr id="5" name="Picture 5"/>
            <wp:cNvGraphicFramePr>
              <a:graphicFrameLocks noChangeAspect="1"/>
            </wp:cNvGraphicFramePr>
            <a:graphic>
              <a:graphicData uri="http://schemas.openxmlformats.org/drawingml/2006/picture">
                <pic:pic>
                  <pic:nvPicPr>
                    <pic:cNvPr id="0" name="graph_3_knapsack_allocation.png"/>
                    <pic:cNvPicPr/>
                  </pic:nvPicPr>
                  <pic:blipFill>
                    <a:blip r:embed="rId15"/>
                    <a:stretch>
                      <a:fillRect/>
                    </a:stretch>
                  </pic:blipFill>
                  <pic:spPr>
                    <a:xfrm>
                      <a:off x="0" y="0"/>
                      <a:ext cx="5303520" cy="2386584"/>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5.1: Multi-Depot Knapsack Optimization vs. Naive Greedy Allocation.</w:t>
      </w:r>
      <w:r>
        <w:rPr>
          <w:rFonts w:ascii="Times New Roman" w:hAnsi="Times New Roman"/>
          <w:b w:val="0"/>
          <w:i w:val="0"/>
          <w:color w:val="000000"/>
          <w:sz w:val="21"/>
        </w:rPr>
        <w:t xml:space="preserve"> (a) Depot depletion balancing: naive greedy solvers exhaust Central Depot completely, whereas CloudShield distributes dispatches across East Auxiliary and Coast Guard Depots while preserving the 15% safety buffer. (b) Convoy transit duration under progressive road degradation.</w:t>
      </w:r>
    </w:p>
    <w:p>
      <w:pPr>
        <w:pStyle w:val="Heading2"/>
        <w:keepNext/>
        <w:spacing w:before="200" w:after="80"/>
      </w:pPr>
      <w:r>
        <w:rPr>
          <w:rFonts w:ascii="Times New Roman" w:hAnsi="Times New Roman"/>
          <w:b/>
          <w:i w:val="0"/>
          <w:color w:val="000000"/>
          <w:sz w:val="25"/>
        </w:rPr>
        <w:t>5.4 Formal Invariant Guarantees &amp; Proof of Buffer Non-Depletion</w:t>
      </w:r>
    </w:p>
    <w:p>
      <w:pPr>
        <w:spacing w:before="0" w:after="120" w:line="276" w:lineRule="auto"/>
        <w:jc w:val="both"/>
      </w:pPr>
      <w:r>
        <w:rPr>
          <w:rFonts w:ascii="Times New Roman" w:hAnsi="Times New Roman"/>
          <w:b/>
          <w:i w:val="0"/>
          <w:color w:val="000000"/>
          <w:sz w:val="24"/>
        </w:rPr>
        <w:t>Theorem 1 (Depot Buffer Invariant):</w:t>
      </w:r>
      <w:r>
        <w:rPr>
          <w:rFonts w:ascii="Times New Roman" w:hAnsi="Times New Roman"/>
          <w:b w:val="0"/>
          <w:i w:val="0"/>
          <w:color w:val="000000"/>
          <w:sz w:val="24"/>
        </w:rPr>
        <w:t xml:space="preserve"> For any commodity $i$ and depot $d$, the committed allocation $A_{d,i} = \sum_{r} x_{d,r,i}$ guarantees that post-allocation inventory $S'_{d,i} = S_{d,i} - A_{d,i} \ge 0.15 \cdot S_{d,i}$.</w:t>
      </w:r>
      <w:r>
        <w:br/>
      </w:r>
      <w:r>
        <w:rPr>
          <w:rFonts w:ascii="Times New Roman" w:hAnsi="Times New Roman"/>
          <w:b w:val="0"/>
          <w:i/>
          <w:color w:val="000000"/>
          <w:sz w:val="24"/>
        </w:rPr>
        <w:t>Proof:</w:t>
      </w:r>
      <w:r>
        <w:rPr>
          <w:rFonts w:ascii="Times New Roman" w:hAnsi="Times New Roman"/>
          <w:b w:val="0"/>
          <w:i w:val="0"/>
          <w:color w:val="000000"/>
          <w:sz w:val="24"/>
        </w:rPr>
        <w:t xml:space="preserve"> By construction, the dispatchable upper bound $S_{d,i}^{\text{avail}} = \max(0, S_{d,i} - 0.15 \cdot S_{d,i}) = 0.85 \cdot S_{d,i}$. Since the greedy allocator enforces $\sum_r x_{d,r,i} \le S_{d,i}^{\text{avail}}$, we have $A_{d,i} \le 0.85 \cdot S_{d,i}$. Therefore, $S'_{d,i} = S_{d,i} - A_{d,i} \ge S_{d,i} - 0.85 \cdot S_{d,i} = 0.15 \cdot S_{d,i}$. Hence, the reserve buffer is preserved strictly.</w:t>
      </w:r>
    </w:p>
    <w:p>
      <w:pPr>
        <w:pStyle w:val="Heading2"/>
        <w:keepNext/>
        <w:spacing w:before="200" w:after="80"/>
      </w:pPr>
      <w:r>
        <w:rPr>
          <w:rFonts w:ascii="Times New Roman" w:hAnsi="Times New Roman"/>
          <w:b/>
          <w:i w:val="0"/>
          <w:color w:val="000000"/>
          <w:sz w:val="25"/>
        </w:rPr>
        <w:t>5.5 Non-Linear Convoy Congestion Modeling via Bureau of Public Roads (BPR) Formulation</w:t>
      </w:r>
    </w:p>
    <w:p>
      <w:pPr>
        <w:spacing w:before="0" w:after="120" w:line="276" w:lineRule="auto"/>
        <w:jc w:val="both"/>
      </w:pPr>
      <w:r>
        <w:rPr>
          <w:rFonts w:ascii="Times New Roman" w:hAnsi="Times New Roman"/>
          <w:b w:val="0"/>
          <w:i w:val="0"/>
          <w:color w:val="000000"/>
          <w:sz w:val="24"/>
        </w:rPr>
        <w:t>In actual disaster operations, when primary highways suffer partial inundation, relief convoys converge onto surviving highland bypasses, creating severe bottlenecks. CloudShield models this dynamic congestion delay using the classical Bureau of Public Roads (BPR) link performance function:</w:t>
      </w:r>
      <w:r>
        <w:br/>
      </w:r>
      <w:r>
        <w:rPr>
          <w:rFonts w:ascii="Times New Roman" w:hAnsi="Times New Roman"/>
          <w:b/>
          <w:i w:val="0"/>
          <w:color w:val="000000"/>
          <w:sz w:val="24"/>
        </w:rPr>
        <w:t>T(d, r)</w:t>
      </w:r>
      <w:r>
        <w:rPr>
          <w:rFonts w:ascii="Times New Roman" w:hAnsi="Times New Roman"/>
          <w:b/>
          <w:i w:val="0"/>
          <w:color w:val="000000"/>
          <w:sz w:val="24"/>
          <w:vertAlign w:val="subscript"/>
        </w:rPr>
        <w:t>actual</w:t>
      </w:r>
      <w:r>
        <w:rPr>
          <w:rFonts w:ascii="Times New Roman" w:hAnsi="Times New Roman"/>
          <w:b/>
          <w:i w:val="0"/>
          <w:color w:val="000000"/>
          <w:sz w:val="24"/>
        </w:rPr>
        <w:t xml:space="preserve"> = T(d, r)</w:t>
      </w:r>
      <w:r>
        <w:rPr>
          <w:rFonts w:ascii="Times New Roman" w:hAnsi="Times New Roman"/>
          <w:b/>
          <w:i w:val="0"/>
          <w:color w:val="000000"/>
          <w:sz w:val="24"/>
          <w:vertAlign w:val="subscript"/>
        </w:rPr>
        <w:t>free</w:t>
      </w:r>
      <w:r>
        <w:rPr>
          <w:rFonts w:ascii="Times New Roman" w:hAnsi="Times New Roman"/>
          <w:b/>
          <w:i w:val="0"/>
          <w:color w:val="000000"/>
          <w:sz w:val="24"/>
        </w:rPr>
        <w:t xml:space="preserve"> · [ 1 + α · ( V(d, r) / ( C(d, r) · (1 - I</w:t>
      </w:r>
      <w:r>
        <w:rPr>
          <w:rFonts w:ascii="Times New Roman" w:hAnsi="Times New Roman"/>
          <w:b/>
          <w:i w:val="0"/>
          <w:color w:val="000000"/>
          <w:sz w:val="24"/>
          <w:vertAlign w:val="subscript"/>
        </w:rPr>
        <w:t>r</w:t>
      </w:r>
      <w:r>
        <w:rPr>
          <w:rFonts w:ascii="Times New Roman" w:hAnsi="Times New Roman"/>
          <w:b/>
          <w:i w:val="0"/>
          <w:color w:val="000000"/>
          <w:sz w:val="24"/>
        </w:rPr>
        <w:t>) ) )</w:t>
      </w:r>
      <w:r>
        <w:rPr>
          <w:rFonts w:ascii="Times New Roman" w:hAnsi="Times New Roman"/>
          <w:b/>
          <w:i w:val="0"/>
          <w:color w:val="000000"/>
          <w:sz w:val="24"/>
          <w:vertAlign w:val="superscript"/>
        </w:rPr>
        <w:t>β</w:t>
      </w:r>
      <w:r>
        <w:rPr>
          <w:rFonts w:ascii="Times New Roman" w:hAnsi="Times New Roman"/>
          <w:b/>
          <w:i w:val="0"/>
          <w:color w:val="000000"/>
          <w:sz w:val="24"/>
        </w:rPr>
        <w:t xml:space="preserve"> ]</w:t>
      </w:r>
      <w:r>
        <w:br/>
      </w:r>
      <w:r>
        <w:rPr>
          <w:rFonts w:ascii="Times New Roman" w:hAnsi="Times New Roman"/>
          <w:b w:val="0"/>
          <w:i w:val="0"/>
          <w:color w:val="000000"/>
          <w:sz w:val="24"/>
        </w:rPr>
        <w:t xml:space="preserve">where </w:t>
      </w:r>
      <w:r>
        <w:rPr>
          <w:rFonts w:ascii="Times New Roman" w:hAnsi="Times New Roman"/>
          <w:b w:val="0"/>
          <w:i/>
          <w:color w:val="000000"/>
          <w:sz w:val="24"/>
        </w:rPr>
        <w:t>T(d, r)</w:t>
      </w:r>
      <w:r>
        <w:rPr>
          <w:rFonts w:ascii="Times New Roman" w:hAnsi="Times New Roman"/>
          <w:b w:val="0"/>
          <w:i/>
          <w:color w:val="000000"/>
          <w:sz w:val="24"/>
          <w:vertAlign w:val="subscript"/>
        </w:rPr>
        <w:t>free</w:t>
      </w:r>
      <w:r>
        <w:rPr>
          <w:rFonts w:ascii="Times New Roman" w:hAnsi="Times New Roman"/>
          <w:b w:val="0"/>
          <w:i w:val="0"/>
          <w:color w:val="000000"/>
          <w:sz w:val="24"/>
        </w:rPr>
        <w:t xml:space="preserve"> is the free-flow travel time, </w:t>
      </w:r>
      <w:r>
        <w:rPr>
          <w:rFonts w:ascii="Times New Roman" w:hAnsi="Times New Roman"/>
          <w:b w:val="0"/>
          <w:i/>
          <w:color w:val="000000"/>
          <w:sz w:val="24"/>
        </w:rPr>
        <w:t>V(d, r)</w:t>
      </w:r>
      <w:r>
        <w:rPr>
          <w:rFonts w:ascii="Times New Roman" w:hAnsi="Times New Roman"/>
          <w:b w:val="0"/>
          <w:i w:val="0"/>
          <w:color w:val="000000"/>
          <w:sz w:val="24"/>
        </w:rPr>
        <w:t xml:space="preserve"> is the active relief convoy traffic volume, </w:t>
      </w:r>
      <w:r>
        <w:rPr>
          <w:rFonts w:ascii="Times New Roman" w:hAnsi="Times New Roman"/>
          <w:b w:val="0"/>
          <w:i/>
          <w:color w:val="000000"/>
          <w:sz w:val="24"/>
        </w:rPr>
        <w:t>C(d, r)</w:t>
      </w:r>
      <w:r>
        <w:rPr>
          <w:rFonts w:ascii="Times New Roman" w:hAnsi="Times New Roman"/>
          <w:b w:val="0"/>
          <w:i w:val="0"/>
          <w:color w:val="000000"/>
          <w:sz w:val="24"/>
        </w:rPr>
        <w:t xml:space="preserve"> is the baseline road capacity, </w:t>
      </w:r>
      <w:r>
        <w:rPr>
          <w:rFonts w:ascii="Times New Roman" w:hAnsi="Times New Roman"/>
          <w:b w:val="0"/>
          <w:i/>
          <w:color w:val="000000"/>
          <w:sz w:val="24"/>
        </w:rPr>
        <w:t>I</w:t>
      </w:r>
      <w:r>
        <w:rPr>
          <w:rFonts w:ascii="Times New Roman" w:hAnsi="Times New Roman"/>
          <w:b w:val="0"/>
          <w:i/>
          <w:color w:val="000000"/>
          <w:sz w:val="24"/>
          <w:vertAlign w:val="subscript"/>
        </w:rPr>
        <w:t>r</w:t>
      </w:r>
      <w:r>
        <w:rPr>
          <w:rFonts w:ascii="Times New Roman" w:hAnsi="Times New Roman"/>
          <w:b w:val="0"/>
          <w:i w:val="0"/>
          <w:color w:val="000000"/>
          <w:sz w:val="24"/>
        </w:rPr>
        <w:t xml:space="preserve"> is the inundation impairment percentage, and α = 0.15, β = 4.0 are calibrated empirical highway coefficients. When volume approaches degraded capacity, the non-linear exponential delay alerts logistics directors to stagger dispatch convoys across multiple time windows, preventing gridlock.</w:t>
      </w:r>
    </w:p>
    <w:p>
      <w:r>
        <w:br w:type="page"/>
      </w:r>
    </w:p>
    <w:p>
      <w:pPr>
        <w:pStyle w:val="Heading1"/>
        <w:keepNext/>
        <w:spacing w:before="280" w:after="280"/>
        <w:jc w:val="center"/>
      </w:pPr>
      <w:r>
        <w:rPr>
          <w:rFonts w:ascii="Times New Roman" w:hAnsi="Times New Roman"/>
          <w:b/>
          <w:i w:val="0"/>
          <w:color w:val="000000"/>
          <w:sz w:val="28"/>
        </w:rPr>
        <w:t>CHAPTER 6: TWO-STAGE HUMAN-IN-THE-LOOP GOVERNANCE &amp; STATE MACHINE ARCHITECTURE</w:t>
      </w:r>
    </w:p>
    <w:p>
      <w:pPr>
        <w:pStyle w:val="Heading2"/>
        <w:keepNext/>
        <w:spacing w:before="200" w:after="80"/>
      </w:pPr>
      <w:r>
        <w:rPr>
          <w:rFonts w:ascii="Times New Roman" w:hAnsi="Times New Roman"/>
          <w:b/>
          <w:i w:val="0"/>
          <w:color w:val="000000"/>
          <w:sz w:val="25"/>
        </w:rPr>
        <w:t>6.1 Ethical Rationale for Human-in-the-Loop Oversight</w:t>
      </w:r>
    </w:p>
    <w:p>
      <w:pPr>
        <w:spacing w:before="0" w:after="120" w:line="276" w:lineRule="auto"/>
        <w:jc w:val="both"/>
      </w:pPr>
      <w:r>
        <w:rPr>
          <w:rFonts w:ascii="Times New Roman" w:hAnsi="Times New Roman"/>
          <w:b w:val="0"/>
          <w:i w:val="0"/>
          <w:color w:val="000000"/>
          <w:sz w:val="24"/>
        </w:rPr>
        <w:t>A foundational ethical tenet of CloudShield is that fully autonomous, unsupervised AI execution is unacceptable in life-critical disaster relief. Algorithmic models—no matter how mathematically elegant—rely on remote sensing telemetry and reporting feeds that may experience localized blindness. For example, satellite radar may detect six feet of standing water in an urban sector, prompting the knapsack engine to allocate thousands of ration packs to a local school. However, an experienced field logistics director may know via VHF radio that the school was evacuated two hours prior, rendering the algorithmic shipment useless while another community is neglected.</w:t>
      </w:r>
    </w:p>
    <w:p>
      <w:pPr>
        <w:spacing w:before="0" w:after="120" w:line="276" w:lineRule="auto"/>
        <w:jc w:val="both"/>
      </w:pPr>
      <w:r>
        <w:rPr>
          <w:rFonts w:ascii="Times New Roman" w:hAnsi="Times New Roman"/>
          <w:b w:val="0"/>
          <w:i w:val="0"/>
          <w:color w:val="000000"/>
          <w:sz w:val="24"/>
        </w:rPr>
        <w:t xml:space="preserve">To prevent such catastrophic algorithmic misallocations while preserving computational speed, CloudShield implements a rigid </w:t>
      </w:r>
      <w:r>
        <w:rPr>
          <w:rFonts w:ascii="Times New Roman" w:hAnsi="Times New Roman"/>
          <w:b/>
          <w:i w:val="0"/>
          <w:color w:val="000000"/>
          <w:sz w:val="24"/>
        </w:rPr>
        <w:t>Two-Stage Human-in-the-Loop State Machine</w:t>
      </w:r>
      <w:r>
        <w:rPr>
          <w:rFonts w:ascii="Times New Roman" w:hAnsi="Times New Roman"/>
          <w:b w:val="0"/>
          <w:i w:val="0"/>
          <w:color w:val="000000"/>
          <w:sz w:val="24"/>
        </w:rPr>
        <w:t>. The cloud platform acts as an extraordinarily fast, highly objective analytical advisor, while statutory and ethical command remains firmly in the hands of authenticated human incident directors.</w:t>
      </w:r>
    </w:p>
    <w:p>
      <w:pPr>
        <w:pStyle w:val="Heading2"/>
        <w:keepNext/>
        <w:spacing w:before="200" w:after="80"/>
      </w:pPr>
      <w:r>
        <w:rPr>
          <w:rFonts w:ascii="Times New Roman" w:hAnsi="Times New Roman"/>
          <w:b/>
          <w:i w:val="0"/>
          <w:color w:val="000000"/>
          <w:sz w:val="25"/>
        </w:rPr>
        <w:t>6.2 Formal State Machine Model and Transition Invariants</w:t>
      </w:r>
    </w:p>
    <w:p>
      <w:pPr>
        <w:spacing w:before="0" w:after="120" w:line="276" w:lineRule="auto"/>
        <w:jc w:val="both"/>
      </w:pPr>
      <w:r>
        <w:rPr>
          <w:rFonts w:ascii="Times New Roman" w:hAnsi="Times New Roman"/>
          <w:b w:val="0"/>
          <w:i w:val="0"/>
          <w:color w:val="000000"/>
          <w:sz w:val="24"/>
        </w:rPr>
        <w:t xml:space="preserve">The lifecycle of every resource allocation manifest is governed by a finite state automaton consisting of four discrete states: </w:t>
      </w:r>
      <w:r>
        <w:rPr>
          <w:rFonts w:ascii="Consolas" w:hAnsi="Consolas"/>
          <w:b w:val="0"/>
          <w:i w:val="0"/>
          <w:color w:val="000000"/>
          <w:sz w:val="21"/>
        </w:rPr>
        <w:t>DRAFT</w:t>
      </w:r>
      <w:r>
        <w:rPr>
          <w:rFonts w:ascii="Times New Roman" w:hAnsi="Times New Roman"/>
          <w:b w:val="0"/>
          <w:i w:val="0"/>
          <w:color w:val="000000"/>
          <w:sz w:val="24"/>
        </w:rPr>
        <w:t xml:space="preserve">, </w:t>
      </w:r>
      <w:r>
        <w:rPr>
          <w:rFonts w:ascii="Consolas" w:hAnsi="Consolas"/>
          <w:b w:val="0"/>
          <w:i w:val="0"/>
          <w:color w:val="000000"/>
          <w:sz w:val="21"/>
        </w:rPr>
        <w:t>PENDING_APPROVAL</w:t>
      </w:r>
      <w:r>
        <w:rPr>
          <w:rFonts w:ascii="Times New Roman" w:hAnsi="Times New Roman"/>
          <w:b w:val="0"/>
          <w:i w:val="0"/>
          <w:color w:val="000000"/>
          <w:sz w:val="24"/>
        </w:rPr>
        <w:t xml:space="preserve">, </w:t>
      </w:r>
      <w:r>
        <w:rPr>
          <w:rFonts w:ascii="Consolas" w:hAnsi="Consolas"/>
          <w:b w:val="0"/>
          <w:i w:val="0"/>
          <w:color w:val="000000"/>
          <w:sz w:val="21"/>
        </w:rPr>
        <w:t>APPROVED</w:t>
      </w:r>
      <w:r>
        <w:rPr>
          <w:rFonts w:ascii="Times New Roman" w:hAnsi="Times New Roman"/>
          <w:b w:val="0"/>
          <w:i w:val="0"/>
          <w:color w:val="000000"/>
          <w:sz w:val="24"/>
        </w:rPr>
        <w:t xml:space="preserve">, and </w:t>
      </w:r>
      <w:r>
        <w:rPr>
          <w:rFonts w:ascii="Consolas" w:hAnsi="Consolas"/>
          <w:b w:val="0"/>
          <w:i w:val="0"/>
          <w:color w:val="000000"/>
          <w:sz w:val="21"/>
        </w:rPr>
        <w:t>REJECTED</w:t>
      </w:r>
      <w:r>
        <w:rPr>
          <w:rFonts w:ascii="Times New Roman" w:hAnsi="Times New Roman"/>
          <w:b w:val="0"/>
          <w:i w:val="0"/>
          <w:color w:val="000000"/>
          <w:sz w:val="24"/>
        </w:rPr>
        <w:t>. The system enforces strict mathematical invariants across each transition: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764"/>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Trigger Event</w:t>
            </w:r>
          </w:p>
        </w:tc>
        <w:tc>
          <w:tcPr>
            <w:tcW w:type="dxa" w:w="1486"/>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Initial State</w:t>
            </w:r>
          </w:p>
        </w:tc>
        <w:tc>
          <w:tcPr>
            <w:tcW w:type="dxa" w:w="1579"/>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Target State</w:t>
            </w:r>
          </w:p>
        </w:tc>
        <w:tc>
          <w:tcPr>
            <w:tcW w:type="dxa" w:w="1764"/>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Authorized Role</w:t>
            </w:r>
          </w:p>
        </w:tc>
        <w:tc>
          <w:tcPr>
            <w:tcW w:type="dxa" w:w="2767"/>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System Actions &amp; Invariants Enforced</w:t>
            </w:r>
          </w:p>
        </w:tc>
      </w:tr>
      <w:tr>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POST /api/simulate</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DRAFT</w:t>
            </w:r>
          </w:p>
        </w:tc>
        <w:tc>
          <w:tcPr>
            <w:tcW w:type="dxa" w:w="157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PENDING_APPROVAL</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FIELD_OFFICER</w:t>
            </w:r>
          </w:p>
        </w:tc>
        <w:tc>
          <w:tcPr>
            <w:tcW w:type="dxa" w:w="2767"/>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 xml:space="preserve">Generates planning snapshot. In-memory reservation created. </w:t>
            </w:r>
            <w:r>
              <w:rPr>
                <w:rFonts w:ascii="Times New Roman" w:hAnsi="Times New Roman"/>
                <w:b/>
                <w:i w:val="0"/>
                <w:color w:val="000000"/>
                <w:sz w:val="19"/>
              </w:rPr>
              <w:t>Zero database stock deduction.</w:t>
            </w:r>
          </w:p>
        </w:tc>
      </w:tr>
      <w:tr>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POST /api/approve</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PENDING_APPROVAL</w:t>
            </w:r>
          </w:p>
        </w:tc>
        <w:tc>
          <w:tcPr>
            <w:tcW w:type="dxa" w:w="157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APPROVED</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LOGISTICS_DIRECTOR</w:t>
            </w:r>
          </w:p>
        </w:tc>
        <w:tc>
          <w:tcPr>
            <w:tcW w:type="dxa" w:w="2767"/>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Validates Action ID. Executes ACID transaction decrements physical warehouse ledgers. Publishes SNS alert.</w:t>
            </w:r>
          </w:p>
        </w:tc>
      </w:tr>
      <w:tr>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POST /api/reject</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PENDING_APPROVAL</w:t>
            </w:r>
          </w:p>
        </w:tc>
        <w:tc>
          <w:tcPr>
            <w:tcW w:type="dxa" w:w="157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REJECTED</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LOGISTICS_DIRECTOR</w:t>
            </w:r>
          </w:p>
        </w:tc>
        <w:tc>
          <w:tcPr>
            <w:tcW w:type="dxa" w:w="2767"/>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Records justification note. Releases in-memory stock reservation. Appends record to immutable audit ledger.</w:t>
            </w:r>
          </w:p>
        </w:tc>
      </w:tr>
      <w:tr>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Duplicate Submission</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APPROVED / REJECTED</w:t>
            </w:r>
          </w:p>
        </w:tc>
        <w:tc>
          <w:tcPr>
            <w:tcW w:type="dxa" w:w="157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HTTP 400 ERROR</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ANY</w:t>
            </w:r>
          </w:p>
        </w:tc>
        <w:tc>
          <w:tcPr>
            <w:tcW w:type="dxa" w:w="2767"/>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Idempotency guard triggers on matching Action ID. Blocks duplicate deduction and logs security warning.</w:t>
            </w:r>
          </w:p>
        </w:tc>
      </w:tr>
    </w:tbl>
    <w:p>
      <w:pPr>
        <w:spacing w:before="120" w:after="0"/>
      </w:pPr>
    </w:p>
    <w:p>
      <w:pPr>
        <w:pStyle w:val="Heading2"/>
        <w:keepNext/>
        <w:spacing w:before="200" w:after="80"/>
      </w:pPr>
      <w:r>
        <w:rPr>
          <w:rFonts w:ascii="Times New Roman" w:hAnsi="Times New Roman"/>
          <w:b/>
          <w:i w:val="0"/>
          <w:color w:val="000000"/>
          <w:sz w:val="25"/>
        </w:rPr>
        <w:t>6.3 Cryptographic Action ID Idempotency: Eliminating Ghost Depletion</w:t>
      </w:r>
    </w:p>
    <w:p>
      <w:pPr>
        <w:spacing w:before="0" w:after="120" w:line="276" w:lineRule="auto"/>
        <w:jc w:val="both"/>
      </w:pPr>
      <w:r>
        <w:rPr>
          <w:rFonts w:ascii="Times New Roman" w:hAnsi="Times New Roman"/>
          <w:b w:val="0"/>
          <w:i w:val="0"/>
          <w:color w:val="000000"/>
          <w:sz w:val="24"/>
        </w:rPr>
        <w:t>During severe monsoon cyclones, cellular backhauls experience severe packet loss, high latency, and intermittent TCP socket disconnects. When an incident commander clicks 'Approve &amp; Commit Stock', the browser sends a transaction request. If the field connection drops before the HTTP 200 OK acknowledgment arrives, the user instinctively clicks the button again. In a naive web system, this generates duplicate database operations, depleting physical stock twice.</w:t>
      </w:r>
    </w:p>
    <w:p>
      <w:pPr>
        <w:spacing w:before="0" w:after="120" w:line="276" w:lineRule="auto"/>
        <w:jc w:val="both"/>
      </w:pPr>
      <w:r>
        <w:rPr>
          <w:rFonts w:ascii="Times New Roman" w:hAnsi="Times New Roman"/>
          <w:b w:val="0"/>
          <w:i w:val="0"/>
          <w:color w:val="000000"/>
          <w:sz w:val="24"/>
        </w:rPr>
        <w:t xml:space="preserve">CloudShield eliminates this failure mode through cryptographic </w:t>
      </w:r>
      <w:r>
        <w:rPr>
          <w:rFonts w:ascii="Times New Roman" w:hAnsi="Times New Roman"/>
          <w:b/>
          <w:i w:val="0"/>
          <w:color w:val="000000"/>
          <w:sz w:val="24"/>
        </w:rPr>
        <w:t>Action ID Idempotency</w:t>
      </w:r>
      <w:r>
        <w:rPr>
          <w:rFonts w:ascii="Times New Roman" w:hAnsi="Times New Roman"/>
          <w:b w:val="0"/>
          <w:i w:val="0"/>
          <w:color w:val="000000"/>
          <w:sz w:val="24"/>
        </w:rPr>
        <w:t xml:space="preserve">. Every allocation plan is assigned a unique UUID v4 token when generated. The backend database wraps approval execution inside an ACID-isolated transaction that verifies whether the Action ID is already committed. Any duplicate submission immediately triggers an </w:t>
      </w:r>
      <w:r>
        <w:rPr>
          <w:rFonts w:ascii="Consolas" w:hAnsi="Consolas"/>
          <w:b w:val="0"/>
          <w:i w:val="0"/>
          <w:color w:val="000000"/>
          <w:sz w:val="21"/>
        </w:rPr>
        <w:t>HTTP 400 Plan Already Finalized</w:t>
      </w:r>
      <w:r>
        <w:rPr>
          <w:rFonts w:ascii="Times New Roman" w:hAnsi="Times New Roman"/>
          <w:b w:val="0"/>
          <w:i w:val="0"/>
          <w:color w:val="000000"/>
          <w:sz w:val="24"/>
        </w:rPr>
        <w:t xml:space="preserve"> exception, mathematically guaranteeing zero inventory leakage.</w:t>
      </w:r>
    </w:p>
    <w:p>
      <w:pPr>
        <w:keepNext/>
        <w:spacing w:before="160" w:after="80"/>
        <w:jc w:val="center"/>
      </w:pPr>
      <w:r>
        <w:drawing>
          <wp:inline xmlns:a="http://schemas.openxmlformats.org/drawingml/2006/main" xmlns:pic="http://schemas.openxmlformats.org/drawingml/2006/picture">
            <wp:extent cx="5303520" cy="2386584"/>
            <wp:docPr id="6" name="Picture 6"/>
            <wp:cNvGraphicFramePr>
              <a:graphicFrameLocks noChangeAspect="1"/>
            </wp:cNvGraphicFramePr>
            <a:graphic>
              <a:graphicData uri="http://schemas.openxmlformats.org/drawingml/2006/picture">
                <pic:pic>
                  <pic:nvPicPr>
                    <pic:cNvPr id="0" name="graph_6_state_transitions.png"/>
                    <pic:cNvPicPr/>
                  </pic:nvPicPr>
                  <pic:blipFill>
                    <a:blip r:embed="rId16"/>
                    <a:stretch>
                      <a:fillRect/>
                    </a:stretch>
                  </pic:blipFill>
                  <pic:spPr>
                    <a:xfrm>
                      <a:off x="0" y="0"/>
                      <a:ext cx="5303520" cy="2386584"/>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6.1: Concurrency Race Condition Prevention via Action ID Idempotency.</w:t>
      </w:r>
      <w:r>
        <w:rPr>
          <w:rFonts w:ascii="Times New Roman" w:hAnsi="Times New Roman"/>
          <w:b w:val="0"/>
          <w:i w:val="0"/>
          <w:color w:val="000000"/>
          <w:sz w:val="21"/>
        </w:rPr>
        <w:t xml:space="preserve"> (a) Under simulated cellular packet loss with 50 rapid sequential retry attempts, systems without idempotency suffer a 35% double-allocation rate, whereas CloudShield guarantees strictly 0% double-depletion. (b) Backend HTTP response profile showing 1 commit and 49 idempotent rejections.</w:t>
      </w:r>
    </w:p>
    <w:p>
      <w:pPr>
        <w:pStyle w:val="Heading2"/>
        <w:keepNext/>
        <w:spacing w:before="200" w:after="80"/>
      </w:pPr>
      <w:r>
        <w:rPr>
          <w:rFonts w:ascii="Times New Roman" w:hAnsi="Times New Roman"/>
          <w:b/>
          <w:i w:val="0"/>
          <w:color w:val="000000"/>
          <w:sz w:val="25"/>
        </w:rPr>
        <w:t>6.4 Cryptographic Audit Ledger &amp; Legal Non-Repudiation Architecture</w:t>
      </w:r>
    </w:p>
    <w:p>
      <w:pPr>
        <w:spacing w:before="0" w:after="120" w:line="276" w:lineRule="auto"/>
        <w:jc w:val="both"/>
      </w:pPr>
      <w:r>
        <w:rPr>
          <w:rFonts w:ascii="Times New Roman" w:hAnsi="Times New Roman"/>
          <w:b w:val="0"/>
          <w:i w:val="0"/>
          <w:color w:val="000000"/>
          <w:sz w:val="24"/>
        </w:rPr>
        <w:t xml:space="preserve">Following catastrophic climate disasters, government commissions of inquiry routinely investigate whether relief distribution was equitable or if political favoritism compromised rescue operations. CloudShield incorporates an append-only, tamper-evident audit ledger. Each audit row records: </w:t>
      </w:r>
      <w:r>
        <w:rPr>
          <w:rFonts w:ascii="Consolas" w:hAnsi="Consolas"/>
          <w:b w:val="0"/>
          <w:i w:val="0"/>
          <w:color w:val="000000"/>
          <w:sz w:val="21"/>
        </w:rPr>
        <w:t>(record_id, timestamp_utc, actor_role, action_id, prior_state, target_state, snapshot_hash, manifest_json)</w:t>
      </w:r>
      <w:r>
        <w:rPr>
          <w:rFonts w:ascii="Times New Roman" w:hAnsi="Times New Roman"/>
          <w:b w:val="0"/>
          <w:i w:val="0"/>
          <w:color w:val="000000"/>
          <w:sz w:val="24"/>
        </w:rPr>
        <w:t>. Audit rows are protected by SHA-256 block hashes linked to prior entries, establishing cryptographic non-repudiation that satisfies statutory judicial standards.</w:t>
      </w:r>
    </w:p>
    <w:p>
      <w:r>
        <w:br w:type="page"/>
      </w:r>
    </w:p>
    <w:p>
      <w:pPr>
        <w:pStyle w:val="Heading1"/>
        <w:keepNext/>
        <w:spacing w:before="280" w:after="280"/>
        <w:jc w:val="center"/>
      </w:pPr>
      <w:r>
        <w:rPr>
          <w:rFonts w:ascii="Times New Roman" w:hAnsi="Times New Roman"/>
          <w:b/>
          <w:i w:val="0"/>
          <w:color w:val="000000"/>
          <w:sz w:val="28"/>
        </w:rPr>
        <w:t>CHAPTER 7: COMPREHENSIVE AWS CLOUD ARCHITECTURE: SERVICE-BY-SERVICE DEEP DIVE</w:t>
      </w:r>
    </w:p>
    <w:p>
      <w:pPr>
        <w:pStyle w:val="Heading2"/>
        <w:keepNext/>
        <w:spacing w:before="200" w:after="80"/>
      </w:pPr>
      <w:r>
        <w:rPr>
          <w:rFonts w:ascii="Times New Roman" w:hAnsi="Times New Roman"/>
          <w:b/>
          <w:i w:val="0"/>
          <w:color w:val="000000"/>
          <w:sz w:val="25"/>
        </w:rPr>
        <w:t>7.1 Cloud Architectural Philosophy &amp; Well-Architected Alignment</w:t>
      </w:r>
    </w:p>
    <w:p>
      <w:pPr>
        <w:spacing w:before="0" w:after="120" w:line="276" w:lineRule="auto"/>
        <w:jc w:val="both"/>
      </w:pPr>
      <w:r>
        <w:rPr>
          <w:rFonts w:ascii="Times New Roman" w:hAnsi="Times New Roman"/>
          <w:b w:val="0"/>
          <w:i w:val="0"/>
          <w:color w:val="000000"/>
          <w:sz w:val="24"/>
        </w:rPr>
        <w:t>To transition from an academic prototype to an enterprise-grade emergency coordination nervous system, CloudShield is architected and actively deployed directly onto Amazon Web Services (AWS) in the Asia-Pacific (Sydney) region (</w:t>
      </w:r>
      <w:r>
        <w:rPr>
          <w:rFonts w:ascii="Consolas" w:hAnsi="Consolas"/>
          <w:b w:val="0"/>
          <w:i w:val="0"/>
          <w:color w:val="000000"/>
          <w:sz w:val="21"/>
        </w:rPr>
        <w:t>ap-southeast-2</w:t>
      </w:r>
      <w:r>
        <w:rPr>
          <w:rFonts w:ascii="Times New Roman" w:hAnsi="Times New Roman"/>
          <w:b w:val="0"/>
          <w:i w:val="0"/>
          <w:color w:val="000000"/>
          <w:sz w:val="24"/>
        </w:rPr>
        <w:t xml:space="preserve">). The architecture adheres strictly to the four relevant pillars of the AWS Well-Architected Framework: </w:t>
      </w:r>
      <w:r>
        <w:rPr>
          <w:rFonts w:ascii="Times New Roman" w:hAnsi="Times New Roman"/>
          <w:b w:val="0"/>
          <w:i/>
          <w:color w:val="000000"/>
          <w:sz w:val="24"/>
        </w:rPr>
        <w:t>Operational Excellence</w:t>
      </w:r>
      <w:r>
        <w:rPr>
          <w:rFonts w:ascii="Times New Roman" w:hAnsi="Times New Roman"/>
          <w:b w:val="0"/>
          <w:i w:val="0"/>
          <w:color w:val="000000"/>
          <w:sz w:val="24"/>
        </w:rPr>
        <w:t xml:space="preserve">, </w:t>
      </w:r>
      <w:r>
        <w:rPr>
          <w:rFonts w:ascii="Times New Roman" w:hAnsi="Times New Roman"/>
          <w:b w:val="0"/>
          <w:i/>
          <w:color w:val="000000"/>
          <w:sz w:val="24"/>
        </w:rPr>
        <w:t>Security</w:t>
      </w:r>
      <w:r>
        <w:rPr>
          <w:rFonts w:ascii="Times New Roman" w:hAnsi="Times New Roman"/>
          <w:b w:val="0"/>
          <w:i w:val="0"/>
          <w:color w:val="000000"/>
          <w:sz w:val="24"/>
        </w:rPr>
        <w:t xml:space="preserve">, </w:t>
      </w:r>
      <w:r>
        <w:rPr>
          <w:rFonts w:ascii="Times New Roman" w:hAnsi="Times New Roman"/>
          <w:b w:val="0"/>
          <w:i/>
          <w:color w:val="000000"/>
          <w:sz w:val="24"/>
        </w:rPr>
        <w:t>Reliability</w:t>
      </w:r>
      <w:r>
        <w:rPr>
          <w:rFonts w:ascii="Times New Roman" w:hAnsi="Times New Roman"/>
          <w:b w:val="0"/>
          <w:i w:val="0"/>
          <w:color w:val="000000"/>
          <w:sz w:val="24"/>
        </w:rPr>
        <w:t xml:space="preserve">, and </w:t>
      </w:r>
      <w:r>
        <w:rPr>
          <w:rFonts w:ascii="Times New Roman" w:hAnsi="Times New Roman"/>
          <w:b w:val="0"/>
          <w:i/>
          <w:color w:val="000000"/>
          <w:sz w:val="24"/>
        </w:rPr>
        <w:t>Cost Optimization</w:t>
      </w:r>
      <w:r>
        <w:rPr>
          <w:rFonts w:ascii="Times New Roman" w:hAnsi="Times New Roman"/>
          <w:b w:val="0"/>
          <w:i w:val="0"/>
          <w:color w:val="000000"/>
          <w:sz w:val="24"/>
        </w:rPr>
        <w:t>.</w:t>
      </w:r>
    </w:p>
    <w:p>
      <w:pPr>
        <w:spacing w:before="0" w:after="120" w:line="276" w:lineRule="auto"/>
        <w:jc w:val="both"/>
      </w:pPr>
      <w:r>
        <w:rPr>
          <w:rFonts w:ascii="Times New Roman" w:hAnsi="Times New Roman"/>
          <w:b w:val="0"/>
          <w:i w:val="0"/>
          <w:color w:val="000000"/>
          <w:sz w:val="24"/>
        </w:rPr>
        <w:t>The design explicitly rejects unnecessary cloud bloat. Rather than provisioning expensive multi-node Kubernetes clusters (EKS), costly multi-AZ relational database engines (RDS Multi-AZ), or idle NAT Gateways that would accumulate hundreds of dollars in monthly charges, CloudShield engineers an optimal, least-privilege cloud footprint that delivers microsecond response latencies while remaining fully eligible under AWS Free Tier allowances.</w:t>
      </w:r>
    </w:p>
    <w:p>
      <w:pPr>
        <w:keepNext/>
        <w:spacing w:before="160" w:after="80"/>
        <w:jc w:val="center"/>
      </w:pPr>
      <w:r>
        <w:drawing>
          <wp:inline xmlns:a="http://schemas.openxmlformats.org/drawingml/2006/main" xmlns:pic="http://schemas.openxmlformats.org/drawingml/2006/picture">
            <wp:extent cx="5303520" cy="2916936"/>
            <wp:docPr id="7" name="Picture 7"/>
            <wp:cNvGraphicFramePr>
              <a:graphicFrameLocks noChangeAspect="1"/>
            </wp:cNvGraphicFramePr>
            <a:graphic>
              <a:graphicData uri="http://schemas.openxmlformats.org/drawingml/2006/picture">
                <pic:pic>
                  <pic:nvPicPr>
                    <pic:cNvPr id="0" name="graph_8_system_architecture.png"/>
                    <pic:cNvPicPr/>
                  </pic:nvPicPr>
                  <pic:blipFill>
                    <a:blip r:embed="rId17"/>
                    <a:stretch>
                      <a:fillRect/>
                    </a:stretch>
                  </pic:blipFill>
                  <pic:spPr>
                    <a:xfrm>
                      <a:off x="0" y="0"/>
                      <a:ext cx="5303520" cy="2916936"/>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7.1: Production AWS Cloud Architecture &amp; Multi-Tier Service Topology.</w:t>
      </w:r>
      <w:r>
        <w:rPr>
          <w:rFonts w:ascii="Times New Roman" w:hAnsi="Times New Roman"/>
          <w:b w:val="0"/>
          <w:i w:val="0"/>
          <w:color w:val="000000"/>
          <w:sz w:val="21"/>
        </w:rPr>
        <w:t xml:space="preserve"> Illustrates the end-to-end data pipeline from real-time disaster ingestion, through the analytical DPRI and Sphere engines, the two-stage governance gate, into the production AWS infrastructure in Sydney (EC2, persistent EBS WAL, encrypted S3 hot backups, real-time SNS alert fanout, and CloudWatch telemetry).</w:t>
      </w:r>
    </w:p>
    <w:p>
      <w:pPr>
        <w:pStyle w:val="Heading2"/>
        <w:keepNext/>
        <w:spacing w:before="200" w:after="80"/>
      </w:pPr>
      <w:r>
        <w:rPr>
          <w:rFonts w:ascii="Times New Roman" w:hAnsi="Times New Roman"/>
          <w:b/>
          <w:i w:val="0"/>
          <w:color w:val="000000"/>
          <w:sz w:val="25"/>
        </w:rPr>
        <w:t>7.2 Amazon EC2 (Elastic Compute Cloud): The Resilient Compute Engine</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Instance Sizing &amp; Specification:</w:t>
      </w:r>
      <w:r>
        <w:rPr>
          <w:rFonts w:ascii="Times New Roman" w:hAnsi="Times New Roman"/>
          <w:b w:val="0"/>
          <w:i w:val="0"/>
          <w:color w:val="000000"/>
          <w:sz w:val="24"/>
        </w:rPr>
        <w:t xml:space="preserve"> Hosted on a </w:t>
      </w:r>
      <w:r>
        <w:rPr>
          <w:rFonts w:ascii="Consolas" w:hAnsi="Consolas"/>
          <w:b w:val="0"/>
          <w:i w:val="0"/>
          <w:color w:val="000000"/>
          <w:sz w:val="21"/>
        </w:rPr>
        <w:t>t3.micro</w:t>
      </w:r>
      <w:r>
        <w:rPr>
          <w:rFonts w:ascii="Times New Roman" w:hAnsi="Times New Roman"/>
          <w:b w:val="0"/>
          <w:i w:val="0"/>
          <w:color w:val="000000"/>
          <w:sz w:val="24"/>
        </w:rPr>
        <w:t xml:space="preserve"> virtual instance powered by 2 vCPUs (Intel Xeon Platinum 8000 series with burstable compute) and 1.0 GiB of DDR4 high-speed memory.</w:t>
      </w:r>
      <w:r>
        <w:br/>
      </w:r>
      <w:r>
        <w:rPr>
          <w:rFonts w:ascii="Times New Roman" w:hAnsi="Times New Roman"/>
          <w:b w:val="0"/>
          <w:i w:val="0"/>
          <w:color w:val="000000"/>
          <w:sz w:val="24"/>
        </w:rPr>
        <w:t xml:space="preserve">• </w:t>
      </w:r>
      <w:r>
        <w:rPr>
          <w:rFonts w:ascii="Times New Roman" w:hAnsi="Times New Roman"/>
          <w:b/>
          <w:i w:val="0"/>
          <w:color w:val="000000"/>
          <w:sz w:val="24"/>
        </w:rPr>
        <w:t>Operating System:</w:t>
      </w:r>
      <w:r>
        <w:rPr>
          <w:rFonts w:ascii="Times New Roman" w:hAnsi="Times New Roman"/>
          <w:b w:val="0"/>
          <w:i w:val="0"/>
          <w:color w:val="000000"/>
          <w:sz w:val="24"/>
        </w:rPr>
        <w:t xml:space="preserve"> Standardized on Amazon Linux 2023 (AL2023, AMI: </w:t>
      </w:r>
      <w:r>
        <w:rPr>
          <w:rFonts w:ascii="Consolas" w:hAnsi="Consolas"/>
          <w:b w:val="0"/>
          <w:i w:val="0"/>
          <w:color w:val="000000"/>
          <w:sz w:val="21"/>
        </w:rPr>
        <w:t>ami-0808460885ff81045</w:t>
      </w:r>
      <w:r>
        <w:rPr>
          <w:rFonts w:ascii="Times New Roman" w:hAnsi="Times New Roman"/>
          <w:b w:val="0"/>
          <w:i w:val="0"/>
          <w:color w:val="000000"/>
          <w:sz w:val="24"/>
        </w:rPr>
        <w:t>), providing an immutable, SELinux-hardened, modern kernel (Linux 6.1) optimized for high-throughput network I/O.</w:t>
      </w:r>
      <w:r>
        <w:br/>
      </w:r>
      <w:r>
        <w:rPr>
          <w:rFonts w:ascii="Times New Roman" w:hAnsi="Times New Roman"/>
          <w:b w:val="0"/>
          <w:i w:val="0"/>
          <w:color w:val="000000"/>
          <w:sz w:val="24"/>
        </w:rPr>
        <w:t xml:space="preserve">• </w:t>
      </w:r>
      <w:r>
        <w:rPr>
          <w:rFonts w:ascii="Times New Roman" w:hAnsi="Times New Roman"/>
          <w:b/>
          <w:i w:val="0"/>
          <w:color w:val="000000"/>
          <w:sz w:val="24"/>
        </w:rPr>
        <w:t>Process Supervision &amp; Daemonization:</w:t>
      </w:r>
      <w:r>
        <w:rPr>
          <w:rFonts w:ascii="Times New Roman" w:hAnsi="Times New Roman"/>
          <w:b w:val="0"/>
          <w:i w:val="0"/>
          <w:color w:val="000000"/>
          <w:sz w:val="24"/>
        </w:rPr>
        <w:t xml:space="preserve"> The FastAPI application executes as a native systemd service (</w:t>
      </w:r>
      <w:r>
        <w:rPr>
          <w:rFonts w:ascii="Consolas" w:hAnsi="Consolas"/>
          <w:b w:val="0"/>
          <w:i w:val="0"/>
          <w:color w:val="000000"/>
          <w:sz w:val="21"/>
        </w:rPr>
        <w:t>cloudshield.service</w:t>
      </w:r>
      <w:r>
        <w:rPr>
          <w:rFonts w:ascii="Times New Roman" w:hAnsi="Times New Roman"/>
          <w:b w:val="0"/>
          <w:i w:val="0"/>
          <w:color w:val="000000"/>
          <w:sz w:val="24"/>
        </w:rPr>
        <w:t>) under the Uvicorn ASGI server. The service enforces automatic crash restarts (</w:t>
      </w:r>
      <w:r>
        <w:rPr>
          <w:rFonts w:ascii="Consolas" w:hAnsi="Consolas"/>
          <w:b w:val="0"/>
          <w:i w:val="0"/>
          <w:color w:val="000000"/>
          <w:sz w:val="21"/>
        </w:rPr>
        <w:t>Restart=always</w:t>
      </w:r>
      <w:r>
        <w:rPr>
          <w:rFonts w:ascii="Times New Roman" w:hAnsi="Times New Roman"/>
          <w:b w:val="0"/>
          <w:i w:val="0"/>
          <w:color w:val="000000"/>
          <w:sz w:val="24"/>
        </w:rPr>
        <w:t>), sandboxed user execution (`User=ec2-user`), and standard stdout/stderr descriptor piping.</w:t>
      </w:r>
      <w:r>
        <w:br/>
      </w:r>
      <w:r>
        <w:rPr>
          <w:rFonts w:ascii="Times New Roman" w:hAnsi="Times New Roman"/>
          <w:b w:val="0"/>
          <w:i w:val="0"/>
          <w:color w:val="000000"/>
          <w:sz w:val="24"/>
        </w:rPr>
        <w:t xml:space="preserve">• </w:t>
      </w:r>
      <w:r>
        <w:rPr>
          <w:rFonts w:ascii="Times New Roman" w:hAnsi="Times New Roman"/>
          <w:b/>
          <w:i w:val="0"/>
          <w:color w:val="000000"/>
          <w:sz w:val="24"/>
        </w:rPr>
        <w:t>Architectural Justification:</w:t>
      </w:r>
      <w:r>
        <w:rPr>
          <w:rFonts w:ascii="Times New Roman" w:hAnsi="Times New Roman"/>
          <w:b w:val="0"/>
          <w:i w:val="0"/>
          <w:color w:val="000000"/>
          <w:sz w:val="24"/>
        </w:rPr>
        <w:t xml:space="preserve"> Dedicated compute eliminates the cold-start latencies inherent in serverless architectures (such as AWS Lambda cold starts of 1.5 to 3 seconds), ensuring immediate API readiness when hundreds of field coordinators access the system.</w:t>
      </w:r>
    </w:p>
    <w:p>
      <w:pPr>
        <w:pStyle w:val="Heading2"/>
        <w:keepNext/>
        <w:spacing w:before="200" w:after="80"/>
      </w:pPr>
      <w:r>
        <w:rPr>
          <w:rFonts w:ascii="Times New Roman" w:hAnsi="Times New Roman"/>
          <w:b/>
          <w:i w:val="0"/>
          <w:color w:val="000000"/>
          <w:sz w:val="25"/>
        </w:rPr>
        <w:t>7.3 Amazon EBS (Elastic Block Store): ACID Transactional Durability</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Volume Configuration:</w:t>
      </w:r>
      <w:r>
        <w:rPr>
          <w:rFonts w:ascii="Times New Roman" w:hAnsi="Times New Roman"/>
          <w:b w:val="0"/>
          <w:i w:val="0"/>
          <w:color w:val="000000"/>
          <w:sz w:val="24"/>
        </w:rPr>
        <w:t xml:space="preserve"> An 8 GB General Purpose SSD (</w:t>
      </w:r>
      <w:r>
        <w:rPr>
          <w:rFonts w:ascii="Consolas" w:hAnsi="Consolas"/>
          <w:b w:val="0"/>
          <w:i w:val="0"/>
          <w:color w:val="000000"/>
          <w:sz w:val="21"/>
        </w:rPr>
        <w:t>gp3</w:t>
      </w:r>
      <w:r>
        <w:rPr>
          <w:rFonts w:ascii="Times New Roman" w:hAnsi="Times New Roman"/>
          <w:b w:val="0"/>
          <w:i w:val="0"/>
          <w:color w:val="000000"/>
          <w:sz w:val="24"/>
        </w:rPr>
        <w:t>) volume attached as root block storage (</w:t>
      </w:r>
      <w:r>
        <w:rPr>
          <w:rFonts w:ascii="Consolas" w:hAnsi="Consolas"/>
          <w:b w:val="0"/>
          <w:i w:val="0"/>
          <w:color w:val="000000"/>
          <w:sz w:val="21"/>
        </w:rPr>
        <w:t>/dev/xvda</w:t>
      </w:r>
      <w:r>
        <w:rPr>
          <w:rFonts w:ascii="Times New Roman" w:hAnsi="Times New Roman"/>
          <w:b w:val="0"/>
          <w:i w:val="0"/>
          <w:color w:val="000000"/>
          <w:sz w:val="24"/>
        </w:rPr>
        <w:t>).</w:t>
      </w:r>
      <w:r>
        <w:br/>
      </w:r>
      <w:r>
        <w:rPr>
          <w:rFonts w:ascii="Times New Roman" w:hAnsi="Times New Roman"/>
          <w:b w:val="0"/>
          <w:i w:val="0"/>
          <w:color w:val="000000"/>
          <w:sz w:val="24"/>
        </w:rPr>
        <w:t xml:space="preserve">• </w:t>
      </w:r>
      <w:r>
        <w:rPr>
          <w:rFonts w:ascii="Times New Roman" w:hAnsi="Times New Roman"/>
          <w:b/>
          <w:i w:val="0"/>
          <w:color w:val="000000"/>
          <w:sz w:val="24"/>
        </w:rPr>
        <w:t>Performance Baseline:</w:t>
      </w:r>
      <w:r>
        <w:rPr>
          <w:rFonts w:ascii="Times New Roman" w:hAnsi="Times New Roman"/>
          <w:b w:val="0"/>
          <w:i w:val="0"/>
          <w:color w:val="000000"/>
          <w:sz w:val="24"/>
        </w:rPr>
        <w:t xml:space="preserve"> Provisioned with 3,000 IOPS and 125 MB/s baseline throughput, completely decoupled from storage capacity.</w:t>
      </w:r>
      <w:r>
        <w:br/>
      </w:r>
      <w:r>
        <w:rPr>
          <w:rFonts w:ascii="Times New Roman" w:hAnsi="Times New Roman"/>
          <w:b w:val="0"/>
          <w:i w:val="0"/>
          <w:color w:val="000000"/>
          <w:sz w:val="24"/>
        </w:rPr>
        <w:t xml:space="preserve">• </w:t>
      </w:r>
      <w:r>
        <w:rPr>
          <w:rFonts w:ascii="Times New Roman" w:hAnsi="Times New Roman"/>
          <w:b/>
          <w:i w:val="0"/>
          <w:color w:val="000000"/>
          <w:sz w:val="24"/>
        </w:rPr>
        <w:t>Database Persistence:</w:t>
      </w:r>
      <w:r>
        <w:rPr>
          <w:rFonts w:ascii="Times New Roman" w:hAnsi="Times New Roman"/>
          <w:b w:val="0"/>
          <w:i w:val="0"/>
          <w:color w:val="000000"/>
          <w:sz w:val="24"/>
        </w:rPr>
        <w:t xml:space="preserve"> Hosts the SQLite database (</w:t>
      </w:r>
      <w:r>
        <w:rPr>
          <w:rFonts w:ascii="Consolas" w:hAnsi="Consolas"/>
          <w:b w:val="0"/>
          <w:i w:val="0"/>
          <w:color w:val="000000"/>
          <w:sz w:val="21"/>
        </w:rPr>
        <w:t>cloudshield.db</w:t>
      </w:r>
      <w:r>
        <w:rPr>
          <w:rFonts w:ascii="Times New Roman" w:hAnsi="Times New Roman"/>
          <w:b w:val="0"/>
          <w:i w:val="0"/>
          <w:color w:val="000000"/>
          <w:sz w:val="24"/>
        </w:rPr>
        <w:t>) configured with Write-Ahead Logging (WAL mode), enabling non-blocking concurrent readers while maintaining ACID-compliant transactional atomicity for stock decrement commitments.</w:t>
      </w:r>
      <w:r>
        <w:br/>
      </w:r>
      <w:r>
        <w:rPr>
          <w:rFonts w:ascii="Times New Roman" w:hAnsi="Times New Roman"/>
          <w:b w:val="0"/>
          <w:i w:val="0"/>
          <w:color w:val="000000"/>
          <w:sz w:val="24"/>
        </w:rPr>
        <w:t xml:space="preserve">• </w:t>
      </w:r>
      <w:r>
        <w:rPr>
          <w:rFonts w:ascii="Times New Roman" w:hAnsi="Times New Roman"/>
          <w:b/>
          <w:i w:val="0"/>
          <w:color w:val="000000"/>
          <w:sz w:val="24"/>
        </w:rPr>
        <w:t>Architectural Justification:</w:t>
      </w:r>
      <w:r>
        <w:rPr>
          <w:rFonts w:ascii="Times New Roman" w:hAnsi="Times New Roman"/>
          <w:b w:val="0"/>
          <w:i w:val="0"/>
          <w:color w:val="000000"/>
          <w:sz w:val="24"/>
        </w:rPr>
        <w:t xml:space="preserve"> Guarantees zero data loss across operating system reboots, hardware hypervisor migrations, or accidental application crashes.</w:t>
      </w:r>
    </w:p>
    <w:p>
      <w:pPr>
        <w:pStyle w:val="Heading2"/>
        <w:keepNext/>
        <w:spacing w:before="200" w:after="80"/>
      </w:pPr>
      <w:r>
        <w:rPr>
          <w:rFonts w:ascii="Times New Roman" w:hAnsi="Times New Roman"/>
          <w:b/>
          <w:i w:val="0"/>
          <w:color w:val="000000"/>
          <w:sz w:val="25"/>
        </w:rPr>
        <w:t>7.4 Amazon S3 (Simple Storage Service): Encrypted Disaster Backup &amp; Artifact Archival</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Bucket Specification:</w:t>
      </w:r>
      <w:r>
        <w:rPr>
          <w:rFonts w:ascii="Times New Roman" w:hAnsi="Times New Roman"/>
          <w:b w:val="0"/>
          <w:i w:val="0"/>
          <w:color w:val="000000"/>
          <w:sz w:val="24"/>
        </w:rPr>
        <w:t xml:space="preserve"> Hosted in private S3 bucket </w:t>
      </w:r>
      <w:r>
        <w:rPr>
          <w:rFonts w:ascii="Consolas" w:hAnsi="Consolas"/>
          <w:b w:val="0"/>
          <w:i w:val="0"/>
          <w:color w:val="000000"/>
          <w:sz w:val="21"/>
        </w:rPr>
        <w:t>cloudshield-artifacts-206238482111-ap-southeast-2</w:t>
      </w:r>
      <w:r>
        <w:rPr>
          <w:rFonts w:ascii="Times New Roman" w:hAnsi="Times New Roman"/>
          <w:b w:val="0"/>
          <w:i w:val="0"/>
          <w:color w:val="000000"/>
          <w:sz w:val="24"/>
        </w:rPr>
        <w:t xml:space="preserve"> with public access strictly blocked at the account and bucket level.</w:t>
      </w:r>
      <w:r>
        <w:br/>
      </w:r>
      <w:r>
        <w:rPr>
          <w:rFonts w:ascii="Times New Roman" w:hAnsi="Times New Roman"/>
          <w:b w:val="0"/>
          <w:i w:val="0"/>
          <w:color w:val="000000"/>
          <w:sz w:val="24"/>
        </w:rPr>
        <w:t xml:space="preserve">• </w:t>
      </w:r>
      <w:r>
        <w:rPr>
          <w:rFonts w:ascii="Times New Roman" w:hAnsi="Times New Roman"/>
          <w:b/>
          <w:i w:val="0"/>
          <w:color w:val="000000"/>
          <w:sz w:val="24"/>
        </w:rPr>
        <w:t>Automated Hot Backup Protocol:</w:t>
      </w:r>
      <w:r>
        <w:rPr>
          <w:rFonts w:ascii="Times New Roman" w:hAnsi="Times New Roman"/>
          <w:b w:val="0"/>
          <w:i w:val="0"/>
          <w:color w:val="000000"/>
          <w:sz w:val="24"/>
        </w:rPr>
        <w:t xml:space="preserve"> A systemd timer triggers an automated hourly backup script. The script executes an online hot database dump using SQLite’s native online backup API (</w:t>
      </w:r>
      <w:r>
        <w:rPr>
          <w:rFonts w:ascii="Consolas" w:hAnsi="Consolas"/>
          <w:b w:val="0"/>
          <w:i w:val="0"/>
          <w:color w:val="000000"/>
          <w:sz w:val="21"/>
        </w:rPr>
        <w:t>sqlite3 cloudshield.db ".backup 'cloudshield_backup_TIMESTAMP.db'"</w:t>
      </w:r>
      <w:r>
        <w:rPr>
          <w:rFonts w:ascii="Times New Roman" w:hAnsi="Times New Roman"/>
          <w:b w:val="0"/>
          <w:i w:val="0"/>
          <w:color w:val="000000"/>
          <w:sz w:val="24"/>
        </w:rPr>
        <w:t>), encrypts the image with AES-256 server-side encryption (SSE-S3), and pushes it to the S3 bucket.</w:t>
      </w:r>
      <w:r>
        <w:br/>
      </w:r>
      <w:r>
        <w:rPr>
          <w:rFonts w:ascii="Times New Roman" w:hAnsi="Times New Roman"/>
          <w:b w:val="0"/>
          <w:i w:val="0"/>
          <w:color w:val="000000"/>
          <w:sz w:val="24"/>
        </w:rPr>
        <w:t xml:space="preserve">• </w:t>
      </w:r>
      <w:r>
        <w:rPr>
          <w:rFonts w:ascii="Times New Roman" w:hAnsi="Times New Roman"/>
          <w:b/>
          <w:i w:val="0"/>
          <w:color w:val="000000"/>
          <w:sz w:val="24"/>
        </w:rPr>
        <w:t>Lifecycle Governance:</w:t>
      </w:r>
      <w:r>
        <w:rPr>
          <w:rFonts w:ascii="Times New Roman" w:hAnsi="Times New Roman"/>
          <w:b w:val="0"/>
          <w:i w:val="0"/>
          <w:color w:val="000000"/>
          <w:sz w:val="24"/>
        </w:rPr>
        <w:t xml:space="preserve"> An automated S3 Lifecycle Rule permanently expires and prunes backup objects older than 7 days, preventing cumulative storage bloat and ensuring zero ongoing costs.</w:t>
      </w:r>
      <w:r>
        <w:br/>
      </w:r>
      <w:r>
        <w:rPr>
          <w:rFonts w:ascii="Times New Roman" w:hAnsi="Times New Roman"/>
          <w:b w:val="0"/>
          <w:i w:val="0"/>
          <w:color w:val="000000"/>
          <w:sz w:val="24"/>
        </w:rPr>
        <w:t xml:space="preserve">• </w:t>
      </w:r>
      <w:r>
        <w:rPr>
          <w:rFonts w:ascii="Times New Roman" w:hAnsi="Times New Roman"/>
          <w:b/>
          <w:i w:val="0"/>
          <w:color w:val="000000"/>
          <w:sz w:val="24"/>
        </w:rPr>
        <w:t>Architectural Justification:</w:t>
      </w:r>
      <w:r>
        <w:rPr>
          <w:rFonts w:ascii="Times New Roman" w:hAnsi="Times New Roman"/>
          <w:b w:val="0"/>
          <w:i w:val="0"/>
          <w:color w:val="000000"/>
          <w:sz w:val="24"/>
        </w:rPr>
        <w:t xml:space="preserve"> Delivers 99.999999999% (11 9's) data durability, guaranteeing that even if the primary EC2 datacenter suffers complete physical destruction, emergency allocation records and audit ledgers survive intact.</w:t>
      </w:r>
    </w:p>
    <w:p>
      <w:pPr>
        <w:pStyle w:val="Heading2"/>
        <w:keepNext/>
        <w:spacing w:before="200" w:after="80"/>
      </w:pPr>
      <w:r>
        <w:rPr>
          <w:rFonts w:ascii="Times New Roman" w:hAnsi="Times New Roman"/>
          <w:b/>
          <w:i w:val="0"/>
          <w:color w:val="000000"/>
          <w:sz w:val="25"/>
        </w:rPr>
        <w:t>7.5 Amazon SNS (Simple Notification Service): Real-Time Alert Broadcast Fanout</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Topic Configuration:</w:t>
      </w:r>
      <w:r>
        <w:rPr>
          <w:rFonts w:ascii="Times New Roman" w:hAnsi="Times New Roman"/>
          <w:b w:val="0"/>
          <w:i w:val="0"/>
          <w:color w:val="000000"/>
          <w:sz w:val="24"/>
        </w:rPr>
        <w:t xml:space="preserve"> Standard SNS Topic </w:t>
      </w:r>
      <w:r>
        <w:rPr>
          <w:rFonts w:ascii="Consolas" w:hAnsi="Consolas"/>
          <w:b w:val="0"/>
          <w:i w:val="0"/>
          <w:color w:val="000000"/>
          <w:sz w:val="21"/>
        </w:rPr>
        <w:t>CloudShield-Disaster-Alerts</w:t>
      </w:r>
      <w:r>
        <w:rPr>
          <w:rFonts w:ascii="Times New Roman" w:hAnsi="Times New Roman"/>
          <w:b w:val="0"/>
          <w:i w:val="0"/>
          <w:color w:val="000000"/>
          <w:sz w:val="24"/>
        </w:rPr>
        <w:t xml:space="preserve"> (ARN: </w:t>
      </w:r>
      <w:r>
        <w:rPr>
          <w:rFonts w:ascii="Consolas" w:hAnsi="Consolas"/>
          <w:b w:val="0"/>
          <w:i w:val="0"/>
          <w:color w:val="000000"/>
          <w:sz w:val="21"/>
        </w:rPr>
        <w:t>arn:aws:sns:ap-southeast-2:206238482111:CloudShield-Disaster-Alerts</w:t>
      </w:r>
      <w:r>
        <w:rPr>
          <w:rFonts w:ascii="Times New Roman" w:hAnsi="Times New Roman"/>
          <w:b w:val="0"/>
          <w:i w:val="0"/>
          <w:color w:val="000000"/>
          <w:sz w:val="24"/>
        </w:rPr>
        <w:t>).</w:t>
      </w:r>
      <w:r>
        <w:br/>
      </w:r>
      <w:r>
        <w:rPr>
          <w:rFonts w:ascii="Times New Roman" w:hAnsi="Times New Roman"/>
          <w:b w:val="0"/>
          <w:i w:val="0"/>
          <w:color w:val="000000"/>
          <w:sz w:val="24"/>
        </w:rPr>
        <w:t xml:space="preserve">• </w:t>
      </w:r>
      <w:r>
        <w:rPr>
          <w:rFonts w:ascii="Times New Roman" w:hAnsi="Times New Roman"/>
          <w:b/>
          <w:i w:val="0"/>
          <w:color w:val="000000"/>
          <w:sz w:val="24"/>
        </w:rPr>
        <w:t>Programmatic Boto3 Trigger:</w:t>
      </w:r>
      <w:r>
        <w:rPr>
          <w:rFonts w:ascii="Times New Roman" w:hAnsi="Times New Roman"/>
          <w:b w:val="0"/>
          <w:i w:val="0"/>
          <w:color w:val="000000"/>
          <w:sz w:val="24"/>
        </w:rPr>
        <w:t xml:space="preserve"> The backend application integrates the official AWS Boto3 SDK. Whenever a regional DPRI score crosses the emergency threshold of 0.75, or when an allocation plan is committed to </w:t>
      </w:r>
      <w:r>
        <w:rPr>
          <w:rFonts w:ascii="Consolas" w:hAnsi="Consolas"/>
          <w:b w:val="0"/>
          <w:i w:val="0"/>
          <w:color w:val="000000"/>
          <w:sz w:val="21"/>
        </w:rPr>
        <w:t>APPROVED</w:t>
      </w:r>
      <w:r>
        <w:rPr>
          <w:rFonts w:ascii="Times New Roman" w:hAnsi="Times New Roman"/>
          <w:b w:val="0"/>
          <w:i w:val="0"/>
          <w:color w:val="000000"/>
          <w:sz w:val="24"/>
        </w:rPr>
        <w:t>, the backend dispatches a structured JSON alert payload.</w:t>
      </w:r>
      <w:r>
        <w:br/>
      </w:r>
      <w:r>
        <w:rPr>
          <w:rFonts w:ascii="Times New Roman" w:hAnsi="Times New Roman"/>
          <w:b w:val="0"/>
          <w:i w:val="0"/>
          <w:color w:val="000000"/>
          <w:sz w:val="24"/>
        </w:rPr>
        <w:t xml:space="preserve">• </w:t>
      </w:r>
      <w:r>
        <w:rPr>
          <w:rFonts w:ascii="Times New Roman" w:hAnsi="Times New Roman"/>
          <w:b/>
          <w:i w:val="0"/>
          <w:color w:val="000000"/>
          <w:sz w:val="24"/>
        </w:rPr>
        <w:t>Multi-Channel Fanout:</w:t>
      </w:r>
      <w:r>
        <w:rPr>
          <w:rFonts w:ascii="Times New Roman" w:hAnsi="Times New Roman"/>
          <w:b w:val="0"/>
          <w:i w:val="0"/>
          <w:color w:val="000000"/>
          <w:sz w:val="24"/>
        </w:rPr>
        <w:t xml:space="preserve"> Subscribers receive instant notifications across email, SMS, and HTTPS webhooks connected to civil defense emergency centers and NDRF rescue battalions.</w:t>
      </w:r>
      <w:r>
        <w:br/>
      </w:r>
      <w:r>
        <w:rPr>
          <w:rFonts w:ascii="Times New Roman" w:hAnsi="Times New Roman"/>
          <w:b w:val="0"/>
          <w:i w:val="0"/>
          <w:color w:val="000000"/>
          <w:sz w:val="24"/>
        </w:rPr>
        <w:t xml:space="preserve">• </w:t>
      </w:r>
      <w:r>
        <w:rPr>
          <w:rFonts w:ascii="Times New Roman" w:hAnsi="Times New Roman"/>
          <w:b/>
          <w:i w:val="0"/>
          <w:color w:val="000000"/>
          <w:sz w:val="24"/>
        </w:rPr>
        <w:t>Architectural Justification:</w:t>
      </w:r>
      <w:r>
        <w:rPr>
          <w:rFonts w:ascii="Times New Roman" w:hAnsi="Times New Roman"/>
          <w:b w:val="0"/>
          <w:i w:val="0"/>
          <w:color w:val="000000"/>
          <w:sz w:val="24"/>
        </w:rPr>
        <w:t xml:space="preserve"> Eliminates fragile, manual telephone calling trees, broadcasting mission-critical evacuation and dispatch alerts across thousands of responders in sub-second timeframes.</w:t>
      </w:r>
    </w:p>
    <w:p>
      <w:pPr>
        <w:pStyle w:val="Heading2"/>
        <w:keepNext/>
        <w:spacing w:before="200" w:after="80"/>
      </w:pPr>
      <w:r>
        <w:rPr>
          <w:rFonts w:ascii="Times New Roman" w:hAnsi="Times New Roman"/>
          <w:b/>
          <w:i w:val="0"/>
          <w:color w:val="000000"/>
          <w:sz w:val="25"/>
        </w:rPr>
        <w:t>7.6 Amazon CloudWatch: Unified Operational Observability &amp; Forensics</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Log Group Architecture:</w:t>
      </w:r>
      <w:r>
        <w:rPr>
          <w:rFonts w:ascii="Times New Roman" w:hAnsi="Times New Roman"/>
          <w:b w:val="0"/>
          <w:i w:val="0"/>
          <w:color w:val="000000"/>
          <w:sz w:val="24"/>
        </w:rPr>
        <w:t xml:space="preserve"> Dedicated CloudWatch Log Group </w:t>
      </w:r>
      <w:r>
        <w:rPr>
          <w:rFonts w:ascii="Consolas" w:hAnsi="Consolas"/>
          <w:b w:val="0"/>
          <w:i w:val="0"/>
          <w:color w:val="000000"/>
          <w:sz w:val="21"/>
        </w:rPr>
        <w:t>/cloudshield/application</w:t>
      </w:r>
      <w:r>
        <w:rPr>
          <w:rFonts w:ascii="Times New Roman" w:hAnsi="Times New Roman"/>
          <w:b w:val="0"/>
          <w:i w:val="0"/>
          <w:color w:val="000000"/>
          <w:sz w:val="24"/>
        </w:rPr>
        <w:t xml:space="preserve"> in the Sydney region.</w:t>
      </w:r>
      <w:r>
        <w:br/>
      </w:r>
      <w:r>
        <w:rPr>
          <w:rFonts w:ascii="Times New Roman" w:hAnsi="Times New Roman"/>
          <w:b w:val="0"/>
          <w:i w:val="0"/>
          <w:color w:val="000000"/>
          <w:sz w:val="24"/>
        </w:rPr>
        <w:t xml:space="preserve">• </w:t>
      </w:r>
      <w:r>
        <w:rPr>
          <w:rFonts w:ascii="Times New Roman" w:hAnsi="Times New Roman"/>
          <w:b/>
          <w:i w:val="0"/>
          <w:color w:val="000000"/>
          <w:sz w:val="24"/>
        </w:rPr>
        <w:t>Stream Ingestion:</w:t>
      </w:r>
      <w:r>
        <w:rPr>
          <w:rFonts w:ascii="Times New Roman" w:hAnsi="Times New Roman"/>
          <w:b w:val="0"/>
          <w:i w:val="0"/>
          <w:color w:val="000000"/>
          <w:sz w:val="24"/>
        </w:rPr>
        <w:t xml:space="preserve"> Captures unified stdout and stderr application output via the unified AWS CloudWatch Logs Agent, recording every API transaction, execution latency, DPRI calculation, and authentication failure.</w:t>
      </w:r>
      <w:r>
        <w:br/>
      </w:r>
      <w:r>
        <w:rPr>
          <w:rFonts w:ascii="Times New Roman" w:hAnsi="Times New Roman"/>
          <w:b w:val="0"/>
          <w:i w:val="0"/>
          <w:color w:val="000000"/>
          <w:sz w:val="24"/>
        </w:rPr>
        <w:t xml:space="preserve">• </w:t>
      </w:r>
      <w:r>
        <w:rPr>
          <w:rFonts w:ascii="Times New Roman" w:hAnsi="Times New Roman"/>
          <w:b/>
          <w:i w:val="0"/>
          <w:color w:val="000000"/>
          <w:sz w:val="24"/>
        </w:rPr>
        <w:t>Metric Filters &amp; Alarms:</w:t>
      </w:r>
      <w:r>
        <w:rPr>
          <w:rFonts w:ascii="Times New Roman" w:hAnsi="Times New Roman"/>
          <w:b w:val="0"/>
          <w:i w:val="0"/>
          <w:color w:val="000000"/>
          <w:sz w:val="24"/>
        </w:rPr>
        <w:t xml:space="preserve"> Configured with automated metric filters monitoring HTTP 5xx server exceptions and unserviceable demand escalations, sounding alarms if application health degrades.</w:t>
      </w:r>
      <w:r>
        <w:br/>
      </w:r>
      <w:r>
        <w:rPr>
          <w:rFonts w:ascii="Times New Roman" w:hAnsi="Times New Roman"/>
          <w:b w:val="0"/>
          <w:i w:val="0"/>
          <w:color w:val="000000"/>
          <w:sz w:val="24"/>
        </w:rPr>
        <w:t xml:space="preserve">• </w:t>
      </w:r>
      <w:r>
        <w:rPr>
          <w:rFonts w:ascii="Times New Roman" w:hAnsi="Times New Roman"/>
          <w:b/>
          <w:i w:val="0"/>
          <w:color w:val="000000"/>
          <w:sz w:val="24"/>
        </w:rPr>
        <w:t>Architectural Justification:</w:t>
      </w:r>
      <w:r>
        <w:rPr>
          <w:rFonts w:ascii="Times New Roman" w:hAnsi="Times New Roman"/>
          <w:b w:val="0"/>
          <w:i w:val="0"/>
          <w:color w:val="000000"/>
          <w:sz w:val="24"/>
        </w:rPr>
        <w:t xml:space="preserve"> Provides post-disaster accountability, transparent operational visibility, and forensic legal compliance required for government inquiries.</w:t>
      </w:r>
    </w:p>
    <w:p>
      <w:pPr>
        <w:pStyle w:val="Heading2"/>
        <w:keepNext/>
        <w:spacing w:before="200" w:after="80"/>
      </w:pPr>
      <w:r>
        <w:rPr>
          <w:rFonts w:ascii="Times New Roman" w:hAnsi="Times New Roman"/>
          <w:b/>
          <w:i w:val="0"/>
          <w:color w:val="000000"/>
          <w:sz w:val="25"/>
        </w:rPr>
        <w:t>7.7 AWS Identity &amp; Access Management (IAM): Least-Privilege Security Hardening</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Instance Profile &amp; IAM Role:</w:t>
      </w:r>
      <w:r>
        <w:rPr>
          <w:rFonts w:ascii="Times New Roman" w:hAnsi="Times New Roman"/>
          <w:b w:val="0"/>
          <w:i w:val="0"/>
          <w:color w:val="000000"/>
          <w:sz w:val="24"/>
        </w:rPr>
        <w:t xml:space="preserve"> The EC2 instance is attached to role </w:t>
      </w:r>
      <w:r>
        <w:rPr>
          <w:rFonts w:ascii="Consolas" w:hAnsi="Consolas"/>
          <w:b w:val="0"/>
          <w:i w:val="0"/>
          <w:color w:val="000000"/>
          <w:sz w:val="21"/>
        </w:rPr>
        <w:t>CloudShieldEC2AppRole</w:t>
      </w:r>
      <w:r>
        <w:rPr>
          <w:rFonts w:ascii="Times New Roman" w:hAnsi="Times New Roman"/>
          <w:b w:val="0"/>
          <w:i w:val="0"/>
          <w:color w:val="000000"/>
          <w:sz w:val="24"/>
        </w:rPr>
        <w:t xml:space="preserve"> via instance profile </w:t>
      </w:r>
      <w:r>
        <w:rPr>
          <w:rFonts w:ascii="Consolas" w:hAnsi="Consolas"/>
          <w:b w:val="0"/>
          <w:i w:val="0"/>
          <w:color w:val="000000"/>
          <w:sz w:val="21"/>
        </w:rPr>
        <w:t>CloudShieldEC2Profile</w:t>
      </w:r>
      <w:r>
        <w:rPr>
          <w:rFonts w:ascii="Times New Roman" w:hAnsi="Times New Roman"/>
          <w:b w:val="0"/>
          <w:i w:val="0"/>
          <w:color w:val="000000"/>
          <w:sz w:val="24"/>
        </w:rPr>
        <w:t>.</w:t>
      </w:r>
      <w:r>
        <w:br/>
      </w:r>
      <w:r>
        <w:rPr>
          <w:rFonts w:ascii="Times New Roman" w:hAnsi="Times New Roman"/>
          <w:b w:val="0"/>
          <w:i w:val="0"/>
          <w:color w:val="000000"/>
          <w:sz w:val="24"/>
        </w:rPr>
        <w:t xml:space="preserve">• </w:t>
      </w:r>
      <w:r>
        <w:rPr>
          <w:rFonts w:ascii="Times New Roman" w:hAnsi="Times New Roman"/>
          <w:b/>
          <w:i w:val="0"/>
          <w:color w:val="000000"/>
          <w:sz w:val="24"/>
        </w:rPr>
        <w:t>Zero Hardcoded Secrets:</w:t>
      </w:r>
      <w:r>
        <w:rPr>
          <w:rFonts w:ascii="Times New Roman" w:hAnsi="Times New Roman"/>
          <w:b w:val="0"/>
          <w:i w:val="0"/>
          <w:color w:val="000000"/>
          <w:sz w:val="24"/>
        </w:rPr>
        <w:t xml:space="preserve"> Source code and server configuration contain strictly zero AWS access keys or secret tokens. Credentials are dynamically acquired through the EC2 Instance Metadata Service.</w:t>
      </w:r>
      <w:r>
        <w:br/>
      </w:r>
      <w:r>
        <w:rPr>
          <w:rFonts w:ascii="Times New Roman" w:hAnsi="Times New Roman"/>
          <w:b w:val="0"/>
          <w:i w:val="0"/>
          <w:color w:val="000000"/>
          <w:sz w:val="24"/>
        </w:rPr>
        <w:t xml:space="preserve">• </w:t>
      </w:r>
      <w:r>
        <w:rPr>
          <w:rFonts w:ascii="Times New Roman" w:hAnsi="Times New Roman"/>
          <w:b/>
          <w:i w:val="0"/>
          <w:color w:val="000000"/>
          <w:sz w:val="24"/>
        </w:rPr>
        <w:t>Enforcement of IMDSv2:</w:t>
      </w:r>
      <w:r>
        <w:rPr>
          <w:rFonts w:ascii="Times New Roman" w:hAnsi="Times New Roman"/>
          <w:b w:val="0"/>
          <w:i w:val="0"/>
          <w:color w:val="000000"/>
          <w:sz w:val="24"/>
        </w:rPr>
        <w:t xml:space="preserve"> Instance metadata requires token-oriented session authentication (IMDSv2, </w:t>
      </w:r>
      <w:r>
        <w:rPr>
          <w:rFonts w:ascii="Consolas" w:hAnsi="Consolas"/>
          <w:b w:val="0"/>
          <w:i w:val="0"/>
          <w:color w:val="000000"/>
          <w:sz w:val="21"/>
        </w:rPr>
        <w:t>HttpTokens=required</w:t>
      </w:r>
      <w:r>
        <w:rPr>
          <w:rFonts w:ascii="Times New Roman" w:hAnsi="Times New Roman"/>
          <w:b w:val="0"/>
          <w:i w:val="0"/>
          <w:color w:val="000000"/>
          <w:sz w:val="24"/>
        </w:rPr>
        <w:t xml:space="preserve">, </w:t>
      </w:r>
      <w:r>
        <w:rPr>
          <w:rFonts w:ascii="Consolas" w:hAnsi="Consolas"/>
          <w:b w:val="0"/>
          <w:i w:val="0"/>
          <w:color w:val="000000"/>
          <w:sz w:val="21"/>
        </w:rPr>
        <w:t>HttpPutResponseHopLimit=1</w:t>
      </w:r>
      <w:r>
        <w:rPr>
          <w:rFonts w:ascii="Times New Roman" w:hAnsi="Times New Roman"/>
          <w:b w:val="0"/>
          <w:i w:val="0"/>
          <w:color w:val="000000"/>
          <w:sz w:val="24"/>
        </w:rPr>
        <w:t>), neutralizing Server-Side Request Forgery (SSRF) vulnerabilities.</w:t>
      </w:r>
      <w:r>
        <w:br/>
      </w:r>
      <w:r>
        <w:rPr>
          <w:rFonts w:ascii="Times New Roman" w:hAnsi="Times New Roman"/>
          <w:b w:val="0"/>
          <w:i w:val="0"/>
          <w:color w:val="000000"/>
          <w:sz w:val="24"/>
        </w:rPr>
        <w:t xml:space="preserve">• </w:t>
      </w:r>
      <w:r>
        <w:rPr>
          <w:rFonts w:ascii="Times New Roman" w:hAnsi="Times New Roman"/>
          <w:b/>
          <w:i w:val="0"/>
          <w:color w:val="000000"/>
          <w:sz w:val="24"/>
        </w:rPr>
        <w:t>Scoped Least-Privilege Policies:</w:t>
      </w:r>
      <w:r>
        <w:rPr>
          <w:rFonts w:ascii="Times New Roman" w:hAnsi="Times New Roman"/>
          <w:b w:val="0"/>
          <w:i w:val="0"/>
          <w:color w:val="000000"/>
          <w:sz w:val="24"/>
        </w:rPr>
        <w:t xml:space="preserve"> The IAM policy restricts Boto3 operations strictly to </w:t>
      </w:r>
      <w:r>
        <w:rPr>
          <w:rFonts w:ascii="Consolas" w:hAnsi="Consolas"/>
          <w:b w:val="0"/>
          <w:i w:val="0"/>
          <w:color w:val="000000"/>
          <w:sz w:val="21"/>
        </w:rPr>
        <w:t>s3:PutObject</w:t>
      </w:r>
      <w:r>
        <w:rPr>
          <w:rFonts w:ascii="Times New Roman" w:hAnsi="Times New Roman"/>
          <w:b w:val="0"/>
          <w:i w:val="0"/>
          <w:color w:val="000000"/>
          <w:sz w:val="24"/>
        </w:rPr>
        <w:t xml:space="preserve"> and </w:t>
      </w:r>
      <w:r>
        <w:rPr>
          <w:rFonts w:ascii="Consolas" w:hAnsi="Consolas"/>
          <w:b w:val="0"/>
          <w:i w:val="0"/>
          <w:color w:val="000000"/>
          <w:sz w:val="21"/>
        </w:rPr>
        <w:t>s3:GetObject</w:t>
      </w:r>
      <w:r>
        <w:rPr>
          <w:rFonts w:ascii="Times New Roman" w:hAnsi="Times New Roman"/>
          <w:b w:val="0"/>
          <w:i w:val="0"/>
          <w:color w:val="000000"/>
          <w:sz w:val="24"/>
        </w:rPr>
        <w:t xml:space="preserve"> on the specific CloudShield bucket, </w:t>
      </w:r>
      <w:r>
        <w:rPr>
          <w:rFonts w:ascii="Consolas" w:hAnsi="Consolas"/>
          <w:b w:val="0"/>
          <w:i w:val="0"/>
          <w:color w:val="000000"/>
          <w:sz w:val="21"/>
        </w:rPr>
        <w:t>sns:Publish</w:t>
      </w:r>
      <w:r>
        <w:rPr>
          <w:rFonts w:ascii="Times New Roman" w:hAnsi="Times New Roman"/>
          <w:b w:val="0"/>
          <w:i w:val="0"/>
          <w:color w:val="000000"/>
          <w:sz w:val="24"/>
        </w:rPr>
        <w:t xml:space="preserve"> on the specific alert topic, and </w:t>
      </w:r>
      <w:r>
        <w:rPr>
          <w:rFonts w:ascii="Consolas" w:hAnsi="Consolas"/>
          <w:b w:val="0"/>
          <w:i w:val="0"/>
          <w:color w:val="000000"/>
          <w:sz w:val="21"/>
        </w:rPr>
        <w:t>logs:PutLogEvents</w:t>
      </w:r>
      <w:r>
        <w:rPr>
          <w:rFonts w:ascii="Times New Roman" w:hAnsi="Times New Roman"/>
          <w:b w:val="0"/>
          <w:i w:val="0"/>
          <w:color w:val="000000"/>
          <w:sz w:val="24"/>
        </w:rPr>
        <w:t xml:space="preserve"> on the specific log group.</w:t>
      </w:r>
    </w:p>
    <w:p>
      <w:pPr>
        <w:pStyle w:val="Heading2"/>
        <w:keepNext/>
        <w:spacing w:before="200" w:after="80"/>
      </w:pPr>
      <w:r>
        <w:rPr>
          <w:rFonts w:ascii="Times New Roman" w:hAnsi="Times New Roman"/>
          <w:b/>
          <w:i w:val="0"/>
          <w:color w:val="000000"/>
          <w:sz w:val="25"/>
        </w:rPr>
        <w:t>7.8 Amazon VPC &amp; Stateful Security Group Ingress Restrictions</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Security Group Specification:</w:t>
      </w:r>
      <w:r>
        <w:rPr>
          <w:rFonts w:ascii="Times New Roman" w:hAnsi="Times New Roman"/>
          <w:b w:val="0"/>
          <w:i w:val="0"/>
          <w:color w:val="000000"/>
          <w:sz w:val="24"/>
        </w:rPr>
        <w:t xml:space="preserve"> Stateful virtual firewall </w:t>
      </w:r>
      <w:r>
        <w:rPr>
          <w:rFonts w:ascii="Consolas" w:hAnsi="Consolas"/>
          <w:b w:val="0"/>
          <w:i w:val="0"/>
          <w:color w:val="000000"/>
          <w:sz w:val="21"/>
        </w:rPr>
        <w:t>cloudshield-app-sg</w:t>
      </w:r>
      <w:r>
        <w:rPr>
          <w:rFonts w:ascii="Times New Roman" w:hAnsi="Times New Roman"/>
          <w:b w:val="0"/>
          <w:i w:val="0"/>
          <w:color w:val="000000"/>
          <w:sz w:val="24"/>
        </w:rPr>
        <w:t xml:space="preserve"> (ID: </w:t>
      </w:r>
      <w:r>
        <w:rPr>
          <w:rFonts w:ascii="Consolas" w:hAnsi="Consolas"/>
          <w:b w:val="0"/>
          <w:i w:val="0"/>
          <w:color w:val="000000"/>
          <w:sz w:val="21"/>
        </w:rPr>
        <w:t>sg-08249050614cb6db9</w:t>
      </w:r>
      <w:r>
        <w:rPr>
          <w:rFonts w:ascii="Times New Roman" w:hAnsi="Times New Roman"/>
          <w:b w:val="0"/>
          <w:i w:val="0"/>
          <w:color w:val="000000"/>
          <w:sz w:val="24"/>
        </w:rPr>
        <w:t>).</w:t>
      </w:r>
      <w:r>
        <w:br/>
      </w:r>
      <w:r>
        <w:rPr>
          <w:rFonts w:ascii="Times New Roman" w:hAnsi="Times New Roman"/>
          <w:b w:val="0"/>
          <w:i w:val="0"/>
          <w:color w:val="000000"/>
          <w:sz w:val="24"/>
        </w:rPr>
        <w:t xml:space="preserve">• </w:t>
      </w:r>
      <w:r>
        <w:rPr>
          <w:rFonts w:ascii="Times New Roman" w:hAnsi="Times New Roman"/>
          <w:b/>
          <w:i w:val="0"/>
          <w:color w:val="000000"/>
          <w:sz w:val="24"/>
        </w:rPr>
        <w:t>Ingress Rule Scoping:</w:t>
      </w:r>
      <w:r>
        <w:rPr>
          <w:rFonts w:ascii="Times New Roman" w:hAnsi="Times New Roman"/>
          <w:b w:val="0"/>
          <w:i w:val="0"/>
          <w:color w:val="000000"/>
          <w:sz w:val="24"/>
        </w:rPr>
        <w:t xml:space="preserve"> Inbound TCP port 8000 is restricted strictly to the verified administrative CIDR (</w:t>
      </w:r>
      <w:r>
        <w:rPr>
          <w:rFonts w:ascii="Consolas" w:hAnsi="Consolas"/>
          <w:b w:val="0"/>
          <w:i w:val="0"/>
          <w:color w:val="000000"/>
          <w:sz w:val="21"/>
        </w:rPr>
        <w:t>182.66.218.113/32</w:t>
      </w:r>
      <w:r>
        <w:rPr>
          <w:rFonts w:ascii="Times New Roman" w:hAnsi="Times New Roman"/>
          <w:b w:val="0"/>
          <w:i w:val="0"/>
          <w:color w:val="000000"/>
          <w:sz w:val="24"/>
        </w:rPr>
        <w:t>), completely blocking unauthorized public Internet reconnaissance and automated botnet scrapers.</w:t>
      </w:r>
      <w:r>
        <w:br/>
      </w:r>
      <w:r>
        <w:rPr>
          <w:rFonts w:ascii="Times New Roman" w:hAnsi="Times New Roman"/>
          <w:b w:val="0"/>
          <w:i w:val="0"/>
          <w:color w:val="000000"/>
          <w:sz w:val="24"/>
        </w:rPr>
        <w:t xml:space="preserve">• </w:t>
      </w:r>
      <w:r>
        <w:rPr>
          <w:rFonts w:ascii="Times New Roman" w:hAnsi="Times New Roman"/>
          <w:b/>
          <w:i w:val="0"/>
          <w:color w:val="000000"/>
          <w:sz w:val="24"/>
        </w:rPr>
        <w:t>Outbound Egress Rules:</w:t>
      </w:r>
      <w:r>
        <w:rPr>
          <w:rFonts w:ascii="Times New Roman" w:hAnsi="Times New Roman"/>
          <w:b w:val="0"/>
          <w:i w:val="0"/>
          <w:color w:val="000000"/>
          <w:sz w:val="24"/>
        </w:rPr>
        <w:t xml:space="preserve"> Outbound traffic is restricted to HTTPS (TCP port 443) for AWS API endpoint communication (S3, SNS, CloudWatch) and HTTP/HTTPS for external weather API ingestion.</w:t>
      </w:r>
    </w:p>
    <w:p>
      <w:pPr>
        <w:keepNext/>
        <w:spacing w:before="120" w:after="80"/>
      </w:pPr>
      <w:r>
        <w:rPr>
          <w:rFonts w:ascii="Times New Roman" w:hAnsi="Times New Roman"/>
          <w:b/>
          <w:i w:val="0"/>
          <w:color w:val="000000"/>
          <w:sz w:val="22"/>
        </w:rPr>
        <w:t>Table 7.1: Comprehensive AWS Service Implementation Matrix</w:t>
      </w:r>
    </w:p>
    <w:tbl>
      <w:tblPr>
        <w:tblW w:type="auto" w:w="0"/>
        <w:jc w:val="center"/>
        <w:tblLook w:firstColumn="1" w:firstRow="1" w:lastColumn="0" w:lastRow="0" w:noHBand="0" w:noVBand="1" w:val="04A0"/>
      </w:tblPr>
      <w:tblGrid>
        <w:gridCol w:w="2340"/>
        <w:gridCol w:w="2340"/>
        <w:gridCol w:w="2340"/>
        <w:gridCol w:w="2340"/>
      </w:tblGrid>
      <w:tr>
        <w:tc>
          <w:tcPr>
            <w:tcW w:type="dxa" w:w="1671"/>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AWS Service</w:t>
            </w:r>
          </w:p>
        </w:tc>
        <w:tc>
          <w:tcPr>
            <w:tcW w:type="dxa" w:w="2043"/>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Where Implemented</w:t>
            </w:r>
          </w:p>
        </w:tc>
        <w:tc>
          <w:tcPr>
            <w:tcW w:type="dxa" w:w="2860"/>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How It Operates in Backend</w:t>
            </w:r>
          </w:p>
        </w:tc>
        <w:tc>
          <w:tcPr>
            <w:tcW w:type="dxa" w:w="2786"/>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Architectural Justification (Why)</w:t>
            </w:r>
          </w:p>
        </w:tc>
      </w:tr>
      <w:tr>
        <w:tc>
          <w:tcPr>
            <w:tcW w:type="dxa" w:w="167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Amazon EC2</w:t>
            </w:r>
            <w:r>
              <w:br/>
            </w:r>
            <w:r>
              <w:rPr>
                <w:rFonts w:ascii="Times New Roman" w:hAnsi="Times New Roman"/>
                <w:b w:val="0"/>
                <w:i w:val="0"/>
                <w:color w:val="000000"/>
                <w:sz w:val="19"/>
              </w:rPr>
              <w:t>(t3.micro, AL2023)</w:t>
            </w:r>
          </w:p>
        </w:tc>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ap-southeast-2 Public Subnet</w:t>
            </w:r>
          </w:p>
        </w:tc>
        <w:tc>
          <w:tcPr>
            <w:tcW w:type="dxa" w:w="286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Runs FastAPI application under systemd-managed Uvicorn ASGI server with automated process supervision.</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Provides dedicated, deterministic compute without serverless cold-start delays during acute disaster intake.</w:t>
            </w:r>
          </w:p>
        </w:tc>
      </w:tr>
      <w:tr>
        <w:tc>
          <w:tcPr>
            <w:tcW w:type="dxa" w:w="167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Amazon EBS</w:t>
            </w:r>
            <w:r>
              <w:br/>
            </w:r>
            <w:r>
              <w:rPr>
                <w:rFonts w:ascii="Times New Roman" w:hAnsi="Times New Roman"/>
                <w:b w:val="0"/>
                <w:i w:val="0"/>
                <w:color w:val="000000"/>
                <w:sz w:val="19"/>
              </w:rPr>
              <w:t>(8GB gp3)</w:t>
            </w:r>
          </w:p>
        </w:tc>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Attached Root Volume (/dev/xvda)</w:t>
            </w:r>
          </w:p>
        </w:tc>
        <w:tc>
          <w:tcPr>
            <w:tcW w:type="dxa" w:w="286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Persistent NVMe block storage hosting the transactional SQLite database and application logs.</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Guarantees ACID crash durability across instance reboots; baseline 3,000 IOPS and 125 MB/s throughput.</w:t>
            </w:r>
          </w:p>
        </w:tc>
      </w:tr>
      <w:tr>
        <w:tc>
          <w:tcPr>
            <w:tcW w:type="dxa" w:w="167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Amazon S3</w:t>
            </w:r>
            <w:r>
              <w:br/>
            </w:r>
            <w:r>
              <w:rPr>
                <w:rFonts w:ascii="Times New Roman" w:hAnsi="Times New Roman"/>
                <w:b w:val="0"/>
                <w:i w:val="0"/>
                <w:color w:val="000000"/>
                <w:sz w:val="19"/>
              </w:rPr>
              <w:t>(Private Bucket)</w:t>
            </w:r>
          </w:p>
        </w:tc>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cloudshield-artifacts-206238482111-ap-southeast-2</w:t>
            </w:r>
          </w:p>
        </w:tc>
        <w:tc>
          <w:tcPr>
            <w:tcW w:type="dxa" w:w="286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Automated cron scripts upload encrypted hourly database dumps (cloudshield_backup_*.db) with AES-256.</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Provides 11 9's durability for forensic audit logs; 7-day lifecycle rule prunes old backups to prevent cost creep.</w:t>
            </w:r>
          </w:p>
        </w:tc>
      </w:tr>
      <w:tr>
        <w:tc>
          <w:tcPr>
            <w:tcW w:type="dxa" w:w="167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Amazon SNS</w:t>
            </w:r>
            <w:r>
              <w:br/>
            </w:r>
            <w:r>
              <w:rPr>
                <w:rFonts w:ascii="Times New Roman" w:hAnsi="Times New Roman"/>
                <w:b w:val="0"/>
                <w:i w:val="0"/>
                <w:color w:val="000000"/>
                <w:sz w:val="19"/>
              </w:rPr>
              <w:t>(Standard Topic)</w:t>
            </w:r>
          </w:p>
        </w:tc>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CloudShield-Disaster-Alerts</w:t>
            </w:r>
          </w:p>
        </w:tc>
        <w:tc>
          <w:tcPr>
            <w:tcW w:type="dxa" w:w="286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Boto3 client triggers JSON publish events when DPRI exceeds 0.75 or when allocation plans are committed.</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Replaces slow manual phone calls with instantaneous multi-channel fanout to district command and NDRF units.</w:t>
            </w:r>
          </w:p>
        </w:tc>
      </w:tr>
      <w:tr>
        <w:tc>
          <w:tcPr>
            <w:tcW w:type="dxa" w:w="167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Amazon CloudWatch</w:t>
            </w:r>
            <w:r>
              <w:br/>
            </w:r>
            <w:r>
              <w:rPr>
                <w:rFonts w:ascii="Times New Roman" w:hAnsi="Times New Roman"/>
                <w:b w:val="0"/>
                <w:i w:val="0"/>
                <w:color w:val="000000"/>
                <w:sz w:val="19"/>
              </w:rPr>
              <w:t>(Logs Group)</w:t>
            </w:r>
          </w:p>
        </w:tc>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/cloudshield/application (ap-southeast-2)</w:t>
            </w:r>
          </w:p>
        </w:tc>
        <w:tc>
          <w:tcPr>
            <w:tcW w:type="dxa" w:w="286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Captures unified stdout/stderr log streams via CloudWatch agent, logging API latencies and allocation commits.</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Enables centralized operational visibility, post-disaster accountability audits, and immediate error alerting.</w:t>
            </w:r>
          </w:p>
        </w:tc>
      </w:tr>
      <w:tr>
        <w:tc>
          <w:tcPr>
            <w:tcW w:type="dxa" w:w="167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AWS IAM</w:t>
            </w:r>
            <w:r>
              <w:br/>
            </w:r>
            <w:r>
              <w:rPr>
                <w:rFonts w:ascii="Times New Roman" w:hAnsi="Times New Roman"/>
                <w:b w:val="0"/>
                <w:i w:val="0"/>
                <w:color w:val="000000"/>
                <w:sz w:val="19"/>
              </w:rPr>
              <w:t>(Least Privilege)</w:t>
            </w:r>
          </w:p>
        </w:tc>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CloudShieldEC2AppRole / Instance Profile</w:t>
            </w:r>
          </w:p>
        </w:tc>
        <w:tc>
          <w:tcPr>
            <w:tcW w:type="dxa" w:w="286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Grants scoped S3 put/get, SNS publish, and CloudWatch log permissions via IMDSv2 token authentication.</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Zero hardcoded secrets or API access keys on the server, mitigating credential exfiltration risks.</w:t>
            </w:r>
          </w:p>
        </w:tc>
      </w:tr>
      <w:tr>
        <w:tc>
          <w:tcPr>
            <w:tcW w:type="dxa" w:w="167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AWS VPC / SG</w:t>
            </w:r>
            <w:r>
              <w:br/>
            </w:r>
            <w:r>
              <w:rPr>
                <w:rFonts w:ascii="Times New Roman" w:hAnsi="Times New Roman"/>
                <w:b w:val="0"/>
                <w:i w:val="0"/>
                <w:color w:val="000000"/>
                <w:sz w:val="19"/>
              </w:rPr>
              <w:t>(Security Group)</w:t>
            </w:r>
          </w:p>
        </w:tc>
        <w:tc>
          <w:tcPr>
            <w:tcW w:type="dxa" w:w="2043"/>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cloudshield-app-sg (sg-08249050614cb6db9)</w:t>
            </w:r>
          </w:p>
        </w:tc>
        <w:tc>
          <w:tcPr>
            <w:tcW w:type="dxa" w:w="286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Stateful firewall restricting inbound TCP traffic on port 8000 strictly to verified admin CIDR.</w:t>
            </w:r>
          </w:p>
        </w:tc>
        <w:tc>
          <w:tcPr>
            <w:tcW w:type="dxa" w:w="27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Protects critical disaster allocation data from automated internet scrapers and unauthorized tampering.</w:t>
            </w:r>
          </w:p>
        </w:tc>
      </w:tr>
    </w:tbl>
    <w:p>
      <w:pPr>
        <w:spacing w:before="120" w:after="0"/>
      </w:pPr>
    </w:p>
    <w:p>
      <w:r>
        <w:br w:type="page"/>
      </w:r>
    </w:p>
    <w:p>
      <w:pPr>
        <w:pStyle w:val="Heading1"/>
        <w:keepNext/>
        <w:spacing w:before="280" w:after="280"/>
        <w:jc w:val="center"/>
      </w:pPr>
      <w:r>
        <w:rPr>
          <w:rFonts w:ascii="Times New Roman" w:hAnsi="Times New Roman"/>
          <w:b/>
          <w:i w:val="0"/>
          <w:color w:val="000000"/>
          <w:sz w:val="28"/>
        </w:rPr>
        <w:t>CHAPTER 8: AWS PRODUCTION DEPLOYMENT, OPERATIONAL HARDENING &amp; RIGOROUS COST AUDIT</w:t>
      </w:r>
    </w:p>
    <w:p>
      <w:pPr>
        <w:pStyle w:val="Heading2"/>
        <w:keepNext/>
        <w:spacing w:before="200" w:after="80"/>
      </w:pPr>
      <w:r>
        <w:rPr>
          <w:rFonts w:ascii="Times New Roman" w:hAnsi="Times New Roman"/>
          <w:b/>
          <w:i w:val="0"/>
          <w:color w:val="000000"/>
          <w:sz w:val="25"/>
        </w:rPr>
        <w:t>8.1 Sydney Region (ap-southeast-2) Production Deployment Topology</w:t>
      </w:r>
    </w:p>
    <w:p>
      <w:pPr>
        <w:spacing w:before="0" w:after="120" w:line="276" w:lineRule="auto"/>
        <w:jc w:val="both"/>
      </w:pPr>
      <w:r>
        <w:rPr>
          <w:rFonts w:ascii="Times New Roman" w:hAnsi="Times New Roman"/>
          <w:b w:val="0"/>
          <w:i w:val="0"/>
          <w:color w:val="000000"/>
          <w:sz w:val="24"/>
        </w:rPr>
        <w:t>The production deployment was executed in AWS Asia-Pacific (Sydney) region (</w:t>
      </w:r>
      <w:r>
        <w:rPr>
          <w:rFonts w:ascii="Consolas" w:hAnsi="Consolas"/>
          <w:b w:val="0"/>
          <w:i w:val="0"/>
          <w:color w:val="000000"/>
          <w:sz w:val="21"/>
        </w:rPr>
        <w:t>ap-southeast-2</w:t>
      </w:r>
      <w:r>
        <w:rPr>
          <w:rFonts w:ascii="Times New Roman" w:hAnsi="Times New Roman"/>
          <w:b w:val="0"/>
          <w:i w:val="0"/>
          <w:color w:val="000000"/>
          <w:sz w:val="24"/>
        </w:rPr>
        <w:t xml:space="preserve">), chosen for its high availability of modern Amazon Linux 2023 AMIs, complete feature parity across all required services (EC2, S3, SNS, CloudWatch), and low network latency. The live environment is accessible under strict IP whitelisting at: </w:t>
      </w:r>
      <w:r>
        <w:rPr>
          <w:rFonts w:ascii="Consolas" w:hAnsi="Consolas"/>
          <w:b w:val="0"/>
          <w:i w:val="0"/>
          <w:color w:val="000000"/>
          <w:sz w:val="21"/>
        </w:rPr>
        <w:t>http://32.236.173.240:8000/</w:t>
      </w:r>
      <w:r>
        <w:rPr>
          <w:rFonts w:ascii="Times New Roman" w:hAnsi="Times New Roman"/>
          <w:b w:val="0"/>
          <w:i w:val="0"/>
          <w:color w:val="000000"/>
          <w:sz w:val="24"/>
        </w:rPr>
        <w:t>.</w:t>
      </w:r>
    </w:p>
    <w:p>
      <w:pPr>
        <w:spacing w:before="0" w:after="120" w:line="276" w:lineRule="auto"/>
        <w:jc w:val="both"/>
      </w:pPr>
      <w:r>
        <w:rPr>
          <w:rFonts w:ascii="Times New Roman" w:hAnsi="Times New Roman"/>
          <w:b w:val="0"/>
          <w:i w:val="0"/>
          <w:color w:val="000000"/>
          <w:sz w:val="24"/>
        </w:rPr>
        <w:t>The deployment bootstrap procedure was automated via a unified shell script that executes the following idempotent steps:</w:t>
      </w:r>
      <w:r>
        <w:br/>
      </w:r>
      <w:r>
        <w:rPr>
          <w:rFonts w:ascii="Times New Roman" w:hAnsi="Times New Roman"/>
          <w:b w:val="0"/>
          <w:i w:val="0"/>
          <w:color w:val="000000"/>
          <w:sz w:val="24"/>
        </w:rPr>
        <w:t xml:space="preserve">1. Updates the underlying operating system packages via </w:t>
      </w:r>
      <w:r>
        <w:rPr>
          <w:rFonts w:ascii="Consolas" w:hAnsi="Consolas"/>
          <w:b w:val="0"/>
          <w:i w:val="0"/>
          <w:color w:val="000000"/>
          <w:sz w:val="21"/>
        </w:rPr>
        <w:t>dnf upgrade -y</w:t>
      </w:r>
      <w:r>
        <w:rPr>
          <w:rFonts w:ascii="Times New Roman" w:hAnsi="Times New Roman"/>
          <w:b w:val="0"/>
          <w:i w:val="0"/>
          <w:color w:val="000000"/>
          <w:sz w:val="24"/>
        </w:rPr>
        <w:t>.</w:t>
      </w:r>
      <w:r>
        <w:br/>
      </w:r>
      <w:r>
        <w:rPr>
          <w:rFonts w:ascii="Times New Roman" w:hAnsi="Times New Roman"/>
          <w:b w:val="0"/>
          <w:i w:val="0"/>
          <w:color w:val="000000"/>
          <w:sz w:val="24"/>
        </w:rPr>
        <w:t>2. Installs Python 3.11, pip, and Git.</w:t>
      </w:r>
      <w:r>
        <w:br/>
      </w:r>
      <w:r>
        <w:rPr>
          <w:rFonts w:ascii="Times New Roman" w:hAnsi="Times New Roman"/>
          <w:b w:val="0"/>
          <w:i w:val="0"/>
          <w:color w:val="000000"/>
          <w:sz w:val="24"/>
        </w:rPr>
        <w:t>3. Clones the verified CloudShield repository from GitHub.</w:t>
      </w:r>
      <w:r>
        <w:br/>
      </w:r>
      <w:r>
        <w:rPr>
          <w:rFonts w:ascii="Times New Roman" w:hAnsi="Times New Roman"/>
          <w:b w:val="0"/>
          <w:i w:val="0"/>
          <w:color w:val="000000"/>
          <w:sz w:val="24"/>
        </w:rPr>
        <w:t>4. Creates an isolated Python virtual environment (</w:t>
      </w:r>
      <w:r>
        <w:rPr>
          <w:rFonts w:ascii="Consolas" w:hAnsi="Consolas"/>
          <w:b w:val="0"/>
          <w:i w:val="0"/>
          <w:color w:val="000000"/>
          <w:sz w:val="21"/>
        </w:rPr>
        <w:t>/opt/cloudshield/venv</w:t>
      </w:r>
      <w:r>
        <w:rPr>
          <w:rFonts w:ascii="Times New Roman" w:hAnsi="Times New Roman"/>
          <w:b w:val="0"/>
          <w:i w:val="0"/>
          <w:color w:val="000000"/>
          <w:sz w:val="24"/>
        </w:rPr>
        <w:t>) and installs dependencies (FastAPI, Uvicorn, SQLAlchemy, Boto3).</w:t>
      </w:r>
      <w:r>
        <w:br/>
      </w:r>
      <w:r>
        <w:rPr>
          <w:rFonts w:ascii="Times New Roman" w:hAnsi="Times New Roman"/>
          <w:b w:val="0"/>
          <w:i w:val="0"/>
          <w:color w:val="000000"/>
          <w:sz w:val="24"/>
        </w:rPr>
        <w:t xml:space="preserve">5. Configures the systemd service unit </w:t>
      </w:r>
      <w:r>
        <w:rPr>
          <w:rFonts w:ascii="Consolas" w:hAnsi="Consolas"/>
          <w:b w:val="0"/>
          <w:i w:val="0"/>
          <w:color w:val="000000"/>
          <w:sz w:val="21"/>
        </w:rPr>
        <w:t>/etc/systemd/system/cloudshield.service</w:t>
      </w:r>
      <w:r>
        <w:rPr>
          <w:rFonts w:ascii="Times New Roman" w:hAnsi="Times New Roman"/>
          <w:b w:val="0"/>
          <w:i w:val="0"/>
          <w:color w:val="000000"/>
          <w:sz w:val="24"/>
        </w:rPr>
        <w:t>.</w:t>
      </w:r>
      <w:r>
        <w:br/>
      </w:r>
      <w:r>
        <w:rPr>
          <w:rFonts w:ascii="Times New Roman" w:hAnsi="Times New Roman"/>
          <w:b w:val="0"/>
          <w:i w:val="0"/>
          <w:color w:val="000000"/>
          <w:sz w:val="24"/>
        </w:rPr>
        <w:t>6. Configures the hourly database backup cron job and attaches the CloudWatch log streaming daemon.</w:t>
      </w:r>
    </w:p>
    <w:p>
      <w:pPr>
        <w:pStyle w:val="Heading2"/>
        <w:keepNext/>
        <w:spacing w:before="200" w:after="80"/>
      </w:pPr>
      <w:r>
        <w:rPr>
          <w:rFonts w:ascii="Times New Roman" w:hAnsi="Times New Roman"/>
          <w:b/>
          <w:i w:val="0"/>
          <w:color w:val="000000"/>
          <w:sz w:val="25"/>
        </w:rPr>
        <w:t>8.2 Rigorous AWS Cost-Safety Audit: Free-Tier Entitlements vs. Chargeable Tariffs</w:t>
      </w:r>
    </w:p>
    <w:p>
      <w:pPr>
        <w:spacing w:before="0" w:after="120" w:line="276" w:lineRule="auto"/>
        <w:jc w:val="both"/>
      </w:pPr>
      <w:r>
        <w:rPr>
          <w:rFonts w:ascii="Times New Roman" w:hAnsi="Times New Roman"/>
          <w:b w:val="0"/>
          <w:i w:val="0"/>
          <w:color w:val="000000"/>
          <w:sz w:val="24"/>
        </w:rPr>
        <w:t xml:space="preserve">A common hazard in collegiate cloud architecture projects is runaway financial expenditure caused by provisioning unmonitored resources (such as continuous NAT Gateways, idle Load Balancers, or provisioned IOPS SSDs). CloudShield was specifically architected with strict cost-safety controls. Below is the audited breakdown based on verified AWS pricing in </w:t>
      </w:r>
      <w:r>
        <w:rPr>
          <w:rFonts w:ascii="Consolas" w:hAnsi="Consolas"/>
          <w:b w:val="0"/>
          <w:i w:val="0"/>
          <w:color w:val="000000"/>
          <w:sz w:val="21"/>
        </w:rPr>
        <w:t>ap-southeast-2</w:t>
      </w:r>
      <w:r>
        <w:rPr>
          <w:rFonts w:ascii="Times New Roman" w:hAnsi="Times New Roman"/>
          <w:b w:val="0"/>
          <w:i w:val="0"/>
          <w:color w:val="000000"/>
          <w:sz w:val="24"/>
        </w:rPr>
        <w:t>:</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EC2 Compute (t3.micro):</w:t>
      </w:r>
      <w:r>
        <w:rPr>
          <w:rFonts w:ascii="Times New Roman" w:hAnsi="Times New Roman"/>
          <w:b w:val="0"/>
          <w:i w:val="0"/>
          <w:color w:val="000000"/>
          <w:sz w:val="24"/>
        </w:rPr>
        <w:t xml:space="preserve"> Eligible for 750 hours/month of free compute under the AWS 12-Month Free Tier. For a live 2-hour demonstration window, compute charge is strictly </w:t>
      </w:r>
      <w:r>
        <w:rPr>
          <w:rFonts w:ascii="Times New Roman" w:hAnsi="Times New Roman"/>
          <w:b/>
          <w:i w:val="0"/>
          <w:color w:val="000000"/>
          <w:sz w:val="24"/>
        </w:rPr>
        <w:t>$0.00</w:t>
      </w:r>
      <w:r>
        <w:rPr>
          <w:rFonts w:ascii="Times New Roman" w:hAnsi="Times New Roman"/>
          <w:b w:val="0"/>
          <w:i w:val="0"/>
          <w:color w:val="000000"/>
          <w:sz w:val="24"/>
        </w:rPr>
        <w:t xml:space="preserve"> (chargeable rate thereafter: $0.0132/hr).</w:t>
      </w:r>
      <w:r>
        <w:br/>
      </w:r>
      <w:r>
        <w:rPr>
          <w:rFonts w:ascii="Times New Roman" w:hAnsi="Times New Roman"/>
          <w:b w:val="0"/>
          <w:i w:val="0"/>
          <w:color w:val="000000"/>
          <w:sz w:val="24"/>
        </w:rPr>
        <w:t xml:space="preserve">• </w:t>
      </w:r>
      <w:r>
        <w:rPr>
          <w:rFonts w:ascii="Times New Roman" w:hAnsi="Times New Roman"/>
          <w:b/>
          <w:i w:val="0"/>
          <w:color w:val="000000"/>
          <w:sz w:val="24"/>
        </w:rPr>
        <w:t>EBS Storage (8 GB gp3):</w:t>
      </w:r>
      <w:r>
        <w:rPr>
          <w:rFonts w:ascii="Times New Roman" w:hAnsi="Times New Roman"/>
          <w:b w:val="0"/>
          <w:i w:val="0"/>
          <w:color w:val="000000"/>
          <w:sz w:val="24"/>
        </w:rPr>
        <w:t xml:space="preserve"> Fully covered under the 30 GB/month Free Tier block storage allowance (charge: </w:t>
      </w:r>
      <w:r>
        <w:rPr>
          <w:rFonts w:ascii="Times New Roman" w:hAnsi="Times New Roman"/>
          <w:b/>
          <w:i w:val="0"/>
          <w:color w:val="000000"/>
          <w:sz w:val="24"/>
        </w:rPr>
        <w:t>$0.00</w:t>
      </w:r>
      <w:r>
        <w:rPr>
          <w:rFonts w:ascii="Times New Roman" w:hAnsi="Times New Roman"/>
          <w:b w:val="0"/>
          <w:i w:val="0"/>
          <w:color w:val="000000"/>
          <w:sz w:val="24"/>
        </w:rPr>
        <w:t>; chargeable rate thereafter: $0.096/GB-month).</w:t>
      </w:r>
      <w:r>
        <w:br/>
      </w:r>
      <w:r>
        <w:rPr>
          <w:rFonts w:ascii="Times New Roman" w:hAnsi="Times New Roman"/>
          <w:b w:val="0"/>
          <w:i w:val="0"/>
          <w:color w:val="000000"/>
          <w:sz w:val="24"/>
        </w:rPr>
        <w:t xml:space="preserve">• </w:t>
      </w:r>
      <w:r>
        <w:rPr>
          <w:rFonts w:ascii="Times New Roman" w:hAnsi="Times New Roman"/>
          <w:b/>
          <w:i w:val="0"/>
          <w:color w:val="000000"/>
          <w:sz w:val="24"/>
        </w:rPr>
        <w:t>S3 Artifact Storage:</w:t>
      </w:r>
      <w:r>
        <w:rPr>
          <w:rFonts w:ascii="Times New Roman" w:hAnsi="Times New Roman"/>
          <w:b w:val="0"/>
          <w:i w:val="0"/>
          <w:color w:val="000000"/>
          <w:sz w:val="24"/>
        </w:rPr>
        <w:t xml:space="preserve"> Consumes less than 50 MB across all test backups, well within the 5 GB Standard S3 Free Tier allowance (charge: </w:t>
      </w:r>
      <w:r>
        <w:rPr>
          <w:rFonts w:ascii="Times New Roman" w:hAnsi="Times New Roman"/>
          <w:b/>
          <w:i w:val="0"/>
          <w:color w:val="000000"/>
          <w:sz w:val="24"/>
        </w:rPr>
        <w:t>$0.00</w:t>
      </w:r>
      <w:r>
        <w:rPr>
          <w:rFonts w:ascii="Times New Roman" w:hAnsi="Times New Roman"/>
          <w:b w:val="0"/>
          <w:i w:val="0"/>
          <w:color w:val="000000"/>
          <w:sz w:val="24"/>
        </w:rPr>
        <w:t>).</w:t>
      </w:r>
      <w:r>
        <w:br/>
      </w:r>
      <w:r>
        <w:rPr>
          <w:rFonts w:ascii="Times New Roman" w:hAnsi="Times New Roman"/>
          <w:b w:val="0"/>
          <w:i w:val="0"/>
          <w:color w:val="000000"/>
          <w:sz w:val="24"/>
        </w:rPr>
        <w:t xml:space="preserve">• </w:t>
      </w:r>
      <w:r>
        <w:rPr>
          <w:rFonts w:ascii="Times New Roman" w:hAnsi="Times New Roman"/>
          <w:b/>
          <w:i w:val="0"/>
          <w:color w:val="000000"/>
          <w:sz w:val="24"/>
        </w:rPr>
        <w:t>CloudWatch Logs &amp; SNS Alerts:</w:t>
      </w:r>
      <w:r>
        <w:rPr>
          <w:rFonts w:ascii="Times New Roman" w:hAnsi="Times New Roman"/>
          <w:b w:val="0"/>
          <w:i w:val="0"/>
          <w:color w:val="000000"/>
          <w:sz w:val="24"/>
        </w:rPr>
        <w:t xml:space="preserve"> Free Tier grants 5,000,000 log event ingests and 1,000,000 notification requests per month (charge: </w:t>
      </w:r>
      <w:r>
        <w:rPr>
          <w:rFonts w:ascii="Times New Roman" w:hAnsi="Times New Roman"/>
          <w:b/>
          <w:i w:val="0"/>
          <w:color w:val="000000"/>
          <w:sz w:val="24"/>
        </w:rPr>
        <w:t>$0.00</w:t>
      </w:r>
      <w:r>
        <w:rPr>
          <w:rFonts w:ascii="Times New Roman" w:hAnsi="Times New Roman"/>
          <w:b w:val="0"/>
          <w:i w:val="0"/>
          <w:color w:val="000000"/>
          <w:sz w:val="24"/>
        </w:rPr>
        <w:t>).</w:t>
      </w:r>
      <w:r>
        <w:br/>
      </w:r>
      <w:r>
        <w:rPr>
          <w:rFonts w:ascii="Times New Roman" w:hAnsi="Times New Roman"/>
          <w:b w:val="0"/>
          <w:i w:val="0"/>
          <w:color w:val="000000"/>
          <w:sz w:val="24"/>
        </w:rPr>
        <w:t xml:space="preserve">• </w:t>
      </w:r>
      <w:r>
        <w:rPr>
          <w:rFonts w:ascii="Times New Roman" w:hAnsi="Times New Roman"/>
          <w:b/>
          <w:i w:val="0"/>
          <w:color w:val="000000"/>
          <w:sz w:val="24"/>
        </w:rPr>
        <w:t>Public IPv4 Address:</w:t>
      </w:r>
      <w:r>
        <w:rPr>
          <w:rFonts w:ascii="Times New Roman" w:hAnsi="Times New Roman"/>
          <w:b w:val="0"/>
          <w:i w:val="0"/>
          <w:color w:val="000000"/>
          <w:sz w:val="24"/>
        </w:rPr>
        <w:t xml:space="preserve"> In accordance with AWS global networking pricing implemented in February 2024, in-use public IPv4 addresses incur a nominal charge of $0.005 per hour. For our 2-hour demonstration window, the exact chargeable cost was verified at </w:t>
      </w:r>
      <w:r>
        <w:rPr>
          <w:rFonts w:ascii="Times New Roman" w:hAnsi="Times New Roman"/>
          <w:b/>
          <w:i w:val="0"/>
          <w:color w:val="000000"/>
          <w:sz w:val="24"/>
        </w:rPr>
        <w:t>$0.010 to $0.030 USD</w:t>
      </w:r>
      <w:r>
        <w:rPr>
          <w:rFonts w:ascii="Times New Roman" w:hAnsi="Times New Roman"/>
          <w:b w:val="0"/>
          <w:i w:val="0"/>
          <w:color w:val="000000"/>
          <w:sz w:val="24"/>
        </w:rPr>
        <w:t xml:space="preserve"> (equivalent to approximately 2.50 Indian Rupees). Continuous running for 30 days costs approximately $3.60 USD.</w:t>
      </w:r>
    </w:p>
    <w:p>
      <w:pPr>
        <w:keepNext/>
        <w:spacing w:before="160" w:after="80"/>
        <w:jc w:val="center"/>
      </w:pPr>
      <w:r>
        <w:drawing>
          <wp:inline xmlns:a="http://schemas.openxmlformats.org/drawingml/2006/main" xmlns:pic="http://schemas.openxmlformats.org/drawingml/2006/picture">
            <wp:extent cx="5303520" cy="2386584"/>
            <wp:docPr id="8" name="Picture 8"/>
            <wp:cNvGraphicFramePr>
              <a:graphicFrameLocks noChangeAspect="1"/>
            </wp:cNvGraphicFramePr>
            <a:graphic>
              <a:graphicData uri="http://schemas.openxmlformats.org/drawingml/2006/picture">
                <pic:pic>
                  <pic:nvPicPr>
                    <pic:cNvPr id="0" name="graph_5_aws_cost_profile.png"/>
                    <pic:cNvPicPr/>
                  </pic:nvPicPr>
                  <pic:blipFill>
                    <a:blip r:embed="rId18"/>
                    <a:stretch>
                      <a:fillRect/>
                    </a:stretch>
                  </pic:blipFill>
                  <pic:spPr>
                    <a:xfrm>
                      <a:off x="0" y="0"/>
                      <a:ext cx="5303520" cy="2386584"/>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8.1: AWS Operational Cost Profile and Enterprise Scaling Model.</w:t>
      </w:r>
      <w:r>
        <w:rPr>
          <w:rFonts w:ascii="Times New Roman" w:hAnsi="Times New Roman"/>
          <w:b w:val="0"/>
          <w:i w:val="0"/>
          <w:color w:val="000000"/>
          <w:sz w:val="21"/>
        </w:rPr>
        <w:t xml:space="preserve"> (a) Academic cost audit confirming zero charges for EC2, EBS, S3, and CloudWatch under Free Tier, with only $0.03 total expenditure for public IPv4. (b) Projected enterprise expenditure scaling linearly across active disaster zones coordinated under a resilient Multi-AZ disaster mesh.</w:t>
      </w:r>
    </w:p>
    <w:p>
      <w:pPr>
        <w:pStyle w:val="Heading2"/>
        <w:keepNext/>
        <w:spacing w:before="200" w:after="80"/>
      </w:pPr>
      <w:r>
        <w:rPr>
          <w:rFonts w:ascii="Times New Roman" w:hAnsi="Times New Roman"/>
          <w:b/>
          <w:i w:val="0"/>
          <w:color w:val="000000"/>
          <w:sz w:val="25"/>
        </w:rPr>
        <w:t>8.3 Safe Resource Teardown and Deprovisioning Protocol</w:t>
      </w:r>
    </w:p>
    <w:p>
      <w:pPr>
        <w:spacing w:before="0" w:after="120" w:line="276" w:lineRule="auto"/>
        <w:jc w:val="both"/>
      </w:pPr>
      <w:r>
        <w:rPr>
          <w:rFonts w:ascii="Times New Roman" w:hAnsi="Times New Roman"/>
          <w:b w:val="0"/>
          <w:i w:val="0"/>
          <w:color w:val="000000"/>
          <w:sz w:val="24"/>
        </w:rPr>
        <w:t>To guarantee that zero residual charges accumulate after the evaluation viva, CloudShield provides an automated teardown script (</w:t>
      </w:r>
      <w:r>
        <w:rPr>
          <w:rFonts w:ascii="Consolas" w:hAnsi="Consolas"/>
          <w:b w:val="0"/>
          <w:i w:val="0"/>
          <w:color w:val="000000"/>
          <w:sz w:val="21"/>
        </w:rPr>
        <w:t>teardown_aws_deployment.ps1</w:t>
      </w:r>
      <w:r>
        <w:rPr>
          <w:rFonts w:ascii="Times New Roman" w:hAnsi="Times New Roman"/>
          <w:b w:val="0"/>
          <w:i w:val="0"/>
          <w:color w:val="000000"/>
          <w:sz w:val="24"/>
        </w:rPr>
        <w:t>). The script terminates resources in strict dependency order:</w:t>
      </w:r>
      <w:r>
        <w:br/>
      </w:r>
      <w:r>
        <w:rPr>
          <w:rFonts w:ascii="Times New Roman" w:hAnsi="Times New Roman"/>
          <w:b w:val="0"/>
          <w:i w:val="0"/>
          <w:color w:val="000000"/>
          <w:sz w:val="24"/>
        </w:rPr>
        <w:t>1. Empties the S3 bucket objects and versions before deleting the bucket container.</w:t>
      </w:r>
      <w:r>
        <w:br/>
      </w:r>
      <w:r>
        <w:rPr>
          <w:rFonts w:ascii="Times New Roman" w:hAnsi="Times New Roman"/>
          <w:b w:val="0"/>
          <w:i w:val="0"/>
          <w:color w:val="000000"/>
          <w:sz w:val="24"/>
        </w:rPr>
        <w:t>2. Terminates the EC2 instance, which automatically deallocates the public IPv4 address and triggers EBS volume deletion.</w:t>
      </w:r>
      <w:r>
        <w:br/>
      </w:r>
      <w:r>
        <w:rPr>
          <w:rFonts w:ascii="Times New Roman" w:hAnsi="Times New Roman"/>
          <w:b w:val="0"/>
          <w:i w:val="0"/>
          <w:color w:val="000000"/>
          <w:sz w:val="24"/>
        </w:rPr>
        <w:t>3. Deletes the CloudWatch Log Group and un-subscribes the SNS topic.</w:t>
      </w:r>
      <w:r>
        <w:br/>
      </w:r>
      <w:r>
        <w:rPr>
          <w:rFonts w:ascii="Times New Roman" w:hAnsi="Times New Roman"/>
          <w:b w:val="0"/>
          <w:i w:val="0"/>
          <w:color w:val="000000"/>
          <w:sz w:val="24"/>
        </w:rPr>
        <w:t>4. Removes the IAM instance profile, role, and Security Group.</w:t>
      </w:r>
      <w:r>
        <w:br/>
      </w:r>
      <w:r>
        <w:rPr>
          <w:rFonts w:ascii="Times New Roman" w:hAnsi="Times New Roman"/>
          <w:b w:val="0"/>
          <w:i w:val="0"/>
          <w:color w:val="000000"/>
          <w:sz w:val="24"/>
        </w:rPr>
        <w:t>5. Executes a final read-only audit verifying that zero billable resources remain active in the account.</w:t>
      </w:r>
    </w:p>
    <w:p>
      <w:pPr>
        <w:pStyle w:val="Heading2"/>
        <w:keepNext/>
        <w:spacing w:before="200" w:after="80"/>
      </w:pPr>
      <w:r>
        <w:rPr>
          <w:rFonts w:ascii="Times New Roman" w:hAnsi="Times New Roman"/>
          <w:b/>
          <w:i w:val="0"/>
          <w:color w:val="000000"/>
          <w:sz w:val="25"/>
        </w:rPr>
        <w:t>8.4 Multi-Cloud Disaster Standby Comparison &amp; Service Level Agreement (SLA) Math</w:t>
      </w:r>
    </w:p>
    <w:p>
      <w:pPr>
        <w:spacing w:before="0" w:after="120" w:line="276" w:lineRule="auto"/>
        <w:jc w:val="both"/>
      </w:pPr>
      <w:r>
        <w:rPr>
          <w:rFonts w:ascii="Times New Roman" w:hAnsi="Times New Roman"/>
          <w:b w:val="0"/>
          <w:i w:val="0"/>
          <w:color w:val="000000"/>
          <w:sz w:val="24"/>
        </w:rPr>
        <w:t>To evaluate enterprise cloud resilience beyond a single cloud provider, CloudShield’s operational footprint was analyzed across AWS, Microsoft Azure, and Google Cloud Platform (GCP). For single-node compute instances, AWS EC2 provides a 99.5% availability SLA, corresponding to a maximum allowable downtime of 3.65 hours per month. For life-critical disaster relief, this downtime budget is unacceptable. By provisioning a cross-region hot standby across AWS Sydney (</w:t>
      </w:r>
      <w:r>
        <w:rPr>
          <w:rFonts w:ascii="Consolas" w:hAnsi="Consolas"/>
          <w:b w:val="0"/>
          <w:i w:val="0"/>
          <w:color w:val="000000"/>
          <w:sz w:val="21"/>
        </w:rPr>
        <w:t>ap-southeast-2</w:t>
      </w:r>
      <w:r>
        <w:rPr>
          <w:rFonts w:ascii="Times New Roman" w:hAnsi="Times New Roman"/>
          <w:b w:val="0"/>
          <w:i w:val="0"/>
          <w:color w:val="000000"/>
          <w:sz w:val="24"/>
        </w:rPr>
        <w:t>) and AWS Singapore (</w:t>
      </w:r>
      <w:r>
        <w:rPr>
          <w:rFonts w:ascii="Consolas" w:hAnsi="Consolas"/>
          <w:b w:val="0"/>
          <w:i w:val="0"/>
          <w:color w:val="000000"/>
          <w:sz w:val="21"/>
        </w:rPr>
        <w:t>ap-southeast-1</w:t>
      </w:r>
      <w:r>
        <w:rPr>
          <w:rFonts w:ascii="Times New Roman" w:hAnsi="Times New Roman"/>
          <w:b w:val="0"/>
          <w:i w:val="0"/>
          <w:color w:val="000000"/>
          <w:sz w:val="24"/>
        </w:rPr>
        <w:t xml:space="preserve">) coupled with Route 53 health-check DNS failover, the composite availability reaches </w:t>
      </w:r>
      <w:r>
        <w:rPr>
          <w:rFonts w:ascii="Times New Roman" w:hAnsi="Times New Roman"/>
          <w:b/>
          <w:i w:val="0"/>
          <w:color w:val="000000"/>
          <w:sz w:val="24"/>
        </w:rPr>
        <w:t>99.9975%</w:t>
      </w:r>
      <w:r>
        <w:rPr>
          <w:rFonts w:ascii="Times New Roman" w:hAnsi="Times New Roman"/>
          <w:b w:val="0"/>
          <w:i w:val="0"/>
          <w:color w:val="000000"/>
          <w:sz w:val="24"/>
        </w:rPr>
        <w:t>, slashing annual downtime risk to under 13 minutes.</w:t>
      </w:r>
    </w:p>
    <w:p>
      <w:r>
        <w:br w:type="page"/>
      </w:r>
    </w:p>
    <w:p>
      <w:pPr>
        <w:pStyle w:val="Heading1"/>
        <w:keepNext/>
        <w:spacing w:before="280" w:after="280"/>
        <w:jc w:val="center"/>
      </w:pPr>
      <w:r>
        <w:rPr>
          <w:rFonts w:ascii="Times New Roman" w:hAnsi="Times New Roman"/>
          <w:b/>
          <w:i w:val="0"/>
          <w:color w:val="000000"/>
          <w:sz w:val="28"/>
        </w:rPr>
        <w:t>CHAPTER 9: END-TO-END FRONTEND INTERFACE &amp; LIVE OPERATIONAL DEMONSTRATION</w:t>
      </w:r>
    </w:p>
    <w:p>
      <w:pPr>
        <w:pStyle w:val="Heading2"/>
        <w:keepNext/>
        <w:spacing w:before="200" w:after="80"/>
      </w:pPr>
      <w:r>
        <w:rPr>
          <w:rFonts w:ascii="Times New Roman" w:hAnsi="Times New Roman"/>
          <w:b/>
          <w:i w:val="0"/>
          <w:color w:val="000000"/>
          <w:sz w:val="25"/>
        </w:rPr>
        <w:t>9.1 High-Contrast Human-Centric UI Engineering for Crisis Command</w:t>
      </w:r>
    </w:p>
    <w:p>
      <w:pPr>
        <w:spacing w:before="0" w:after="120" w:line="276" w:lineRule="auto"/>
        <w:jc w:val="both"/>
      </w:pPr>
      <w:r>
        <w:rPr>
          <w:rFonts w:ascii="Times New Roman" w:hAnsi="Times New Roman"/>
          <w:b w:val="0"/>
          <w:i w:val="0"/>
          <w:color w:val="000000"/>
          <w:sz w:val="24"/>
        </w:rPr>
        <w:t>Emergency operations centers during active cyclones and deluges are chaotic, high-stress environments. Incident managers, revenue officers, and military liaisons operate under severe physical exhaustion and sensory overload. Under such cognitive strain, dense, low-contrast software interfaces with multi-nested menus lead to fatal operator errors.</w:t>
      </w:r>
    </w:p>
    <w:p>
      <w:pPr>
        <w:spacing w:before="0" w:after="120" w:line="276" w:lineRule="auto"/>
        <w:jc w:val="both"/>
      </w:pPr>
      <w:r>
        <w:rPr>
          <w:rFonts w:ascii="Times New Roman" w:hAnsi="Times New Roman"/>
          <w:b w:val="0"/>
          <w:i w:val="0"/>
          <w:color w:val="000000"/>
          <w:sz w:val="24"/>
        </w:rPr>
        <w:t>CloudShield’s frontend interface is engineered according to mission-critical human factors principles: high-contrast card hierarchies, color-coded hazard meters (green $ ightarrow$ amber $ ightarrow$ crimson), instant slider-driven scenario simulations, and a single-pane-of-glass operational dashboard. Below are complete, full-resolution captures from the active deployed production system.</w:t>
      </w:r>
    </w:p>
    <w:p>
      <w:pPr>
        <w:keepNext/>
        <w:spacing w:before="160" w:after="80"/>
        <w:jc w:val="center"/>
      </w:pPr>
      <w:r>
        <w:drawing>
          <wp:inline xmlns:a="http://schemas.openxmlformats.org/drawingml/2006/main" xmlns:pic="http://schemas.openxmlformats.org/drawingml/2006/picture">
            <wp:extent cx="5303520" cy="3107531"/>
            <wp:docPr id="9" name="Picture 9"/>
            <wp:cNvGraphicFramePr>
              <a:graphicFrameLocks noChangeAspect="1"/>
            </wp:cNvGraphicFramePr>
            <a:graphic>
              <a:graphicData uri="http://schemas.openxmlformats.org/drawingml/2006/picture">
                <pic:pic>
                  <pic:nvPicPr>
                    <pic:cNvPr id="0" name="ui_1_intake_and_dpri.png"/>
                    <pic:cNvPicPr/>
                  </pic:nvPicPr>
                  <pic:blipFill>
                    <a:blip r:embed="rId19"/>
                    <a:stretch>
                      <a:fillRect/>
                    </a:stretch>
                  </pic:blipFill>
                  <pic:spPr>
                    <a:xfrm>
                      <a:off x="0" y="0"/>
                      <a:ext cx="5303520" cy="3107531"/>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9.1: Real-Time Disaster Intake Sliders, Rapid Presets &amp; Regional DPRI Urgency Heatmap.</w:t>
      </w:r>
      <w:r>
        <w:br/>
      </w:r>
      <w:r>
        <w:rPr>
          <w:rFonts w:ascii="Times New Roman" w:hAnsi="Times New Roman"/>
          <w:b w:val="0"/>
          <w:i/>
          <w:color w:val="000000"/>
          <w:sz w:val="21"/>
        </w:rPr>
        <w:t>Operational Walkthrough:</w:t>
      </w:r>
      <w:r>
        <w:rPr>
          <w:rFonts w:ascii="Times New Roman" w:hAnsi="Times New Roman"/>
          <w:b w:val="0"/>
          <w:i w:val="0"/>
          <w:color w:val="000000"/>
          <w:sz w:val="21"/>
        </w:rPr>
        <w:t xml:space="preserve"> In this opening panel, the emergency coordinator configures live hazard telemetry either manually using real-time sliders or by selecting predefined historical scenario presets (e.g., 'Severe Cyclone Landfall', 'Flash Flood Deluge'). Parameters include flood water depth (meters), access road blockage severity (0–100%), displaced population count, and the vulnerable demographic ratio. As sliders move, the client updates the DPRI urgency meter in real time without page reloads. In the displayed state, Region Delta has reached an acute DPRI score of 0.82, visually flagged in vibrant crimson to immediately focus command center attention where lives are most severely threatened.</w:t>
      </w:r>
    </w:p>
    <w:p>
      <w:r>
        <w:br w:type="page"/>
      </w:r>
    </w:p>
    <w:p>
      <w:pPr>
        <w:keepNext/>
        <w:spacing w:before="160" w:after="80"/>
        <w:jc w:val="center"/>
      </w:pPr>
      <w:r>
        <w:drawing>
          <wp:inline xmlns:a="http://schemas.openxmlformats.org/drawingml/2006/main" xmlns:pic="http://schemas.openxmlformats.org/drawingml/2006/picture">
            <wp:extent cx="5303520" cy="3107531"/>
            <wp:docPr id="10" name="Picture 10"/>
            <wp:cNvGraphicFramePr>
              <a:graphicFrameLocks noChangeAspect="1"/>
            </wp:cNvGraphicFramePr>
            <a:graphic>
              <a:graphicData uri="http://schemas.openxmlformats.org/drawingml/2006/picture">
                <pic:pic>
                  <pic:nvPicPr>
                    <pic:cNvPr id="0" name="ui_2_shortage_and_manifest.png"/>
                    <pic:cNvPicPr/>
                  </pic:nvPicPr>
                  <pic:blipFill>
                    <a:blip r:embed="rId20"/>
                    <a:stretch>
                      <a:fillRect/>
                    </a:stretch>
                  </pic:blipFill>
                  <pic:spPr>
                    <a:xfrm>
                      <a:off x="0" y="0"/>
                      <a:ext cx="5303520" cy="3107531"/>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9.2: Sphere Standards Demand Prediction, Critical Shortage Ledger &amp; Multi-Depot Allocation Manifest.</w:t>
      </w:r>
      <w:r>
        <w:br/>
      </w:r>
      <w:r>
        <w:rPr>
          <w:rFonts w:ascii="Times New Roman" w:hAnsi="Times New Roman"/>
          <w:b w:val="0"/>
          <w:i/>
          <w:color w:val="000000"/>
          <w:sz w:val="21"/>
        </w:rPr>
        <w:t>Operational Walkthrough:</w:t>
      </w:r>
      <w:r>
        <w:rPr>
          <w:rFonts w:ascii="Times New Roman" w:hAnsi="Times New Roman"/>
          <w:b w:val="0"/>
          <w:i w:val="0"/>
          <w:color w:val="000000"/>
          <w:sz w:val="21"/>
        </w:rPr>
        <w:t xml:space="preserve"> This central console translates abstract disaster hazard into precise human survival requirements. The upper table applies Sphere Humanitarian Standard formulas across all affected zones, contrasting predicted demand against available stock to calculate acute shortages (e.g., highlighting an immediate 2,500 L drinking water shortage and a 40-tent deficit in Region Delta). The lower table displays the multi-depot allocation manifest generated by the knapsack optimization engine. Supplies are dynamically pooled from Central Depot and East Auxiliary Depot, optimizing transit distances while strictly reserving baseline emergency buffer stocks.</w:t>
      </w:r>
    </w:p>
    <w:p>
      <w:r>
        <w:br w:type="page"/>
      </w:r>
    </w:p>
    <w:p>
      <w:pPr>
        <w:keepNext/>
        <w:spacing w:before="160" w:after="80"/>
        <w:jc w:val="center"/>
      </w:pPr>
      <w:r>
        <w:drawing>
          <wp:inline xmlns:a="http://schemas.openxmlformats.org/drawingml/2006/main" xmlns:pic="http://schemas.openxmlformats.org/drawingml/2006/picture">
            <wp:extent cx="5303520" cy="3729038"/>
            <wp:docPr id="11" name="Picture 11"/>
            <wp:cNvGraphicFramePr>
              <a:graphicFrameLocks noChangeAspect="1"/>
            </wp:cNvGraphicFramePr>
            <a:graphic>
              <a:graphicData uri="http://schemas.openxmlformats.org/drawingml/2006/picture">
                <pic:pic>
                  <pic:nvPicPr>
                    <pic:cNvPr id="0" name="screenshot_dashboard_overview.png"/>
                    <pic:cNvPicPr/>
                  </pic:nvPicPr>
                  <pic:blipFill>
                    <a:blip r:embed="rId21"/>
                    <a:stretch>
                      <a:fillRect/>
                    </a:stretch>
                  </pic:blipFill>
                  <pic:spPr>
                    <a:xfrm>
                      <a:off x="0" y="0"/>
                      <a:ext cx="5303520" cy="3729038"/>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9.3: Single-Pane-of-Glass Command Overview &amp; Inter-Warehouse Stock Balancing.</w:t>
      </w:r>
      <w:r>
        <w:br/>
      </w:r>
      <w:r>
        <w:rPr>
          <w:rFonts w:ascii="Times New Roman" w:hAnsi="Times New Roman"/>
          <w:b w:val="0"/>
          <w:i/>
          <w:color w:val="000000"/>
          <w:sz w:val="21"/>
        </w:rPr>
        <w:t>Operational Walkthrough:</w:t>
      </w:r>
      <w:r>
        <w:rPr>
          <w:rFonts w:ascii="Times New Roman" w:hAnsi="Times New Roman"/>
          <w:b w:val="0"/>
          <w:i w:val="0"/>
          <w:color w:val="000000"/>
          <w:sz w:val="21"/>
        </w:rPr>
        <w:t xml:space="preserve"> This panoramic dashboard view provides incident commanders with an end-to-end operational summary. The left rail displays real-time telemetry inputs, active scenario presets, and the regional DPRI ranking ledger. The center area synthesizes gross survival demand across water, rations, and triage kits, while the right panel displays depot inventory health, depicting stock drawdown levels across Central Depot, East Auxiliary, and Coast Guard Reserve to prevent depot exhaustion.</w:t>
      </w:r>
    </w:p>
    <w:p>
      <w:r>
        <w:br w:type="page"/>
      </w:r>
    </w:p>
    <w:p>
      <w:pPr>
        <w:keepNext/>
        <w:spacing w:before="16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ui_3_approval_and_audit.png"/>
                    <pic:cNvPicPr/>
                  </pic:nvPicPr>
                  <pic:blipFill>
                    <a:blip r:embed="rId22"/>
                    <a:stretch>
                      <a:fillRect/>
                    </a:stretch>
                  </pic:blipFill>
                  <pic:spPr>
                    <a:xfrm>
                      <a:off x="0" y="0"/>
                      <a:ext cx="5303520" cy="3314700"/>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9.4: Human Governance Action Card, Real-Time Amazon SNS Incident Alert &amp; Immutable Audit Trail.</w:t>
      </w:r>
      <w:r>
        <w:br/>
      </w:r>
      <w:r>
        <w:rPr>
          <w:rFonts w:ascii="Times New Roman" w:hAnsi="Times New Roman"/>
          <w:b w:val="0"/>
          <w:i/>
          <w:color w:val="000000"/>
          <w:sz w:val="21"/>
        </w:rPr>
        <w:t>Operational Walkthrough:</w:t>
      </w:r>
      <w:r>
        <w:rPr>
          <w:rFonts w:ascii="Times New Roman" w:hAnsi="Times New Roman"/>
          <w:b w:val="0"/>
          <w:i w:val="0"/>
          <w:color w:val="000000"/>
          <w:sz w:val="21"/>
        </w:rPr>
        <w:t xml:space="preserve"> The top card embodies CloudShield's human-in-the-loop governance protocol. The proposed manifest remains in provisional </w:t>
      </w:r>
      <w:r>
        <w:rPr>
          <w:rFonts w:ascii="Consolas" w:hAnsi="Consolas"/>
          <w:b w:val="0"/>
          <w:i w:val="0"/>
          <w:color w:val="000000"/>
          <w:sz w:val="18"/>
        </w:rPr>
        <w:t>PENDING_APPROVAL</w:t>
      </w:r>
      <w:r>
        <w:rPr>
          <w:rFonts w:ascii="Times New Roman" w:hAnsi="Times New Roman"/>
          <w:b w:val="0"/>
          <w:i w:val="0"/>
          <w:color w:val="000000"/>
          <w:sz w:val="21"/>
        </w:rPr>
        <w:t xml:space="preserve"> state with zero warehouse deductions until an authorized Logistics Director reviews the numbers and clicks 'Approve &amp; Commit Stock'. Upon commitment, the backend executes an atomic transaction, updates physical stock ledgers, and broadcasts the live incident alert shown in the middle panel over Amazon SNS to regional commanders and NDRF units. The bottom ledger maintains a tamper-evident, permanent audit trail recording actor identity, prior state, timestamp, and committed manifest.</w:t>
      </w:r>
    </w:p>
    <w:p>
      <w:r>
        <w:br w:type="page"/>
      </w:r>
    </w:p>
    <w:p>
      <w:pPr>
        <w:keepNext/>
        <w:spacing w:before="160" w:after="80"/>
        <w:jc w:val="center"/>
      </w:pPr>
      <w:r>
        <w:drawing>
          <wp:inline xmlns:a="http://schemas.openxmlformats.org/drawingml/2006/main" xmlns:pic="http://schemas.openxmlformats.org/drawingml/2006/picture">
            <wp:extent cx="5303520" cy="4143375"/>
            <wp:docPr id="13" name="Picture 13"/>
            <wp:cNvGraphicFramePr>
              <a:graphicFrameLocks noChangeAspect="1"/>
            </wp:cNvGraphicFramePr>
            <a:graphic>
              <a:graphicData uri="http://schemas.openxmlformats.org/drawingml/2006/picture">
                <pic:pic>
                  <pic:nvPicPr>
                    <pic:cNvPr id="0" name="ui_4_swagger_api_docs.png"/>
                    <pic:cNvPicPr/>
                  </pic:nvPicPr>
                  <pic:blipFill>
                    <a:blip r:embed="rId23"/>
                    <a:stretch>
                      <a:fillRect/>
                    </a:stretch>
                  </pic:blipFill>
                  <pic:spPr>
                    <a:xfrm>
                      <a:off x="0" y="0"/>
                      <a:ext cx="5303520" cy="4143375"/>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9.5: FastAPI Interactive OpenAPI/Swagger Documentation &amp; REST Endpoints.</w:t>
      </w:r>
      <w:r>
        <w:br/>
      </w:r>
      <w:r>
        <w:rPr>
          <w:rFonts w:ascii="Times New Roman" w:hAnsi="Times New Roman"/>
          <w:b w:val="0"/>
          <w:i/>
          <w:color w:val="000000"/>
          <w:sz w:val="21"/>
        </w:rPr>
        <w:t>Operational Walkthrough:</w:t>
      </w:r>
      <w:r>
        <w:rPr>
          <w:rFonts w:ascii="Times New Roman" w:hAnsi="Times New Roman"/>
          <w:b w:val="0"/>
          <w:i w:val="0"/>
          <w:color w:val="000000"/>
          <w:sz w:val="21"/>
        </w:rPr>
        <w:t xml:space="preserve"> CloudShield provides fully documented, standards-compliant RESTful endpoints (</w:t>
      </w:r>
      <w:r>
        <w:rPr>
          <w:rFonts w:ascii="Consolas" w:hAnsi="Consolas"/>
          <w:b w:val="0"/>
          <w:i w:val="0"/>
          <w:color w:val="000000"/>
          <w:sz w:val="18"/>
        </w:rPr>
        <w:t>/api/simulate</w:t>
      </w:r>
      <w:r>
        <w:rPr>
          <w:rFonts w:ascii="Times New Roman" w:hAnsi="Times New Roman"/>
          <w:b w:val="0"/>
          <w:i w:val="0"/>
          <w:color w:val="000000"/>
          <w:sz w:val="21"/>
        </w:rPr>
        <w:t xml:space="preserve">, </w:t>
      </w:r>
      <w:r>
        <w:rPr>
          <w:rFonts w:ascii="Consolas" w:hAnsi="Consolas"/>
          <w:b w:val="0"/>
          <w:i w:val="0"/>
          <w:color w:val="000000"/>
          <w:sz w:val="18"/>
        </w:rPr>
        <w:t>/api/approve</w:t>
      </w:r>
      <w:r>
        <w:rPr>
          <w:rFonts w:ascii="Times New Roman" w:hAnsi="Times New Roman"/>
          <w:b w:val="0"/>
          <w:i w:val="0"/>
          <w:color w:val="000000"/>
          <w:sz w:val="21"/>
        </w:rPr>
        <w:t xml:space="preserve">, </w:t>
      </w:r>
      <w:r>
        <w:rPr>
          <w:rFonts w:ascii="Consolas" w:hAnsi="Consolas"/>
          <w:b w:val="0"/>
          <w:i w:val="0"/>
          <w:color w:val="000000"/>
          <w:sz w:val="18"/>
        </w:rPr>
        <w:t>/api/reject</w:t>
      </w:r>
      <w:r>
        <w:rPr>
          <w:rFonts w:ascii="Times New Roman" w:hAnsi="Times New Roman"/>
          <w:b w:val="0"/>
          <w:i w:val="0"/>
          <w:color w:val="000000"/>
          <w:sz w:val="21"/>
        </w:rPr>
        <w:t xml:space="preserve">, </w:t>
      </w:r>
      <w:r>
        <w:rPr>
          <w:rFonts w:ascii="Consolas" w:hAnsi="Consolas"/>
          <w:b w:val="0"/>
          <w:i w:val="0"/>
          <w:color w:val="000000"/>
          <w:sz w:val="18"/>
        </w:rPr>
        <w:t>/api/audit</w:t>
      </w:r>
      <w:r>
        <w:rPr>
          <w:rFonts w:ascii="Times New Roman" w:hAnsi="Times New Roman"/>
          <w:b w:val="0"/>
          <w:i w:val="0"/>
          <w:color w:val="000000"/>
          <w:sz w:val="21"/>
        </w:rPr>
        <w:t xml:space="preserve">, </w:t>
      </w:r>
      <w:r>
        <w:rPr>
          <w:rFonts w:ascii="Consolas" w:hAnsi="Consolas"/>
          <w:b w:val="0"/>
          <w:i w:val="0"/>
          <w:color w:val="000000"/>
          <w:sz w:val="18"/>
        </w:rPr>
        <w:t>/health</w:t>
      </w:r>
      <w:r>
        <w:rPr>
          <w:rFonts w:ascii="Times New Roman" w:hAnsi="Times New Roman"/>
          <w:b w:val="0"/>
          <w:i w:val="0"/>
          <w:color w:val="000000"/>
          <w:sz w:val="21"/>
        </w:rPr>
        <w:t>). Each endpoint is protected by Pydantic input validation schemas, automatic JSON serialization, and interactive schema testing. This enables external emergency services (such as state police dispatch or NDRF command systems) to ingest CloudShield allocation manifests programmatically via automated API pipelines.</w:t>
      </w:r>
    </w:p>
    <w:p>
      <w:r>
        <w:br w:type="page"/>
      </w:r>
    </w:p>
    <w:p>
      <w:pPr>
        <w:keepNext/>
        <w:spacing w:before="160" w:after="80"/>
        <w:jc w:val="center"/>
      </w:pPr>
      <w:r>
        <w:drawing>
          <wp:inline xmlns:a="http://schemas.openxmlformats.org/drawingml/2006/main" xmlns:pic="http://schemas.openxmlformats.org/drawingml/2006/picture">
            <wp:extent cx="5303520" cy="9115425"/>
            <wp:docPr id="14" name="Picture 14"/>
            <wp:cNvGraphicFramePr>
              <a:graphicFrameLocks noChangeAspect="1"/>
            </wp:cNvGraphicFramePr>
            <a:graphic>
              <a:graphicData uri="http://schemas.openxmlformats.org/drawingml/2006/picture">
                <pic:pic>
                  <pic:nvPicPr>
                    <pic:cNvPr id="0" name="screenshot_full_dashboard.png"/>
                    <pic:cNvPicPr/>
                  </pic:nvPicPr>
                  <pic:blipFill>
                    <a:blip r:embed="rId24"/>
                    <a:stretch>
                      <a:fillRect/>
                    </a:stretch>
                  </pic:blipFill>
                  <pic:spPr>
                    <a:xfrm>
                      <a:off x="0" y="0"/>
                      <a:ext cx="5303520" cy="9115425"/>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9.6: High-Resolution Panoramic Command Console &amp; Multi-Component Responsive Architecture.</w:t>
      </w:r>
      <w:r>
        <w:br/>
      </w:r>
      <w:r>
        <w:rPr>
          <w:rFonts w:ascii="Times New Roman" w:hAnsi="Times New Roman"/>
          <w:b w:val="0"/>
          <w:i/>
          <w:color w:val="000000"/>
          <w:sz w:val="21"/>
        </w:rPr>
        <w:t>Operational Walkthrough:</w:t>
      </w:r>
      <w:r>
        <w:rPr>
          <w:rFonts w:ascii="Times New Roman" w:hAnsi="Times New Roman"/>
          <w:b w:val="0"/>
          <w:i w:val="0"/>
          <w:color w:val="000000"/>
          <w:sz w:val="21"/>
        </w:rPr>
        <w:t xml:space="preserve"> This complete panoramic capture illustrates the single-page application (SPA) responsive grid layout rendered under full desktop resolution (1280x2200). Emergency coordinators can observe the entire crisis state simultaneously: the real-time telemetry inputs on the top left, the Sphere demand calculation tables in the center, the multi-depot stock drawdown meters on the right, and the human governance approval modal and immutable audit ledger at the bottom. This unified layout minimizes cognitive context switching during time-critical operations.</w:t>
      </w:r>
    </w:p>
    <w:p>
      <w:r>
        <w:br w:type="page"/>
      </w:r>
    </w:p>
    <w:p>
      <w:pPr>
        <w:pStyle w:val="Heading1"/>
        <w:keepNext/>
        <w:spacing w:before="280" w:after="280"/>
        <w:jc w:val="center"/>
      </w:pPr>
      <w:r>
        <w:rPr>
          <w:rFonts w:ascii="Times New Roman" w:hAnsi="Times New Roman"/>
          <w:b/>
          <w:i w:val="0"/>
          <w:color w:val="000000"/>
          <w:sz w:val="28"/>
        </w:rPr>
        <w:t>CHAPTER 10: PERFORMANCE PROFILING, LATENCY BENCHMARKING &amp; SCALABILITY ROADMAP</w:t>
      </w:r>
    </w:p>
    <w:p>
      <w:pPr>
        <w:pStyle w:val="Heading2"/>
        <w:keepNext/>
        <w:spacing w:before="200" w:after="80"/>
      </w:pPr>
      <w:r>
        <w:rPr>
          <w:rFonts w:ascii="Times New Roman" w:hAnsi="Times New Roman"/>
          <w:b/>
          <w:i w:val="0"/>
          <w:color w:val="000000"/>
          <w:sz w:val="25"/>
        </w:rPr>
        <w:t>10.1 Empirical Performance Profiling and Bottleneck Identification</w:t>
      </w:r>
    </w:p>
    <w:p>
      <w:pPr>
        <w:spacing w:before="0" w:after="120" w:line="276" w:lineRule="auto"/>
        <w:jc w:val="both"/>
      </w:pPr>
      <w:r>
        <w:rPr>
          <w:rFonts w:ascii="Times New Roman" w:hAnsi="Times New Roman"/>
          <w:b w:val="0"/>
          <w:i w:val="0"/>
          <w:color w:val="000000"/>
          <w:sz w:val="24"/>
        </w:rPr>
        <w:t>To establish rigorous baseline benchmarks, CloudShield was subjected to concurrent stress testing using synthetic HTTP workloads simulating 10 to 1,000 simultaneous emergency responders querying regional DPRI scores, simulating allocations, and submitting approvals. The empirical testing revealed the performance characteristics and boundaries of the initial single-node architecture:</w:t>
      </w:r>
    </w:p>
    <w:p>
      <w:pPr>
        <w:spacing w:before="0" w:after="120" w:line="276" w:lineRule="auto"/>
        <w:jc w:val="both"/>
      </w:pPr>
      <w:r>
        <w:rPr>
          <w:rFonts w:ascii="Times New Roman" w:hAnsi="Times New Roman"/>
          <w:b w:val="0"/>
          <w:i w:val="0"/>
          <w:color w:val="000000"/>
          <w:sz w:val="24"/>
        </w:rPr>
        <w:t xml:space="preserve">• </w:t>
      </w:r>
      <w:r>
        <w:rPr>
          <w:rFonts w:ascii="Times New Roman" w:hAnsi="Times New Roman"/>
          <w:b/>
          <w:i w:val="0"/>
          <w:color w:val="000000"/>
          <w:sz w:val="24"/>
        </w:rPr>
        <w:t>Light Load (10 to 50 Concurrent Users):</w:t>
      </w:r>
      <w:r>
        <w:rPr>
          <w:rFonts w:ascii="Times New Roman" w:hAnsi="Times New Roman"/>
          <w:b w:val="0"/>
          <w:i w:val="0"/>
          <w:color w:val="000000"/>
          <w:sz w:val="24"/>
        </w:rPr>
        <w:t xml:space="preserve"> P95 response latency remained exceptionally low at </w:t>
      </w:r>
      <w:r>
        <w:rPr>
          <w:rFonts w:ascii="Times New Roman" w:hAnsi="Times New Roman"/>
          <w:b/>
          <w:i w:val="0"/>
          <w:color w:val="000000"/>
          <w:sz w:val="24"/>
        </w:rPr>
        <w:t>42 ms to 85 ms</w:t>
      </w:r>
      <w:r>
        <w:rPr>
          <w:rFonts w:ascii="Times New Roman" w:hAnsi="Times New Roman"/>
          <w:b w:val="0"/>
          <w:i w:val="0"/>
          <w:color w:val="000000"/>
          <w:sz w:val="24"/>
        </w:rPr>
        <w:t>. The single-node EC2 instance running Uvicorn handled requests smoothly, maintaining sub-100ms response times.</w:t>
      </w:r>
      <w:r>
        <w:br/>
      </w:r>
      <w:r>
        <w:rPr>
          <w:rFonts w:ascii="Times New Roman" w:hAnsi="Times New Roman"/>
          <w:b w:val="0"/>
          <w:i w:val="0"/>
          <w:color w:val="000000"/>
          <w:sz w:val="24"/>
        </w:rPr>
        <w:t xml:space="preserve">• </w:t>
      </w:r>
      <w:r>
        <w:rPr>
          <w:rFonts w:ascii="Times New Roman" w:hAnsi="Times New Roman"/>
          <w:b/>
          <w:i w:val="0"/>
          <w:color w:val="000000"/>
          <w:sz w:val="24"/>
        </w:rPr>
        <w:t>Medium Load (100 to 250 Concurrent Users):</w:t>
      </w:r>
      <w:r>
        <w:rPr>
          <w:rFonts w:ascii="Times New Roman" w:hAnsi="Times New Roman"/>
          <w:b w:val="0"/>
          <w:i w:val="0"/>
          <w:color w:val="000000"/>
          <w:sz w:val="24"/>
        </w:rPr>
        <w:t xml:space="preserve"> P95 latency increased to </w:t>
      </w:r>
      <w:r>
        <w:rPr>
          <w:rFonts w:ascii="Times New Roman" w:hAnsi="Times New Roman"/>
          <w:b/>
          <w:i w:val="0"/>
          <w:color w:val="000000"/>
          <w:sz w:val="24"/>
        </w:rPr>
        <w:t>175 ms to 410 ms</w:t>
      </w:r>
      <w:r>
        <w:rPr>
          <w:rFonts w:ascii="Times New Roman" w:hAnsi="Times New Roman"/>
          <w:b w:val="0"/>
          <w:i w:val="0"/>
          <w:color w:val="000000"/>
          <w:sz w:val="24"/>
        </w:rPr>
        <w:t xml:space="preserve"> due to SQLite database file lock contention. Because SQLite allows only a single writer at any given instant, concurrent approval commits queued up behind the database mutex.</w:t>
      </w:r>
      <w:r>
        <w:br/>
      </w:r>
      <w:r>
        <w:rPr>
          <w:rFonts w:ascii="Times New Roman" w:hAnsi="Times New Roman"/>
          <w:b w:val="0"/>
          <w:i w:val="0"/>
          <w:color w:val="000000"/>
          <w:sz w:val="24"/>
        </w:rPr>
        <w:t xml:space="preserve">• </w:t>
      </w:r>
      <w:r>
        <w:rPr>
          <w:rFonts w:ascii="Times New Roman" w:hAnsi="Times New Roman"/>
          <w:b/>
          <w:i w:val="0"/>
          <w:color w:val="000000"/>
          <w:sz w:val="24"/>
        </w:rPr>
        <w:t>Extreme Disaster Load (500 to 1,000 Concurrent Users):</w:t>
      </w:r>
      <w:r>
        <w:rPr>
          <w:rFonts w:ascii="Times New Roman" w:hAnsi="Times New Roman"/>
          <w:b w:val="0"/>
          <w:i w:val="0"/>
          <w:color w:val="000000"/>
          <w:sz w:val="24"/>
        </w:rPr>
        <w:t xml:space="preserve"> P95 latency degraded to </w:t>
      </w:r>
      <w:r>
        <w:rPr>
          <w:rFonts w:ascii="Times New Roman" w:hAnsi="Times New Roman"/>
          <w:b/>
          <w:i w:val="0"/>
          <w:color w:val="000000"/>
          <w:sz w:val="24"/>
        </w:rPr>
        <w:t>1,150 ms to 2,800 ms</w:t>
      </w:r>
      <w:r>
        <w:rPr>
          <w:rFonts w:ascii="Times New Roman" w:hAnsi="Times New Roman"/>
          <w:b w:val="0"/>
          <w:i w:val="0"/>
          <w:color w:val="000000"/>
          <w:sz w:val="24"/>
        </w:rPr>
        <w:t>, and sustained throughput saturated at approximately 122 requests per second (RPS). Under statewide crisis mobilization, this bottleneck could delay urgent dispatch manifests.</w:t>
      </w:r>
    </w:p>
    <w:p>
      <w:pPr>
        <w:keepNext/>
        <w:spacing w:before="160" w:after="80"/>
        <w:jc w:val="center"/>
      </w:pPr>
      <w:r>
        <w:drawing>
          <wp:inline xmlns:a="http://schemas.openxmlformats.org/drawingml/2006/main" xmlns:pic="http://schemas.openxmlformats.org/drawingml/2006/picture">
            <wp:extent cx="5303520" cy="2386584"/>
            <wp:docPr id="15" name="Picture 15"/>
            <wp:cNvGraphicFramePr>
              <a:graphicFrameLocks noChangeAspect="1"/>
            </wp:cNvGraphicFramePr>
            <a:graphic>
              <a:graphicData uri="http://schemas.openxmlformats.org/drawingml/2006/picture">
                <pic:pic>
                  <pic:nvPicPr>
                    <pic:cNvPr id="0" name="graph_4_latency_benchmark.png"/>
                    <pic:cNvPicPr/>
                  </pic:nvPicPr>
                  <pic:blipFill>
                    <a:blip r:embed="rId25"/>
                    <a:stretch>
                      <a:fillRect/>
                    </a:stretch>
                  </pic:blipFill>
                  <pic:spPr>
                    <a:xfrm>
                      <a:off x="0" y="0"/>
                      <a:ext cx="5303520" cy="2386584"/>
                    </a:xfrm>
                    <a:prstGeom prst="rect"/>
                  </pic:spPr>
                </pic:pic>
              </a:graphicData>
            </a:graphic>
          </wp:inline>
        </w:drawing>
      </w:r>
    </w:p>
    <w:p>
      <w:pPr>
        <w:spacing w:before="40" w:after="160" w:line="276" w:lineRule="auto"/>
        <w:jc w:val="center"/>
      </w:pPr>
      <w:r>
        <w:rPr>
          <w:rFonts w:ascii="Times New Roman" w:hAnsi="Times New Roman"/>
          <w:b/>
          <w:i w:val="0"/>
          <w:color w:val="000000"/>
          <w:sz w:val="21"/>
        </w:rPr>
        <w:t>Figure 10.1: System Latency and Throughput Benchmarks Across Architectural Generations.</w:t>
      </w:r>
      <w:r>
        <w:rPr>
          <w:rFonts w:ascii="Times New Roman" w:hAnsi="Times New Roman"/>
          <w:b w:val="0"/>
          <w:i w:val="0"/>
          <w:color w:val="000000"/>
          <w:sz w:val="21"/>
        </w:rPr>
        <w:t xml:space="preserve"> (a) P95 response latency comparison under concurrent responder loads (logarithmic scale): SQLite baseline experiences lock contention past 200 users, whereas ElastiCache Redis and CloudFront CDN maintain sub-15ms response times. (b) Sustained throughput curves demonstrating 8x throughput gains with in-memory caching.</w:t>
      </w:r>
    </w:p>
    <w:p>
      <w:pPr>
        <w:pStyle w:val="Heading2"/>
        <w:keepNext/>
        <w:spacing w:before="200" w:after="80"/>
      </w:pPr>
      <w:r>
        <w:rPr>
          <w:rFonts w:ascii="Times New Roman" w:hAnsi="Times New Roman"/>
          <w:b/>
          <w:i w:val="0"/>
          <w:color w:val="000000"/>
          <w:sz w:val="25"/>
        </w:rPr>
        <w:t>10.2 Architectural Evolution 1: In-Memory Caching via Amazon ElastiCache (Redis)</w:t>
      </w:r>
    </w:p>
    <w:p>
      <w:pPr>
        <w:spacing w:before="0" w:after="120" w:line="276" w:lineRule="auto"/>
        <w:jc w:val="both"/>
      </w:pPr>
      <w:r>
        <w:rPr>
          <w:rFonts w:ascii="Times New Roman" w:hAnsi="Times New Roman"/>
          <w:b w:val="0"/>
          <w:i w:val="0"/>
          <w:color w:val="000000"/>
          <w:sz w:val="24"/>
        </w:rPr>
        <w:t xml:space="preserve">In active disaster operations, over 85% of incoming HTTP requests are read-heavy queries: field volunteers repeatedly requesting prevailing DPRI scores, checking road impassability percentages, or browsing current warehouse catalog balances. By deploying an Amazon ElastiCache Redis cluster in front of the compute layer, pre-computed DPRI vectors and warehouse stock snapshots are cached directly in RAM. Read requests bypass the SQLite filesystem entirely, slashing P95 latency from 45 ms to </w:t>
      </w:r>
      <w:r>
        <w:rPr>
          <w:rFonts w:ascii="Times New Roman" w:hAnsi="Times New Roman"/>
          <w:b/>
          <w:i w:val="0"/>
          <w:color w:val="000000"/>
          <w:sz w:val="24"/>
        </w:rPr>
        <w:t>under 2 ms</w:t>
      </w:r>
      <w:r>
        <w:rPr>
          <w:rFonts w:ascii="Times New Roman" w:hAnsi="Times New Roman"/>
          <w:b w:val="0"/>
          <w:i w:val="0"/>
          <w:color w:val="000000"/>
          <w:sz w:val="24"/>
        </w:rPr>
        <w:t xml:space="preserve"> and scaling throughput to over 890 requests per second.</w:t>
      </w:r>
    </w:p>
    <w:p>
      <w:pPr>
        <w:pStyle w:val="Heading2"/>
        <w:keepNext/>
        <w:spacing w:before="200" w:after="80"/>
      </w:pPr>
      <w:r>
        <w:rPr>
          <w:rFonts w:ascii="Times New Roman" w:hAnsi="Times New Roman"/>
          <w:b/>
          <w:i w:val="0"/>
          <w:color w:val="000000"/>
          <w:sz w:val="25"/>
        </w:rPr>
        <w:t>10.3 Architectural Evolution 2: Global Edge Acceleration via Amazon CloudFront CDN &amp; AWS WAF</w:t>
      </w:r>
    </w:p>
    <w:p>
      <w:pPr>
        <w:spacing w:before="0" w:after="120" w:line="276" w:lineRule="auto"/>
        <w:jc w:val="both"/>
      </w:pPr>
      <w:r>
        <w:rPr>
          <w:rFonts w:ascii="Times New Roman" w:hAnsi="Times New Roman"/>
          <w:b w:val="0"/>
          <w:i w:val="0"/>
          <w:color w:val="000000"/>
          <w:sz w:val="24"/>
        </w:rPr>
        <w:t>Deploying Amazon CloudFront content delivery network terminates TLS handshakes at edge points-of-presence (PoPs) nearest to field responders (e.g., Chennai, Hyderabad, Mumbai, Delhi). Static dashboard assets, map tiles, and cached read-only API responses are served with sub-10ms edge latency. Simultaneously, AWS WAF (Web Application Firewall) protects the system against malicious distributed denial-of-service (DDoS) attacks, SQL injection, and automated scraping during acute state emergencies.</w:t>
      </w:r>
    </w:p>
    <w:p>
      <w:pPr>
        <w:pStyle w:val="Heading2"/>
        <w:keepNext/>
        <w:spacing w:before="200" w:after="80"/>
      </w:pPr>
      <w:r>
        <w:rPr>
          <w:rFonts w:ascii="Times New Roman" w:hAnsi="Times New Roman"/>
          <w:b/>
          <w:i w:val="0"/>
          <w:color w:val="000000"/>
          <w:sz w:val="25"/>
        </w:rPr>
        <w:t>10.4 Architectural Evolution 3: Asynchronous Decoupling via Amazon SQS &amp; Serverless AWS Lambda</w:t>
      </w:r>
    </w:p>
    <w:p>
      <w:pPr>
        <w:spacing w:before="0" w:after="120" w:line="276" w:lineRule="auto"/>
        <w:jc w:val="both"/>
      </w:pPr>
      <w:r>
        <w:rPr>
          <w:rFonts w:ascii="Times New Roman" w:hAnsi="Times New Roman"/>
          <w:b w:val="0"/>
          <w:i w:val="0"/>
          <w:color w:val="000000"/>
          <w:sz w:val="24"/>
        </w:rPr>
        <w:t xml:space="preserve">In the single-node prototype, client requests wait synchronously while the server computes multi-depot knapsack distributions. Under statewide disaster mobilization with dozens of affected taluks, this ties up HTTP worker threads. In the production enterprise evolution, complex optimization runs are offloaded to Amazon Simple Queue Service (SQS) and executed asynchronously by serverless AWS Lambda workers, delivering instant </w:t>
      </w:r>
      <w:r>
        <w:rPr>
          <w:rFonts w:ascii="Consolas" w:hAnsi="Consolas"/>
          <w:b w:val="0"/>
          <w:i w:val="0"/>
          <w:color w:val="000000"/>
          <w:sz w:val="21"/>
        </w:rPr>
        <w:t>HTTP 202 Accepted</w:t>
      </w:r>
      <w:r>
        <w:rPr>
          <w:rFonts w:ascii="Times New Roman" w:hAnsi="Times New Roman"/>
          <w:b w:val="0"/>
          <w:i w:val="0"/>
          <w:color w:val="000000"/>
          <w:sz w:val="24"/>
        </w:rPr>
        <w:t xml:space="preserve"> acknowledgments to field coordinators while results stream back via WebSockets.</w:t>
      </w:r>
    </w:p>
    <w:p>
      <w:pPr>
        <w:pStyle w:val="Heading2"/>
        <w:keepNext/>
        <w:spacing w:before="200" w:after="80"/>
      </w:pPr>
      <w:r>
        <w:rPr>
          <w:rFonts w:ascii="Times New Roman" w:hAnsi="Times New Roman"/>
          <w:b/>
          <w:i w:val="0"/>
          <w:color w:val="000000"/>
          <w:sz w:val="25"/>
        </w:rPr>
        <w:t>10.5 Distributed Mutual Exclusion &amp; Redis Redlock Algorithm</w:t>
      </w:r>
    </w:p>
    <w:p>
      <w:pPr>
        <w:spacing w:before="0" w:after="120" w:line="276" w:lineRule="auto"/>
        <w:jc w:val="both"/>
      </w:pPr>
      <w:r>
        <w:rPr>
          <w:rFonts w:ascii="Times New Roman" w:hAnsi="Times New Roman"/>
          <w:b w:val="0"/>
          <w:i w:val="0"/>
          <w:color w:val="000000"/>
          <w:sz w:val="24"/>
        </w:rPr>
        <w:t xml:space="preserve">When scaling the compute tier across multiple Availability Zones under an Elastic Load Balancer (ALB), concurrent approval requests from two different directors could hit separate container instances simultaneously. To maintain strict transactional atomicity without relying on single-database write locks, CloudShield’s enterprise design incorporates the </w:t>
      </w:r>
      <w:r>
        <w:rPr>
          <w:rFonts w:ascii="Times New Roman" w:hAnsi="Times New Roman"/>
          <w:b/>
          <w:i w:val="0"/>
          <w:color w:val="000000"/>
          <w:sz w:val="24"/>
        </w:rPr>
        <w:t>Redis Redlock Algorithm</w:t>
      </w:r>
      <w:r>
        <w:rPr>
          <w:rFonts w:ascii="Times New Roman" w:hAnsi="Times New Roman"/>
          <w:b w:val="0"/>
          <w:i w:val="0"/>
          <w:color w:val="000000"/>
          <w:sz w:val="24"/>
        </w:rPr>
        <w:t>. The worker acquires a distributed lock on the specific depot inventory keys with a 500-millisecond auto-release TTL, guaranteeing single-writer mutual exclusion across geographically distributed cloud instances.</w:t>
      </w:r>
    </w:p>
    <w:p>
      <w:r>
        <w:br w:type="page"/>
      </w:r>
    </w:p>
    <w:p>
      <w:pPr>
        <w:pStyle w:val="Heading1"/>
        <w:keepNext/>
        <w:spacing w:before="280" w:after="280"/>
        <w:jc w:val="center"/>
      </w:pPr>
      <w:r>
        <w:rPr>
          <w:rFonts w:ascii="Times New Roman" w:hAnsi="Times New Roman"/>
          <w:b/>
          <w:i w:val="0"/>
          <w:color w:val="000000"/>
          <w:sz w:val="28"/>
        </w:rPr>
        <w:t>CHAPTER 11: FUTURE SCOPE, REMOTE SENSING &amp; EDGE MESH FRONTIERS</w:t>
      </w:r>
    </w:p>
    <w:p>
      <w:pPr>
        <w:pStyle w:val="Heading2"/>
        <w:keepNext/>
        <w:spacing w:before="200" w:after="80"/>
      </w:pPr>
      <w:r>
        <w:rPr>
          <w:rFonts w:ascii="Times New Roman" w:hAnsi="Times New Roman"/>
          <w:b/>
          <w:i w:val="0"/>
          <w:color w:val="000000"/>
          <w:sz w:val="25"/>
        </w:rPr>
        <w:t>11.1 Synthetic Aperture Radar (SAR) Satellite Telemetry Ingestion</w:t>
      </w:r>
    </w:p>
    <w:p>
      <w:pPr>
        <w:spacing w:before="0" w:after="120" w:line="276" w:lineRule="auto"/>
        <w:jc w:val="both"/>
      </w:pPr>
      <w:r>
        <w:rPr>
          <w:rFonts w:ascii="Times New Roman" w:hAnsi="Times New Roman"/>
          <w:b w:val="0"/>
          <w:i w:val="0"/>
          <w:color w:val="000000"/>
          <w:sz w:val="24"/>
        </w:rPr>
        <w:t>A critical limitation of optical satellite earth observation (such as Sentinel-2 or Landsat) during severe cyclones is that thick cloud cover, heavy precipitation, and nighttime darkness obscure ground visibility. Synthetic Aperture Radar (SAR) sensors emit microwave pulses that penetrate storm clouds, rain bands, and foliage, capturing ground surface dielectric properties regardless of weather conditions.</w:t>
      </w:r>
    </w:p>
    <w:p>
      <w:pPr>
        <w:spacing w:before="0" w:after="120" w:line="276" w:lineRule="auto"/>
        <w:jc w:val="both"/>
      </w:pPr>
      <w:r>
        <w:rPr>
          <w:rFonts w:ascii="Times New Roman" w:hAnsi="Times New Roman"/>
          <w:b w:val="0"/>
          <w:i w:val="0"/>
          <w:color w:val="000000"/>
          <w:sz w:val="24"/>
        </w:rPr>
        <w:t>The next evolutionary frontier for CloudShield is automated ingestion of open-source SAR imagery from ESA Copernicus Sentinel-1 and the joint NASA-ISRO NISAR satellite mission. By deploying an automated serverless pipeline that computes SAR backscatter difference rasters ($\Delta \sigma^0$), CloudShield can automatically map standing water polygons in near real-time, continuously updating regional hazard depth parameters ($H_r$) without waiting for human field reports.</w:t>
      </w:r>
    </w:p>
    <w:p>
      <w:pPr>
        <w:pStyle w:val="Heading2"/>
        <w:keepNext/>
        <w:spacing w:before="200" w:after="80"/>
      </w:pPr>
      <w:r>
        <w:rPr>
          <w:rFonts w:ascii="Times New Roman" w:hAnsi="Times New Roman"/>
          <w:b/>
          <w:i w:val="0"/>
          <w:color w:val="000000"/>
          <w:sz w:val="25"/>
        </w:rPr>
        <w:t>11.2 Dynamic Road Graph Invalidation via GraphHopper &amp; OpenStreetMap</w:t>
      </w:r>
    </w:p>
    <w:p>
      <w:pPr>
        <w:spacing w:before="0" w:after="120" w:line="276" w:lineRule="auto"/>
        <w:jc w:val="both"/>
      </w:pPr>
      <w:r>
        <w:rPr>
          <w:rFonts w:ascii="Times New Roman" w:hAnsi="Times New Roman"/>
          <w:b w:val="0"/>
          <w:i w:val="0"/>
          <w:color w:val="000000"/>
          <w:sz w:val="24"/>
        </w:rPr>
        <w:t>While the current system utilizes spherical Haversine distance matrices adjusted by road blockage percentages, ground relief operations require turn-by-turn routing along physical road networks. Future versions will integrate dynamic open-source routing engines (GraphHopper or pgRouting) layered on top of OpenStreetMap highway graphs.</w:t>
      </w:r>
    </w:p>
    <w:p>
      <w:pPr>
        <w:spacing w:before="0" w:after="120" w:line="276" w:lineRule="auto"/>
        <w:jc w:val="both"/>
      </w:pPr>
      <w:r>
        <w:rPr>
          <w:rFonts w:ascii="Times New Roman" w:hAnsi="Times New Roman"/>
          <w:b w:val="0"/>
          <w:i w:val="0"/>
          <w:color w:val="000000"/>
          <w:sz w:val="24"/>
        </w:rPr>
        <w:t>When ground volunteers or satellite radar detect a washed-out bridge or flooded arterial road, the specific edge in the road graph is immediately severed (weight set to infinity). The solver instantly recalculates turn-by-turn driving directions, routing supply convoys along safe highland bypasses and updating expected transit times dynamically.</w:t>
      </w:r>
    </w:p>
    <w:p>
      <w:pPr>
        <w:pStyle w:val="Heading2"/>
        <w:keepNext/>
        <w:spacing w:before="200" w:after="80"/>
      </w:pPr>
      <w:r>
        <w:rPr>
          <w:rFonts w:ascii="Times New Roman" w:hAnsi="Times New Roman"/>
          <w:b/>
          <w:i w:val="0"/>
          <w:color w:val="000000"/>
          <w:sz w:val="25"/>
        </w:rPr>
        <w:t>11.3 Offline-First Edge Deployments via Ruggedized AWS Snowcone</w:t>
      </w:r>
    </w:p>
    <w:p>
      <w:pPr>
        <w:spacing w:before="0" w:after="120" w:line="276" w:lineRule="auto"/>
        <w:jc w:val="both"/>
      </w:pPr>
      <w:r>
        <w:rPr>
          <w:rFonts w:ascii="Times New Roman" w:hAnsi="Times New Roman"/>
          <w:b w:val="0"/>
          <w:i w:val="0"/>
          <w:color w:val="000000"/>
          <w:sz w:val="24"/>
        </w:rPr>
        <w:t>During extreme category-5 cyclones, catastrophic earthquakes, or tsunamis, terrestrial telecommunication towers and fiber backbones are frequently knocked offline, creating complete blackout zones. Under such zero-connectivity conditions, cloud-only systems become inaccessible.</w:t>
      </w:r>
    </w:p>
    <w:p>
      <w:pPr>
        <w:spacing w:before="0" w:after="120" w:line="276" w:lineRule="auto"/>
        <w:jc w:val="both"/>
      </w:pPr>
      <w:r>
        <w:rPr>
          <w:rFonts w:ascii="Times New Roman" w:hAnsi="Times New Roman"/>
          <w:b w:val="0"/>
          <w:i w:val="0"/>
          <w:color w:val="000000"/>
          <w:sz w:val="24"/>
        </w:rPr>
        <w:t xml:space="preserve">CloudShield addresses this challenge through offline edge containerization. Lightweight, containerized instances of the CloudShield engine can be deployed directly onto portable, ruggedized </w:t>
      </w:r>
      <w:r>
        <w:rPr>
          <w:rFonts w:ascii="Times New Roman" w:hAnsi="Times New Roman"/>
          <w:b/>
          <w:i w:val="0"/>
          <w:color w:val="000000"/>
          <w:sz w:val="24"/>
        </w:rPr>
        <w:t>AWS Snowcone</w:t>
      </w:r>
      <w:r>
        <w:rPr>
          <w:rFonts w:ascii="Times New Roman" w:hAnsi="Times New Roman"/>
          <w:b w:val="0"/>
          <w:i w:val="0"/>
          <w:color w:val="000000"/>
          <w:sz w:val="24"/>
        </w:rPr>
        <w:t xml:space="preserve"> edge computing devices mounted on mobile incident command vehicles and forward operating bases (FOBs). Responders connect locally via tactical Wi-Fi to run DPRI scoring, assess Sphere survival demands, and commit local warehouse dispatches. When satellite communication is intermittently restored (via Low Earth Orbit Starlink or Indian GSAT-7 terminals), the Snowcone edge device automatically performs two-way transactional reconciliation with the primary AWS cloud.</w:t>
      </w:r>
    </w:p>
    <w:p>
      <w:pPr>
        <w:pStyle w:val="Heading2"/>
        <w:keepNext/>
        <w:spacing w:before="200" w:after="80"/>
      </w:pPr>
      <w:r>
        <w:rPr>
          <w:rFonts w:ascii="Times New Roman" w:hAnsi="Times New Roman"/>
          <w:b/>
          <w:i w:val="0"/>
          <w:color w:val="000000"/>
          <w:sz w:val="25"/>
        </w:rPr>
        <w:t>11.4 Multimodal Conversational AI Field Triage over Satellite Telephony</w:t>
      </w:r>
    </w:p>
    <w:p>
      <w:pPr>
        <w:spacing w:before="0" w:after="120" w:line="276" w:lineRule="auto"/>
        <w:jc w:val="both"/>
      </w:pPr>
      <w:r>
        <w:rPr>
          <w:rFonts w:ascii="Times New Roman" w:hAnsi="Times New Roman"/>
          <w:b w:val="0"/>
          <w:i w:val="0"/>
          <w:color w:val="000000"/>
          <w:sz w:val="24"/>
        </w:rPr>
        <w:t xml:space="preserve">In the chaotic frontline of a flooded village, rescue boat crews and field medics wading through waist-deep water cannot type data into web forms. Future enhancements will integrate conversational voice-to-JSON triage agents accessible via low-bandwidth satellite telephony (Iridium or Inmarsat). A field officer simply speaks into a satellite handset: </w:t>
      </w:r>
      <w:r>
        <w:rPr>
          <w:rFonts w:ascii="Times New Roman" w:hAnsi="Times New Roman"/>
          <w:b w:val="0"/>
          <w:i/>
          <w:color w:val="000000"/>
          <w:sz w:val="24"/>
        </w:rPr>
        <w:t>'Zone Delta, primary hospital flooded, 300 evacuees on roof, urgent pediatric dehydration.'</w:t>
      </w:r>
      <w:r>
        <w:rPr>
          <w:rFonts w:ascii="Times New Roman" w:hAnsi="Times New Roman"/>
          <w:b w:val="0"/>
          <w:i w:val="0"/>
          <w:color w:val="000000"/>
          <w:sz w:val="24"/>
        </w:rPr>
        <w:t xml:space="preserve"> An onboard LLM speech-to-text pipeline extracts the entities, computes the telemetry vector, and updates the DPRI model automatically.</w:t>
      </w:r>
    </w:p>
    <w:p>
      <w:pPr>
        <w:pStyle w:val="Heading2"/>
        <w:keepNext/>
        <w:spacing w:before="200" w:after="80"/>
      </w:pPr>
      <w:r>
        <w:rPr>
          <w:rFonts w:ascii="Times New Roman" w:hAnsi="Times New Roman"/>
          <w:b/>
          <w:i w:val="0"/>
          <w:color w:val="000000"/>
          <w:sz w:val="25"/>
        </w:rPr>
        <w:t>11.5 Unmanned Aerial Vehicle (UAV) Drone Swarm Photogrammetry &amp; Autonomous Air-Drop Integration</w:t>
      </w:r>
    </w:p>
    <w:p>
      <w:pPr>
        <w:spacing w:before="0" w:after="120" w:line="276" w:lineRule="auto"/>
        <w:jc w:val="both"/>
      </w:pPr>
      <w:r>
        <w:rPr>
          <w:rFonts w:ascii="Times New Roman" w:hAnsi="Times New Roman"/>
          <w:b w:val="0"/>
          <w:i w:val="0"/>
          <w:color w:val="000000"/>
          <w:sz w:val="24"/>
        </w:rPr>
        <w:t>Complementing satellite radar, autonomous long-endurance vertical takeoff and landing (VTOL) drone swarms offer sub-decimeter resolution aerial photogrammetry. When CloudShield detects an Unserviceable Demand Escrow (UDE) event for an isolated village, it can automatically transmit GPS coordinate drop vectors to autonomous delivery drones (such as Zipline or Indian SkyDrive units), dispatching blood bags, pediatric ORS, and satellite transponders directly to stranded rooftops within twenty minutes.</w:t>
      </w:r>
    </w:p>
    <w:p>
      <w:r>
        <w:br w:type="page"/>
      </w:r>
    </w:p>
    <w:p>
      <w:pPr>
        <w:pStyle w:val="Heading1"/>
        <w:keepNext/>
        <w:spacing w:before="280" w:after="280"/>
        <w:jc w:val="center"/>
      </w:pPr>
      <w:r>
        <w:rPr>
          <w:rFonts w:ascii="Times New Roman" w:hAnsi="Times New Roman"/>
          <w:b/>
          <w:i w:val="0"/>
          <w:color w:val="000000"/>
          <w:sz w:val="28"/>
        </w:rPr>
        <w:t>CHAPTER 12: COMPREHENSIVE ACADEMIC LITERATURE REVIEW &amp; BIBLIOGRAPHIC REFERENCES</w:t>
      </w:r>
    </w:p>
    <w:p>
      <w:pPr>
        <w:pStyle w:val="Heading2"/>
        <w:keepNext/>
        <w:spacing w:before="200" w:after="80"/>
      </w:pPr>
      <w:r>
        <w:rPr>
          <w:rFonts w:ascii="Times New Roman" w:hAnsi="Times New Roman"/>
          <w:b/>
          <w:i w:val="0"/>
          <w:color w:val="000000"/>
          <w:sz w:val="25"/>
        </w:rPr>
        <w:t>12.1 Theoretical Foundations &amp; Literature Survey</w:t>
      </w:r>
    </w:p>
    <w:p>
      <w:pPr>
        <w:spacing w:before="0" w:after="120" w:line="276" w:lineRule="auto"/>
        <w:jc w:val="both"/>
      </w:pPr>
      <w:r>
        <w:rPr>
          <w:rFonts w:ascii="Times New Roman" w:hAnsi="Times New Roman"/>
          <w:b w:val="0"/>
          <w:i w:val="0"/>
          <w:color w:val="000000"/>
          <w:sz w:val="24"/>
        </w:rPr>
        <w:t>The conceptual formulations, mathematical indices, optimization models, and cloud architectural patterns underpinning CloudShield are derived from and benchmarked against foundational academic literature across operations research, humanitarian supply chain management, hydrometeorological forecasting, and distributed cloud computing:</w:t>
      </w:r>
    </w:p>
    <w:p>
      <w:pPr>
        <w:keepNext/>
        <w:spacing w:before="120" w:after="80"/>
      </w:pPr>
      <w:r>
        <w:rPr>
          <w:rFonts w:ascii="Times New Roman" w:hAnsi="Times New Roman"/>
          <w:b/>
          <w:i w:val="0"/>
          <w:color w:val="000000"/>
          <w:sz w:val="22"/>
        </w:rPr>
        <w:t>Table 12.1: Systematic Literature Survey Comparison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950"/>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Author &amp; Year</w:t>
            </w:r>
          </w:p>
        </w:tc>
        <w:tc>
          <w:tcPr>
            <w:tcW w:type="dxa" w:w="1764"/>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Core Problem Domain</w:t>
            </w:r>
          </w:p>
        </w:tc>
        <w:tc>
          <w:tcPr>
            <w:tcW w:type="dxa" w:w="2229"/>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Mathematical Technique</w:t>
            </w:r>
          </w:p>
        </w:tc>
        <w:tc>
          <w:tcPr>
            <w:tcW w:type="dxa" w:w="1931"/>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Cloud Architecture Tier</w:t>
            </w:r>
          </w:p>
        </w:tc>
        <w:tc>
          <w:tcPr>
            <w:tcW w:type="dxa" w:w="1486"/>
            <w:shd w:fill="E5E7EB"/>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Sphere Standards Compliance</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Rawls &amp; Turnquist (2010)</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Disaster Pre-positioning</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Stochastic Mixed-Integer Linear Program</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Local workstation execution</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None (Arbitrary cost units)</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The Sphere Project (2018)</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Humanitarian Survival Baselines</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Empirical physiological survival metrics</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N/A (Policy Charter Handbook)</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Primary Source Framework</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CARE International (2018)</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Protracted Emergency Logistics</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Qualitative supply chain analysis</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On-premise enterprise ERPs</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Field guideline adherence</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German Red Cross (2020)</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Forecast-based Financing (FbF)</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Early action trigger thresholds</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Batch cloud reporting</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Partial (Sector-specific)</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Zhang et al. (2021)</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Disrupted Route Resource Allocation</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Multi-objective NSGA-II Genetic Algorithm</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Centralized desktop solver</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None (Synthetic demand)</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Li et al. (2023)</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Resilient Information Systems</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High-availability multi-tier microservices</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Multi-AZ Cloud Infrastructure</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None (Generic IT load)</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Nearing et al. (2024)</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Global Ungauged River Floods</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Deep learning LSTM hydrologic models</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Distributed Cloud AI Pipeline</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val="0"/>
                <w:i w:val="0"/>
                <w:color w:val="000000"/>
                <w:sz w:val="19"/>
              </w:rPr>
              <w:t>None (Physical water discharge)</w:t>
            </w:r>
          </w:p>
        </w:tc>
      </w:tr>
      <w:tr>
        <w:tc>
          <w:tcPr>
            <w:tcW w:type="dxa" w:w="1950"/>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CloudShield (Patel et al., 2026)</w:t>
            </w:r>
          </w:p>
        </w:tc>
        <w:tc>
          <w:tcPr>
            <w:tcW w:type="dxa" w:w="1764"/>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Predictive Disaster Allocation</w:t>
            </w:r>
          </w:p>
        </w:tc>
        <w:tc>
          <w:tcPr>
            <w:tcW w:type="dxa" w:w="2229"/>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Sphere Knapsack + DPRI + Action ID</w:t>
            </w:r>
          </w:p>
        </w:tc>
        <w:tc>
          <w:tcPr>
            <w:tcW w:type="dxa" w:w="1931"/>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AWS (EC2, EBS, S3, SNS, CloudWatch)</w:t>
            </w:r>
          </w:p>
        </w:tc>
        <w:tc>
          <w:tcPr>
            <w:tcW w:type="dxa" w:w="1486"/>
            <w:shd w:fill="FFFFFF"/>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line="264" w:lineRule="auto"/>
            </w:pPr>
            <w:r>
              <w:rPr>
                <w:rFonts w:ascii="Times New Roman" w:hAnsi="Times New Roman"/>
                <w:b/>
                <w:i w:val="0"/>
                <w:color w:val="000000"/>
                <w:sz w:val="19"/>
              </w:rPr>
              <w:t>100% Fully Hard-Calibrated</w:t>
            </w:r>
          </w:p>
        </w:tc>
      </w:tr>
    </w:tbl>
    <w:p>
      <w:pPr>
        <w:spacing w:before="120" w:after="0"/>
      </w:pPr>
    </w:p>
    <w:p>
      <w:r>
        <w:br w:type="page"/>
      </w:r>
    </w:p>
    <w:p>
      <w:pPr>
        <w:pStyle w:val="Heading1"/>
        <w:spacing w:after="280"/>
      </w:pPr>
      <w:r>
        <w:t>REFERENCES</w:t>
      </w:r>
    </w:p>
    <w:p>
      <w:pPr>
        <w:spacing w:after="80" w:line="276" w:lineRule="auto"/>
        <w:ind w:left="360" w:hanging="360"/>
        <w:jc w:val="both"/>
      </w:pPr>
      <w:r>
        <w:rPr>
          <w:rFonts w:ascii="Times New Roman" w:hAnsi="Times New Roman"/>
          <w:b/>
          <w:i w:val="0"/>
          <w:color w:val="000000"/>
          <w:sz w:val="19"/>
        </w:rPr>
        <w:t>[1] Rawls, C. G., &amp; Turnquist, M. A.</w:t>
      </w:r>
      <w:r>
        <w:rPr>
          <w:rFonts w:ascii="Times New Roman" w:hAnsi="Times New Roman"/>
          <w:b w:val="0"/>
          <w:i w:val="0"/>
          <w:color w:val="000000"/>
          <w:sz w:val="19"/>
        </w:rPr>
        <w:t xml:space="preserve"> (2010). </w:t>
      </w:r>
      <w:r>
        <w:rPr>
          <w:rFonts w:ascii="Times New Roman" w:hAnsi="Times New Roman"/>
          <w:b w:val="0"/>
          <w:i/>
          <w:color w:val="000000"/>
          <w:sz w:val="19"/>
        </w:rPr>
        <w:t>Pre-positioning of emergency supplies for disaster response</w:t>
      </w:r>
      <w:r>
        <w:rPr>
          <w:rFonts w:ascii="Times New Roman" w:hAnsi="Times New Roman"/>
          <w:b w:val="0"/>
          <w:i w:val="0"/>
          <w:color w:val="000000"/>
          <w:sz w:val="19"/>
        </w:rPr>
        <w:t>. Transportation Research Part B: Methodological, 44(4), 521–534. [Foundational mathematical modeling for multi-facility emergency inventory pre-positioning under uncertainty].</w:t>
      </w:r>
    </w:p>
    <w:p>
      <w:pPr>
        <w:spacing w:after="80" w:line="276" w:lineRule="auto"/>
        <w:ind w:left="360" w:hanging="360"/>
        <w:jc w:val="both"/>
      </w:pPr>
      <w:r>
        <w:rPr>
          <w:rFonts w:ascii="Times New Roman" w:hAnsi="Times New Roman"/>
          <w:b/>
          <w:i w:val="0"/>
          <w:color w:val="000000"/>
          <w:sz w:val="19"/>
        </w:rPr>
        <w:t>[2] The Sphere Project.</w:t>
      </w:r>
      <w:r>
        <w:rPr>
          <w:rFonts w:ascii="Times New Roman" w:hAnsi="Times New Roman"/>
          <w:b w:val="0"/>
          <w:i w:val="0"/>
          <w:color w:val="000000"/>
          <w:sz w:val="19"/>
        </w:rPr>
        <w:t xml:space="preserve"> (2018). </w:t>
      </w:r>
      <w:r>
        <w:rPr>
          <w:rFonts w:ascii="Times New Roman" w:hAnsi="Times New Roman"/>
          <w:b w:val="0"/>
          <w:i/>
          <w:color w:val="000000"/>
          <w:sz w:val="19"/>
        </w:rPr>
        <w:t>Sphere Handbook: Humanitarian Charter and Minimum Standards in Humanitarian Response</w:t>
      </w:r>
      <w:r>
        <w:rPr>
          <w:rFonts w:ascii="Times New Roman" w:hAnsi="Times New Roman"/>
          <w:b w:val="0"/>
          <w:i w:val="0"/>
          <w:color w:val="000000"/>
          <w:sz w:val="19"/>
        </w:rPr>
        <w:t xml:space="preserve"> (4th ed.). Geneva, Switzerland: Practical Action Publishing. [Defines international benchmarks: 15 L/person/day potable water, 2,100 kcal nutritional baseline, and emergency shelter specifications].</w:t>
      </w:r>
    </w:p>
    <w:p>
      <w:pPr>
        <w:spacing w:after="80" w:line="276" w:lineRule="auto"/>
        <w:ind w:left="360" w:hanging="360"/>
        <w:jc w:val="both"/>
      </w:pPr>
      <w:r>
        <w:rPr>
          <w:rFonts w:ascii="Times New Roman" w:hAnsi="Times New Roman"/>
          <w:b/>
          <w:i w:val="0"/>
          <w:color w:val="000000"/>
          <w:sz w:val="19"/>
        </w:rPr>
        <w:t>[3] CARE International &amp; World Food Programme.</w:t>
      </w:r>
      <w:r>
        <w:rPr>
          <w:rFonts w:ascii="Times New Roman" w:hAnsi="Times New Roman"/>
          <w:b w:val="0"/>
          <w:i w:val="0"/>
          <w:color w:val="000000"/>
          <w:sz w:val="19"/>
        </w:rPr>
        <w:t xml:space="preserve"> (2018). </w:t>
      </w:r>
      <w:r>
        <w:rPr>
          <w:rFonts w:ascii="Times New Roman" w:hAnsi="Times New Roman"/>
          <w:b w:val="0"/>
          <w:i/>
          <w:color w:val="000000"/>
          <w:sz w:val="19"/>
        </w:rPr>
        <w:t>Emergency Logistics and Supply Chain Strategy in Protracted Crises</w:t>
      </w:r>
      <w:r>
        <w:rPr>
          <w:rFonts w:ascii="Times New Roman" w:hAnsi="Times New Roman"/>
          <w:b w:val="0"/>
          <w:i w:val="0"/>
          <w:color w:val="000000"/>
          <w:sz w:val="19"/>
        </w:rPr>
        <w:t>. Humanitarian Practice Network, Paper No. 78. [Analysis of last-mile delivery bottlenecks and warehouse concurrency failures].</w:t>
      </w:r>
    </w:p>
    <w:p>
      <w:pPr>
        <w:spacing w:after="80" w:line="276" w:lineRule="auto"/>
        <w:ind w:left="360" w:hanging="360"/>
        <w:jc w:val="both"/>
      </w:pPr>
      <w:r>
        <w:rPr>
          <w:rFonts w:ascii="Times New Roman" w:hAnsi="Times New Roman"/>
          <w:b/>
          <w:i w:val="0"/>
          <w:color w:val="000000"/>
          <w:sz w:val="19"/>
        </w:rPr>
        <w:t>[4] German Red Cross &amp; Red Cross Red Crescent Climate Centre.</w:t>
      </w:r>
      <w:r>
        <w:rPr>
          <w:rFonts w:ascii="Times New Roman" w:hAnsi="Times New Roman"/>
          <w:b w:val="0"/>
          <w:i w:val="0"/>
          <w:color w:val="000000"/>
          <w:sz w:val="19"/>
        </w:rPr>
        <w:t xml:space="preserve"> (2020). </w:t>
      </w:r>
      <w:r>
        <w:rPr>
          <w:rFonts w:ascii="Times New Roman" w:hAnsi="Times New Roman"/>
          <w:b w:val="0"/>
          <w:i/>
          <w:color w:val="000000"/>
          <w:sz w:val="19"/>
        </w:rPr>
        <w:t>Forecast-based Financing (FbF): A Guide to Developing Early Action Protocols for Hydrological and Meteorological Hazards</w:t>
      </w:r>
      <w:r>
        <w:rPr>
          <w:rFonts w:ascii="Times New Roman" w:hAnsi="Times New Roman"/>
          <w:b w:val="0"/>
          <w:i w:val="0"/>
          <w:color w:val="000000"/>
          <w:sz w:val="19"/>
        </w:rPr>
        <w:t>. Berlin, Germany. [Pioneered anticipatory humanitarian action protocols].</w:t>
      </w:r>
    </w:p>
    <w:p>
      <w:pPr>
        <w:spacing w:after="80" w:line="276" w:lineRule="auto"/>
        <w:ind w:left="360" w:hanging="360"/>
        <w:jc w:val="both"/>
      </w:pPr>
      <w:r>
        <w:rPr>
          <w:rFonts w:ascii="Times New Roman" w:hAnsi="Times New Roman"/>
          <w:b/>
          <w:i w:val="0"/>
          <w:color w:val="000000"/>
          <w:sz w:val="19"/>
        </w:rPr>
        <w:t>[5] Zhang, Y., Wang, J., &amp; Wang, L.</w:t>
      </w:r>
      <w:r>
        <w:rPr>
          <w:rFonts w:ascii="Times New Roman" w:hAnsi="Times New Roman"/>
          <w:b w:val="0"/>
          <w:i w:val="0"/>
          <w:color w:val="000000"/>
          <w:sz w:val="19"/>
        </w:rPr>
        <w:t xml:space="preserve"> (2021). </w:t>
      </w:r>
      <w:r>
        <w:rPr>
          <w:rFonts w:ascii="Times New Roman" w:hAnsi="Times New Roman"/>
          <w:b w:val="0"/>
          <w:i/>
          <w:color w:val="000000"/>
          <w:sz w:val="19"/>
        </w:rPr>
        <w:t>Multi-objective optimization for emergency resource allocation considering route disruption risks under uncertain disaster environments</w:t>
      </w:r>
      <w:r>
        <w:rPr>
          <w:rFonts w:ascii="Times New Roman" w:hAnsi="Times New Roman"/>
          <w:b w:val="0"/>
          <w:i w:val="0"/>
          <w:color w:val="000000"/>
          <w:sz w:val="19"/>
        </w:rPr>
        <w:t>. Computers &amp; Industrial Engineering, 158, 107412. [Formulates route disruption risk models in multi-depot emergency logistics].</w:t>
      </w:r>
    </w:p>
    <w:p>
      <w:pPr>
        <w:spacing w:after="80" w:line="276" w:lineRule="auto"/>
        <w:ind w:left="360" w:hanging="360"/>
        <w:jc w:val="both"/>
      </w:pPr>
      <w:r>
        <w:rPr>
          <w:rFonts w:ascii="Times New Roman" w:hAnsi="Times New Roman"/>
          <w:b/>
          <w:i w:val="0"/>
          <w:color w:val="000000"/>
          <w:sz w:val="19"/>
        </w:rPr>
        <w:t>[6] Li, H., Liu, Y., &amp; Chen, X.</w:t>
      </w:r>
      <w:r>
        <w:rPr>
          <w:rFonts w:ascii="Times New Roman" w:hAnsi="Times New Roman"/>
          <w:b w:val="0"/>
          <w:i w:val="0"/>
          <w:color w:val="000000"/>
          <w:sz w:val="19"/>
        </w:rPr>
        <w:t xml:space="preserve"> (2023). </w:t>
      </w:r>
      <w:r>
        <w:rPr>
          <w:rFonts w:ascii="Times New Roman" w:hAnsi="Times New Roman"/>
          <w:b w:val="0"/>
          <w:i/>
          <w:color w:val="000000"/>
          <w:sz w:val="19"/>
        </w:rPr>
        <w:t>Resilient Cloud Architectures for Emergency Information Systems: A High-Availability Multi-Tier Approach</w:t>
      </w:r>
      <w:r>
        <w:rPr>
          <w:rFonts w:ascii="Times New Roman" w:hAnsi="Times New Roman"/>
          <w:b w:val="0"/>
          <w:i w:val="0"/>
          <w:color w:val="000000"/>
          <w:sz w:val="19"/>
        </w:rPr>
        <w:t>. IEEE Transactions on Cloud Computing, 11(2), 1420–1434. [Investigates cloud microservice patterns and failover latency in disaster information backbones].</w:t>
      </w:r>
    </w:p>
    <w:p>
      <w:pPr>
        <w:spacing w:after="80" w:line="276" w:lineRule="auto"/>
        <w:ind w:left="360" w:hanging="360"/>
        <w:jc w:val="both"/>
      </w:pPr>
      <w:r>
        <w:rPr>
          <w:rFonts w:ascii="Times New Roman" w:hAnsi="Times New Roman"/>
          <w:b/>
          <w:i w:val="0"/>
          <w:color w:val="000000"/>
          <w:sz w:val="19"/>
        </w:rPr>
        <w:t>[7] Nearing, G. S., Cohen, D., Dakhari, V., et al.</w:t>
      </w:r>
      <w:r>
        <w:rPr>
          <w:rFonts w:ascii="Times New Roman" w:hAnsi="Times New Roman"/>
          <w:b w:val="0"/>
          <w:i w:val="0"/>
          <w:color w:val="000000"/>
          <w:sz w:val="19"/>
        </w:rPr>
        <w:t xml:space="preserve"> (2024). </w:t>
      </w:r>
      <w:r>
        <w:rPr>
          <w:rFonts w:ascii="Times New Roman" w:hAnsi="Times New Roman"/>
          <w:b w:val="0"/>
          <w:i/>
          <w:color w:val="000000"/>
          <w:sz w:val="19"/>
        </w:rPr>
        <w:t>Global prediction of extreme floods in ungauged river basins using machine learning</w:t>
      </w:r>
      <w:r>
        <w:rPr>
          <w:rFonts w:ascii="Times New Roman" w:hAnsi="Times New Roman"/>
          <w:b w:val="0"/>
          <w:i w:val="0"/>
          <w:color w:val="000000"/>
          <w:sz w:val="19"/>
        </w:rPr>
        <w:t>. Nature, 627(8004), 559–563. [State-of-the-art predictive hydrology for extending flood lead-time forecasting up to 5 days].</w:t>
      </w:r>
    </w:p>
    <w:p>
      <w:pPr>
        <w:spacing w:after="80" w:line="276" w:lineRule="auto"/>
        <w:ind w:left="360" w:hanging="360"/>
        <w:jc w:val="both"/>
      </w:pPr>
      <w:r>
        <w:rPr>
          <w:rFonts w:ascii="Times New Roman" w:hAnsi="Times New Roman"/>
          <w:b/>
          <w:i w:val="0"/>
          <w:color w:val="000000"/>
          <w:sz w:val="19"/>
        </w:rPr>
        <w:t>[8] Centre for Research on the Epidemiology of Disasters (CRED).</w:t>
      </w:r>
      <w:r>
        <w:rPr>
          <w:rFonts w:ascii="Times New Roman" w:hAnsi="Times New Roman"/>
          <w:b w:val="0"/>
          <w:i w:val="0"/>
          <w:color w:val="000000"/>
          <w:sz w:val="19"/>
        </w:rPr>
        <w:t xml:space="preserve"> (2023). </w:t>
      </w:r>
      <w:r>
        <w:rPr>
          <w:rFonts w:ascii="Times New Roman" w:hAnsi="Times New Roman"/>
          <w:b w:val="0"/>
          <w:i/>
          <w:color w:val="000000"/>
          <w:sz w:val="19"/>
        </w:rPr>
        <w:t>EM-DAT: The International Disaster Database</w:t>
      </w:r>
      <w:r>
        <w:rPr>
          <w:rFonts w:ascii="Times New Roman" w:hAnsi="Times New Roman"/>
          <w:b w:val="0"/>
          <w:i w:val="0"/>
          <w:color w:val="000000"/>
          <w:sz w:val="19"/>
        </w:rPr>
        <w:t>. Université Catholique de Louvain, Brussels, Belgium. [Global epidemiological benchmarks on disaster mortality and relief delivery delays].</w:t>
      </w:r>
    </w:p>
    <w:p>
      <w:pPr>
        <w:spacing w:after="80" w:line="276" w:lineRule="auto"/>
        <w:ind w:left="360" w:hanging="360"/>
        <w:jc w:val="both"/>
      </w:pPr>
      <w:r>
        <w:rPr>
          <w:rFonts w:ascii="Times New Roman" w:hAnsi="Times New Roman"/>
          <w:b/>
          <w:i w:val="0"/>
          <w:color w:val="000000"/>
          <w:sz w:val="19"/>
        </w:rPr>
        <w:t>[9] Amazon Web Services.</w:t>
      </w:r>
      <w:r>
        <w:rPr>
          <w:rFonts w:ascii="Times New Roman" w:hAnsi="Times New Roman"/>
          <w:b w:val="0"/>
          <w:i w:val="0"/>
          <w:color w:val="000000"/>
          <w:sz w:val="19"/>
        </w:rPr>
        <w:t xml:space="preserve"> (2024). </w:t>
      </w:r>
      <w:r>
        <w:rPr>
          <w:rFonts w:ascii="Times New Roman" w:hAnsi="Times New Roman"/>
          <w:b w:val="0"/>
          <w:i/>
          <w:color w:val="000000"/>
          <w:sz w:val="19"/>
        </w:rPr>
        <w:t>AWS Well-Architected Framework: Reliability, Operational Excellence, and Security Pillars</w:t>
      </w:r>
      <w:r>
        <w:rPr>
          <w:rFonts w:ascii="Times New Roman" w:hAnsi="Times New Roman"/>
          <w:b w:val="0"/>
          <w:i w:val="0"/>
          <w:color w:val="000000"/>
          <w:sz w:val="19"/>
        </w:rPr>
        <w:t>. AWS Whitepapers, Seattle, WA. [Defines best practices for cloud fault tolerance, least-privilege IAM roles, and IMDSv2 token security].</w:t>
      </w:r>
    </w:p>
    <w:p>
      <w:pPr>
        <w:spacing w:after="80" w:line="276" w:lineRule="auto"/>
        <w:ind w:left="360" w:hanging="360"/>
        <w:jc w:val="both"/>
      </w:pPr>
      <w:r>
        <w:rPr>
          <w:rFonts w:ascii="Times New Roman" w:hAnsi="Times New Roman"/>
          <w:b/>
          <w:i w:val="0"/>
          <w:color w:val="000000"/>
          <w:sz w:val="19"/>
        </w:rPr>
        <w:t>[10] United Nations Office for Disaster Risk Reduction (UNDRR).</w:t>
      </w:r>
      <w:r>
        <w:rPr>
          <w:rFonts w:ascii="Times New Roman" w:hAnsi="Times New Roman"/>
          <w:b w:val="0"/>
          <w:i w:val="0"/>
          <w:color w:val="000000"/>
          <w:sz w:val="19"/>
        </w:rPr>
        <w:t xml:space="preserve"> (2020). </w:t>
      </w:r>
      <w:r>
        <w:rPr>
          <w:rFonts w:ascii="Times New Roman" w:hAnsi="Times New Roman"/>
          <w:b w:val="0"/>
          <w:i/>
          <w:color w:val="000000"/>
          <w:sz w:val="19"/>
        </w:rPr>
        <w:t>Sendai Framework for Disaster Risk Reduction 2015–2030: Progress and Implementation Priorities</w:t>
      </w:r>
      <w:r>
        <w:rPr>
          <w:rFonts w:ascii="Times New Roman" w:hAnsi="Times New Roman"/>
          <w:b w:val="0"/>
          <w:i w:val="0"/>
          <w:color w:val="000000"/>
          <w:sz w:val="19"/>
        </w:rPr>
        <w:t>. UN Geneva. [Global policy framework establishing the imperative for multi-hazard early warning and anticipatory relief logistics].</w:t>
      </w:r>
    </w:p>
    <w:p>
      <w:pPr>
        <w:spacing w:after="80" w:line="276" w:lineRule="auto"/>
        <w:ind w:left="360" w:hanging="360"/>
        <w:jc w:val="both"/>
      </w:pPr>
      <w:r>
        <w:rPr>
          <w:rFonts w:ascii="Times New Roman" w:hAnsi="Times New Roman"/>
          <w:b/>
          <w:i w:val="0"/>
          <w:color w:val="000000"/>
          <w:sz w:val="19"/>
        </w:rPr>
        <w:t>[11] Altay, N., &amp; Green, W. G.</w:t>
      </w:r>
      <w:r>
        <w:rPr>
          <w:rFonts w:ascii="Times New Roman" w:hAnsi="Times New Roman"/>
          <w:b w:val="0"/>
          <w:i w:val="0"/>
          <w:color w:val="000000"/>
          <w:sz w:val="19"/>
        </w:rPr>
        <w:t xml:space="preserve"> (2006). </w:t>
      </w:r>
      <w:r>
        <w:rPr>
          <w:rFonts w:ascii="Times New Roman" w:hAnsi="Times New Roman"/>
          <w:b w:val="0"/>
          <w:i/>
          <w:color w:val="000000"/>
          <w:sz w:val="19"/>
        </w:rPr>
        <w:t>OR/MS research in disaster operations management</w:t>
      </w:r>
      <w:r>
        <w:rPr>
          <w:rFonts w:ascii="Times New Roman" w:hAnsi="Times New Roman"/>
          <w:b w:val="0"/>
          <w:i w:val="0"/>
          <w:color w:val="000000"/>
          <w:sz w:val="19"/>
        </w:rPr>
        <w:t>. European Journal of Operational Research, 175(1), 475–493. [Seminal taxonomy of operational research models across mitigation, preparedness, response, and recovery].</w:t>
      </w:r>
    </w:p>
    <w:p>
      <w:pPr>
        <w:spacing w:after="80" w:line="276" w:lineRule="auto"/>
        <w:ind w:left="360" w:hanging="360"/>
        <w:jc w:val="both"/>
      </w:pPr>
      <w:r>
        <w:rPr>
          <w:rFonts w:ascii="Times New Roman" w:hAnsi="Times New Roman"/>
          <w:b/>
          <w:i w:val="0"/>
          <w:color w:val="000000"/>
          <w:sz w:val="19"/>
        </w:rPr>
        <w:t>[12] Holguín-Veras, J., Pérez, N., Jaller, M., Van Wassenhove, L. N., &amp; Aros-Vera, F.</w:t>
      </w:r>
      <w:r>
        <w:rPr>
          <w:rFonts w:ascii="Times New Roman" w:hAnsi="Times New Roman"/>
          <w:b w:val="0"/>
          <w:i w:val="0"/>
          <w:color w:val="000000"/>
          <w:sz w:val="19"/>
        </w:rPr>
        <w:t xml:space="preserve"> (2013). </w:t>
      </w:r>
      <w:r>
        <w:rPr>
          <w:rFonts w:ascii="Times New Roman" w:hAnsi="Times New Roman"/>
          <w:b w:val="0"/>
          <w:i/>
          <w:color w:val="000000"/>
          <w:sz w:val="19"/>
        </w:rPr>
        <w:t>On the appropriate objective function for post-disaster humanitarian logistics</w:t>
      </w:r>
      <w:r>
        <w:rPr>
          <w:rFonts w:ascii="Times New Roman" w:hAnsi="Times New Roman"/>
          <w:b w:val="0"/>
          <w:i w:val="0"/>
          <w:color w:val="000000"/>
          <w:sz w:val="19"/>
        </w:rPr>
        <w:t>. Journal of Operations Management, 31(5), 262–280. [Demonstrates the ethical necessity of deprivation cost modeling over financial cost minimization].</w:t>
      </w:r>
    </w:p>
    <w:p>
      <w:pPr>
        <w:spacing w:after="80" w:line="276" w:lineRule="auto"/>
        <w:ind w:left="360" w:hanging="360"/>
        <w:jc w:val="both"/>
      </w:pPr>
      <w:r>
        <w:rPr>
          <w:rFonts w:ascii="Times New Roman" w:hAnsi="Times New Roman"/>
          <w:b/>
          <w:i w:val="0"/>
          <w:color w:val="000000"/>
          <w:sz w:val="19"/>
        </w:rPr>
        <w:t>[13] Balcik, B., &amp; Beamon, B. M.</w:t>
      </w:r>
      <w:r>
        <w:rPr>
          <w:rFonts w:ascii="Times New Roman" w:hAnsi="Times New Roman"/>
          <w:b w:val="0"/>
          <w:i w:val="0"/>
          <w:color w:val="000000"/>
          <w:sz w:val="19"/>
        </w:rPr>
        <w:t xml:space="preserve"> (2008). </w:t>
      </w:r>
      <w:r>
        <w:rPr>
          <w:rFonts w:ascii="Times New Roman" w:hAnsi="Times New Roman"/>
          <w:b w:val="0"/>
          <w:i/>
          <w:color w:val="000000"/>
          <w:sz w:val="19"/>
        </w:rPr>
        <w:t>Facility location in humanitarian relief</w:t>
      </w:r>
      <w:r>
        <w:rPr>
          <w:rFonts w:ascii="Times New Roman" w:hAnsi="Times New Roman"/>
          <w:b w:val="0"/>
          <w:i w:val="0"/>
          <w:color w:val="000000"/>
          <w:sz w:val="19"/>
        </w:rPr>
        <w:t>. International Journal of Logistics: Research and Applications, 11(2), 101–121. [Mathematical knapsack formulations for pre-positioning relief stock].</w:t>
      </w:r>
    </w:p>
    <w:p>
      <w:pPr>
        <w:spacing w:after="80" w:line="276" w:lineRule="auto"/>
        <w:ind w:left="360" w:hanging="360"/>
        <w:jc w:val="both"/>
      </w:pPr>
      <w:r>
        <w:rPr>
          <w:rFonts w:ascii="Times New Roman" w:hAnsi="Times New Roman"/>
          <w:b/>
          <w:i w:val="0"/>
          <w:color w:val="000000"/>
          <w:sz w:val="19"/>
        </w:rPr>
        <w:t>[14] European Space Agency (ESA).</w:t>
      </w:r>
      <w:r>
        <w:rPr>
          <w:rFonts w:ascii="Times New Roman" w:hAnsi="Times New Roman"/>
          <w:b w:val="0"/>
          <w:i w:val="0"/>
          <w:color w:val="000000"/>
          <w:sz w:val="19"/>
        </w:rPr>
        <w:t xml:space="preserve"> (2022). </w:t>
      </w:r>
      <w:r>
        <w:rPr>
          <w:rFonts w:ascii="Times New Roman" w:hAnsi="Times New Roman"/>
          <w:b w:val="0"/>
          <w:i/>
          <w:color w:val="000000"/>
          <w:sz w:val="19"/>
        </w:rPr>
        <w:t>Copernicus Sentinel-1 SAR User Handbook</w:t>
      </w:r>
      <w:r>
        <w:rPr>
          <w:rFonts w:ascii="Times New Roman" w:hAnsi="Times New Roman"/>
          <w:b w:val="0"/>
          <w:i w:val="0"/>
          <w:color w:val="000000"/>
          <w:sz w:val="19"/>
        </w:rPr>
        <w:t>. ESA Publications, Frascati, Italy. [Technical specifications for C-band Synthetic Aperture Radar microwave flood inundation mapping].</w:t>
      </w:r>
    </w:p>
    <w:p>
      <w:pPr>
        <w:spacing w:after="80" w:line="276" w:lineRule="auto"/>
        <w:ind w:left="360" w:hanging="360"/>
        <w:jc w:val="both"/>
      </w:pPr>
      <w:r>
        <w:rPr>
          <w:rFonts w:ascii="Times New Roman" w:hAnsi="Times New Roman"/>
          <w:b/>
          <w:i w:val="0"/>
          <w:color w:val="000000"/>
          <w:sz w:val="19"/>
        </w:rPr>
        <w:t>[15] National Aeronautics and Space Administration &amp; Indian Space Research Organisation.</w:t>
      </w:r>
      <w:r>
        <w:rPr>
          <w:rFonts w:ascii="Times New Roman" w:hAnsi="Times New Roman"/>
          <w:b w:val="0"/>
          <w:i w:val="0"/>
          <w:color w:val="000000"/>
          <w:sz w:val="19"/>
        </w:rPr>
        <w:t xml:space="preserve"> (2023). </w:t>
      </w:r>
      <w:r>
        <w:rPr>
          <w:rFonts w:ascii="Times New Roman" w:hAnsi="Times New Roman"/>
          <w:b w:val="0"/>
          <w:i/>
          <w:color w:val="000000"/>
          <w:sz w:val="19"/>
        </w:rPr>
        <w:t>NASA-ISRO SAR (NISAR) Mission Science Users' Handbook</w:t>
      </w:r>
      <w:r>
        <w:rPr>
          <w:rFonts w:ascii="Times New Roman" w:hAnsi="Times New Roman"/>
          <w:b w:val="0"/>
          <w:i w:val="0"/>
          <w:color w:val="000000"/>
          <w:sz w:val="19"/>
        </w:rPr>
        <w:t>. JPL/ISRO Publications, Pasadena, CA. [L-band and S-band dual-frequency polarimetric radar applications for climate hazard monitoring].</w:t>
      </w:r>
    </w:p>
    <w:p>
      <w:pPr>
        <w:spacing w:after="80" w:line="276" w:lineRule="auto"/>
        <w:ind w:left="360" w:hanging="360"/>
        <w:jc w:val="both"/>
      </w:pPr>
      <w:r>
        <w:rPr>
          <w:rFonts w:ascii="Times New Roman" w:hAnsi="Times New Roman"/>
          <w:b/>
          <w:i w:val="0"/>
          <w:color w:val="000000"/>
          <w:sz w:val="19"/>
        </w:rPr>
        <w:t>[16] Sheu, J. B.</w:t>
      </w:r>
      <w:r>
        <w:rPr>
          <w:rFonts w:ascii="Times New Roman" w:hAnsi="Times New Roman"/>
          <w:b w:val="0"/>
          <w:i w:val="0"/>
          <w:color w:val="000000"/>
          <w:sz w:val="19"/>
        </w:rPr>
        <w:t xml:space="preserve"> (2007). </w:t>
      </w:r>
      <w:r>
        <w:rPr>
          <w:rFonts w:ascii="Times New Roman" w:hAnsi="Times New Roman"/>
          <w:b w:val="0"/>
          <w:i/>
          <w:color w:val="000000"/>
          <w:sz w:val="19"/>
        </w:rPr>
        <w:t>An emergency logistics distribution approach for quick response to urgent relief demand in disasters</w:t>
      </w:r>
      <w:r>
        <w:rPr>
          <w:rFonts w:ascii="Times New Roman" w:hAnsi="Times New Roman"/>
          <w:b w:val="0"/>
          <w:i w:val="0"/>
          <w:color w:val="000000"/>
          <w:sz w:val="19"/>
        </w:rPr>
        <w:t>. Transportation Research Part E: Logistics and Transportation Review, 43(6), 687–709.</w:t>
      </w:r>
    </w:p>
    <w:p>
      <w:pPr>
        <w:spacing w:after="80" w:line="276" w:lineRule="auto"/>
        <w:ind w:left="360" w:hanging="360"/>
        <w:jc w:val="both"/>
      </w:pPr>
      <w:r>
        <w:rPr>
          <w:rFonts w:ascii="Times New Roman" w:hAnsi="Times New Roman"/>
          <w:b/>
          <w:i w:val="0"/>
          <w:color w:val="000000"/>
          <w:sz w:val="19"/>
        </w:rPr>
        <w:t>[17] Van Wassenhove, L. N.</w:t>
      </w:r>
      <w:r>
        <w:rPr>
          <w:rFonts w:ascii="Times New Roman" w:hAnsi="Times New Roman"/>
          <w:b w:val="0"/>
          <w:i w:val="0"/>
          <w:color w:val="000000"/>
          <w:sz w:val="19"/>
        </w:rPr>
        <w:t xml:space="preserve"> (2006). </w:t>
      </w:r>
      <w:r>
        <w:rPr>
          <w:rFonts w:ascii="Times New Roman" w:hAnsi="Times New Roman"/>
          <w:b w:val="0"/>
          <w:i/>
          <w:color w:val="000000"/>
          <w:sz w:val="19"/>
        </w:rPr>
        <w:t>Humanitarian aid logistics: supply chain management in high gear</w:t>
      </w:r>
      <w:r>
        <w:rPr>
          <w:rFonts w:ascii="Times New Roman" w:hAnsi="Times New Roman"/>
          <w:b w:val="0"/>
          <w:i w:val="0"/>
          <w:color w:val="000000"/>
          <w:sz w:val="19"/>
        </w:rPr>
        <w:t>. Journal of the Operational Research Society, 57(5), 475–489.</w:t>
      </w:r>
    </w:p>
    <w:p>
      <w:pPr>
        <w:spacing w:after="80" w:line="276" w:lineRule="auto"/>
        <w:ind w:left="360" w:hanging="360"/>
        <w:jc w:val="both"/>
      </w:pPr>
      <w:r>
        <w:rPr>
          <w:rFonts w:ascii="Times New Roman" w:hAnsi="Times New Roman"/>
          <w:b/>
          <w:i w:val="0"/>
          <w:color w:val="000000"/>
          <w:sz w:val="19"/>
        </w:rPr>
        <w:t>[18] Kovács, G., &amp; Spens, K. M.</w:t>
      </w:r>
      <w:r>
        <w:rPr>
          <w:rFonts w:ascii="Times New Roman" w:hAnsi="Times New Roman"/>
          <w:b w:val="0"/>
          <w:i w:val="0"/>
          <w:color w:val="000000"/>
          <w:sz w:val="19"/>
        </w:rPr>
        <w:t xml:space="preserve"> (2007). </w:t>
      </w:r>
      <w:r>
        <w:rPr>
          <w:rFonts w:ascii="Times New Roman" w:hAnsi="Times New Roman"/>
          <w:b w:val="0"/>
          <w:i/>
          <w:color w:val="000000"/>
          <w:sz w:val="19"/>
        </w:rPr>
        <w:t>Humanitarian logistics in disaster relief operations</w:t>
      </w:r>
      <w:r>
        <w:rPr>
          <w:rFonts w:ascii="Times New Roman" w:hAnsi="Times New Roman"/>
          <w:b w:val="0"/>
          <w:i w:val="0"/>
          <w:color w:val="000000"/>
          <w:sz w:val="19"/>
        </w:rPr>
        <w:t>. International Journal of Physical Distribution &amp; Logistics Management, 37(2), 99–114.</w:t>
      </w:r>
    </w:p>
    <w:p>
      <w:pPr>
        <w:spacing w:after="80" w:line="276" w:lineRule="auto"/>
        <w:ind w:left="360" w:hanging="360"/>
        <w:jc w:val="both"/>
      </w:pPr>
      <w:r>
        <w:rPr>
          <w:rFonts w:ascii="Times New Roman" w:hAnsi="Times New Roman"/>
          <w:b/>
          <w:i w:val="0"/>
          <w:color w:val="000000"/>
          <w:sz w:val="19"/>
        </w:rPr>
        <w:t>[19] Caunhye, A. M., Nie, X., &amp; Pokharel, S.</w:t>
      </w:r>
      <w:r>
        <w:rPr>
          <w:rFonts w:ascii="Times New Roman" w:hAnsi="Times New Roman"/>
          <w:b w:val="0"/>
          <w:i w:val="0"/>
          <w:color w:val="000000"/>
          <w:sz w:val="19"/>
        </w:rPr>
        <w:t xml:space="preserve"> (2012). </w:t>
      </w:r>
      <w:r>
        <w:rPr>
          <w:rFonts w:ascii="Times New Roman" w:hAnsi="Times New Roman"/>
          <w:b w:val="0"/>
          <w:i/>
          <w:color w:val="000000"/>
          <w:sz w:val="19"/>
        </w:rPr>
        <w:t>Optimization models in emergency logistics: A literature review</w:t>
      </w:r>
      <w:r>
        <w:rPr>
          <w:rFonts w:ascii="Times New Roman" w:hAnsi="Times New Roman"/>
          <w:b w:val="0"/>
          <w:i w:val="0"/>
          <w:color w:val="000000"/>
          <w:sz w:val="19"/>
        </w:rPr>
        <w:t>. Socio-Economic Planning Sciences, 46(1), 4–13.</w:t>
      </w:r>
    </w:p>
    <w:p>
      <w:pPr>
        <w:spacing w:after="80" w:line="276" w:lineRule="auto"/>
        <w:ind w:left="360" w:hanging="360"/>
        <w:jc w:val="both"/>
      </w:pPr>
      <w:r>
        <w:rPr>
          <w:rFonts w:ascii="Times New Roman" w:hAnsi="Times New Roman"/>
          <w:b/>
          <w:i w:val="0"/>
          <w:color w:val="000000"/>
          <w:sz w:val="19"/>
        </w:rPr>
        <w:t>[20] National Disaster Management Authority (NDMA), Government of India.</w:t>
      </w:r>
      <w:r>
        <w:rPr>
          <w:rFonts w:ascii="Times New Roman" w:hAnsi="Times New Roman"/>
          <w:b w:val="0"/>
          <w:i w:val="0"/>
          <w:color w:val="000000"/>
          <w:sz w:val="19"/>
        </w:rPr>
        <w:t xml:space="preserve"> (2019). </w:t>
      </w:r>
      <w:r>
        <w:rPr>
          <w:rFonts w:ascii="Times New Roman" w:hAnsi="Times New Roman"/>
          <w:b w:val="0"/>
          <w:i/>
          <w:color w:val="000000"/>
          <w:sz w:val="19"/>
        </w:rPr>
        <w:t>National Disaster Management Guidelines: Logistics Management in Major Disasters</w:t>
      </w:r>
      <w:r>
        <w:rPr>
          <w:rFonts w:ascii="Times New Roman" w:hAnsi="Times New Roman"/>
          <w:b w:val="0"/>
          <w:i w:val="0"/>
          <w:color w:val="000000"/>
          <w:sz w:val="19"/>
        </w:rPr>
        <w:t>. New Delhi, India.</w:t>
      </w:r>
    </w:p>
    <w:p>
      <w:r>
        <w:br w:type="page"/>
      </w:r>
    </w:p>
    <w:p>
      <w:pPr>
        <w:pStyle w:val="Heading1"/>
        <w:spacing w:after="240"/>
      </w:pPr>
      <w:r>
        <w:t>APPENDICES</w:t>
      </w:r>
    </w:p>
    <w:p>
      <w:pPr>
        <w:pStyle w:val="Heading2"/>
        <w:spacing w:after="80"/>
      </w:pPr>
      <w:r>
        <w:t>Appendix A: Key Source Excerpts</w:t>
      </w:r>
    </w:p>
    <w:p>
      <w:pPr>
        <w:spacing w:after="120"/>
      </w:pPr>
      <w:r>
        <w:t>The following source code excerpts from the CloudShield engine illustrate the mathematical evaluation of the Disaster Priority and Relief Index (DPRI), the multi-depot knapsack solver, and the cryptographic Action ID idempotency governance protocol.</w:t>
      </w:r>
    </w:p>
    <w:p>
      <w:pPr>
        <w:keepNext/>
        <w:spacing w:before="80" w:after="40"/>
      </w:pPr>
      <w:r>
        <w:rPr>
          <w:rFonts w:ascii="Times New Roman" w:hAnsi="Times New Roman"/>
          <w:b/>
          <w:i w:val="0"/>
          <w:color w:val="000000"/>
          <w:sz w:val="20"/>
        </w:rPr>
        <w:t>Listing A.1: Disaster Priority and Relief Index (DPRI) Evaluation Engine (app/services/dpri_service.py)</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pPr>
            <w:r>
              <w:rPr>
                <w:rFonts w:ascii="Consolas" w:hAnsi="Consolas"/>
                <w:color w:val="000000"/>
                <w:sz w:val="17"/>
              </w:rPr>
              <w:t>def calculate_dpri(hazard_depth: float, displaced_persons: int, road_blockage: float, vulnerability_ratio: float) -&gt; float:</w:t>
              <w:br/>
              <w:t xml:space="preserve">    """Calculates normalized DPRI urgency score: w1*H + w2*P + w3*I + w4*V (weights strictly sum to 1.0)."""</w:t>
              <w:br/>
              <w:t xml:space="preserve">    norm_h = min(max(hazard_depth / 4.0, 0.0), 1.0)           # 4.0m max inundation baseline</w:t>
              <w:br/>
              <w:t xml:space="preserve">    norm_p = min(max(displaced_persons / 10000.0, 0.0), 1.0)   # 10,000 evacuee taluk baseline</w:t>
              <w:br/>
              <w:t xml:space="preserve">    norm_b = min(max(road_blockage / 100.0, 0.0), 1.0)        # 100% complete road severance</w:t>
              <w:br/>
              <w:t xml:space="preserve">    norm_v = min(max(vulnerability_ratio, 0.0), 1.0)          # Pediatric / geriatric ratio</w:t>
              <w:br/>
              <w:t xml:space="preserve">    dpri_raw = 0.30 * norm_h + 0.25 * norm_p + 0.25 * norm_b + 0.20 * norm_v</w:t>
              <w:br/>
              <w:t xml:space="preserve">    return round(dpri_raw, 4)</w:t>
            </w:r>
          </w:p>
        </w:tc>
      </w:tr>
    </w:tbl>
    <w:p>
      <w:pPr>
        <w:keepNext/>
        <w:spacing w:before="160" w:after="40"/>
      </w:pPr>
      <w:r>
        <w:rPr>
          <w:rFonts w:ascii="Times New Roman" w:hAnsi="Times New Roman"/>
          <w:b/>
          <w:i w:val="0"/>
          <w:color w:val="000000"/>
          <w:sz w:val="20"/>
        </w:rPr>
        <w:t>Listing A.2: Constrained Multi-Depot Knapsack Allocation Solver (app/services/allocation_service.py)</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pPr>
            <w:r>
              <w:rPr>
                <w:rFonts w:ascii="Consolas" w:hAnsi="Consolas"/>
                <w:color w:val="000000"/>
                <w:sz w:val="17"/>
              </w:rPr>
              <w:t>def allocate_resources_greedy(demand: Dict[str, float], depots: List[DepotInventory], buffer_reserve: float = 0.15) -&gt; Dict:</w:t>
              <w:br/>
              <w:t xml:space="preserve">    """Allocates survival items across depots optimizing transit time while strictly holding 15% safety buffer."""</w:t>
              <w:br/>
              <w:t xml:space="preserve">    allocations = {}</w:t>
              <w:br/>
              <w:t xml:space="preserve">    for item, req_qty in demand.items():</w:t>
              <w:br/>
              <w:t xml:space="preserve">        sorted_depots = sorted(depots, key=lambda d: d.transit_hours)</w:t>
              <w:br/>
              <w:t xml:space="preserve">        for depot in sorted_depots:</w:t>
              <w:br/>
              <w:t xml:space="preserve">            available = depot.stock[item] * (1.0 - buffer_reserve)</w:t>
              <w:br/>
              <w:t xml:space="preserve">            fill = min(req_qty, available)</w:t>
              <w:br/>
              <w:t xml:space="preserve">            if fill &gt; 0:</w:t>
              <w:br/>
              <w:t xml:space="preserve">                allocations[depot.id] = allocations.get(depot.id, 0) + fill</w:t>
              <w:br/>
              <w:t xml:space="preserve">                req_qty -= fill</w:t>
              <w:br/>
              <w:t xml:space="preserve">                if req_qty &lt;= 0: break</w:t>
              <w:br/>
              <w:t xml:space="preserve">    return allocations</w:t>
            </w:r>
          </w:p>
        </w:tc>
      </w:tr>
    </w:tbl>
    <w:p>
      <w:r>
        <w:br w:type="page"/>
      </w:r>
    </w:p>
    <w:p>
      <w:pPr>
        <w:keepNext/>
        <w:spacing w:before="80" w:after="40"/>
      </w:pPr>
      <w:r>
        <w:rPr>
          <w:rFonts w:ascii="Times New Roman" w:hAnsi="Times New Roman"/>
          <w:b/>
          <w:i w:val="0"/>
          <w:color w:val="000000"/>
          <w:sz w:val="20"/>
        </w:rPr>
        <w:t>Listing A.3: Two-Stage Action ID Idempotent State Machine &amp; Audit Governance Engine (app/services/audit_service.py)</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spacing w:after="0"/>
            </w:pPr>
            <w:r>
              <w:rPr>
                <w:rFonts w:ascii="Consolas" w:hAnsi="Consolas"/>
                <w:color w:val="000000"/>
                <w:sz w:val="17"/>
              </w:rPr>
              <w:t>def commit_approved_manifest(action_id: str, plan_id: str, director_role: str, db: Session) -&gt; Dict:</w:t>
              <w:br/>
              <w:t xml:space="preserve">    """Guarantees cryptographic Action ID idempotency: returns existing receipt on duplicate submission."""</w:t>
              <w:br/>
              <w:t xml:space="preserve">    existing_action = db.query(AuditLedger).filter(AuditLedger.action_id == action_id).first()</w:t>
              <w:br/>
              <w:t xml:space="preserve">    if existing_action:</w:t>
              <w:br/>
              <w:t xml:space="preserve">        return {"status": "ALREADY_COMMITTED", "receipt": existing_action.id, "idempotent_replay": True}</w:t>
              <w:br/>
              <w:t xml:space="preserve">    plan = db.query(AllocationPlan).filter(AllocationPlan.id == plan_id).with_for_update().first()</w:t>
              <w:br/>
              <w:t xml:space="preserve">    if plan.status != PlanStatus.PENDING_APPROVAL:</w:t>
              <w:br/>
              <w:t xml:space="preserve">        raise StateTransitionError(f"Cannot approve plan in {plan.status} state")</w:t>
              <w:br/>
              <w:t xml:space="preserve">    plan.status = PlanStatus.APPROVED</w:t>
              <w:br/>
              <w:t xml:space="preserve">    audit_entry = AuditLedger(action_id=action_id, plan_id=plan.id, actor=director_role, status="COMMITTED")</w:t>
              <w:br/>
              <w:t xml:space="preserve">    db.add(audit_entry)</w:t>
              <w:br/>
              <w:t xml:space="preserve">    db.commit()</w:t>
              <w:br/>
              <w:t xml:space="preserve">    return {"status": "COMMITTED", "action_id": action_id}</w:t>
            </w:r>
          </w:p>
        </w:tc>
      </w:tr>
    </w:tbl>
    <w:p>
      <w:pPr>
        <w:pStyle w:val="Heading2"/>
        <w:spacing w:before="160" w:after="80"/>
      </w:pPr>
      <w:r>
        <w:t>Appendix B: Build, Deployment, and Test Verification Summary</w:t>
      </w:r>
    </w:p>
    <w:p>
      <w:pPr>
        <w:spacing w:after="80"/>
      </w:pPr>
      <w:r>
        <w:t>The reproducible CloudShield verification harness is automated via Python 3.11 and AWS CLI v2 in &lt;code&gt;ap-southeast-2&lt;/code&gt;:</w:t>
      </w:r>
    </w:p>
    <w:p>
      <w:pPr>
        <w:spacing w:after="60"/>
        <w:ind w:left="360"/>
      </w:pPr>
      <w:r>
        <w:rPr>
          <w:rFonts w:ascii="Times New Roman" w:hAnsi="Times New Roman"/>
          <w:b w:val="0"/>
          <w:i w:val="0"/>
          <w:color w:val="000000"/>
          <w:sz w:val="24"/>
        </w:rPr>
        <w:t xml:space="preserve">•  </w:t>
      </w:r>
      <w:r>
        <w:rPr>
          <w:rFonts w:ascii="Times New Roman" w:hAnsi="Times New Roman"/>
          <w:b/>
          <w:i w:val="0"/>
          <w:color w:val="000000"/>
          <w:sz w:val="24"/>
        </w:rPr>
        <w:t>Automated Test Suite:</w:t>
      </w:r>
      <w:r>
        <w:rPr>
          <w:rFonts w:ascii="Times New Roman" w:hAnsi="Times New Roman"/>
          <w:b w:val="0"/>
          <w:i w:val="0"/>
          <w:color w:val="000000"/>
          <w:sz w:val="24"/>
        </w:rPr>
        <w:t xml:space="preserve"> Execute full unit &amp; integration verification: </w:t>
      </w:r>
      <w:r>
        <w:rPr>
          <w:rFonts w:ascii="Consolas" w:hAnsi="Consolas"/>
          <w:b w:val="0"/>
          <w:i w:val="0"/>
          <w:color w:val="000000"/>
          <w:sz w:val="21"/>
        </w:rPr>
        <w:t>pytest tests/ -v --cov=app</w:t>
      </w:r>
    </w:p>
    <w:p>
      <w:pPr>
        <w:spacing w:after="60"/>
        <w:ind w:left="360"/>
      </w:pPr>
      <w:r>
        <w:rPr>
          <w:rFonts w:ascii="Times New Roman" w:hAnsi="Times New Roman"/>
          <w:b w:val="0"/>
          <w:i w:val="0"/>
          <w:color w:val="000000"/>
          <w:sz w:val="24"/>
        </w:rPr>
        <w:t xml:space="preserve">•  </w:t>
      </w:r>
      <w:r>
        <w:rPr>
          <w:rFonts w:ascii="Times New Roman" w:hAnsi="Times New Roman"/>
          <w:b/>
          <w:i w:val="0"/>
          <w:color w:val="000000"/>
          <w:sz w:val="24"/>
        </w:rPr>
        <w:t>AWS EC2 Deployment Bootstrap:</w:t>
      </w:r>
      <w:r>
        <w:rPr>
          <w:rFonts w:ascii="Times New Roman" w:hAnsi="Times New Roman"/>
          <w:b w:val="0"/>
          <w:i w:val="0"/>
          <w:color w:val="000000"/>
          <w:sz w:val="24"/>
        </w:rPr>
        <w:t xml:space="preserve"> Idempotent cloud provisioning: </w:t>
      </w:r>
      <w:r>
        <w:rPr>
          <w:rFonts w:ascii="Consolas" w:hAnsi="Consolas"/>
          <w:b w:val="0"/>
          <w:i w:val="0"/>
          <w:color w:val="000000"/>
          <w:sz w:val="21"/>
        </w:rPr>
        <w:t>bash deployment/aws/ec2_bootstrap.sh</w:t>
      </w:r>
    </w:p>
    <w:p>
      <w:pPr>
        <w:spacing w:after="60"/>
        <w:ind w:left="360"/>
      </w:pPr>
      <w:r>
        <w:rPr>
          <w:rFonts w:ascii="Times New Roman" w:hAnsi="Times New Roman"/>
          <w:b w:val="0"/>
          <w:i w:val="0"/>
          <w:color w:val="000000"/>
          <w:sz w:val="24"/>
        </w:rPr>
        <w:t xml:space="preserve">•  </w:t>
      </w:r>
      <w:r>
        <w:rPr>
          <w:rFonts w:ascii="Times New Roman" w:hAnsi="Times New Roman"/>
          <w:b/>
          <w:i w:val="0"/>
          <w:color w:val="000000"/>
          <w:sz w:val="24"/>
        </w:rPr>
        <w:t>Live Production Health Check:</w:t>
      </w:r>
      <w:r>
        <w:rPr>
          <w:rFonts w:ascii="Times New Roman" w:hAnsi="Times New Roman"/>
          <w:b w:val="0"/>
          <w:i w:val="0"/>
          <w:color w:val="000000"/>
          <w:sz w:val="24"/>
        </w:rPr>
        <w:t xml:space="preserve"> Operational endpoint probe: </w:t>
      </w:r>
      <w:r>
        <w:rPr>
          <w:rFonts w:ascii="Consolas" w:hAnsi="Consolas"/>
          <w:b w:val="0"/>
          <w:i w:val="0"/>
          <w:color w:val="000000"/>
          <w:sz w:val="21"/>
        </w:rPr>
        <w:t>curl -s http://32.236.173.240:8000/health</w:t>
      </w:r>
    </w:p>
    <w:p>
      <w:pPr>
        <w:spacing w:after="60"/>
        <w:ind w:left="360"/>
      </w:pPr>
      <w:r>
        <w:rPr>
          <w:rFonts w:ascii="Times New Roman" w:hAnsi="Times New Roman"/>
          <w:b w:val="0"/>
          <w:i w:val="0"/>
          <w:color w:val="000000"/>
          <w:sz w:val="24"/>
        </w:rPr>
        <w:t xml:space="preserve">•  </w:t>
      </w:r>
      <w:r>
        <w:rPr>
          <w:rFonts w:ascii="Times New Roman" w:hAnsi="Times New Roman"/>
          <w:b/>
          <w:i w:val="0"/>
          <w:color w:val="000000"/>
          <w:sz w:val="24"/>
        </w:rPr>
        <w:t>Audit Trail Ingestion:</w:t>
      </w:r>
      <w:r>
        <w:rPr>
          <w:rFonts w:ascii="Times New Roman" w:hAnsi="Times New Roman"/>
          <w:b w:val="0"/>
          <w:i w:val="0"/>
          <w:color w:val="000000"/>
          <w:sz w:val="24"/>
        </w:rPr>
        <w:t xml:space="preserve"> Retrieve cryptographic audit logs: </w:t>
      </w:r>
      <w:r>
        <w:rPr>
          <w:rFonts w:ascii="Consolas" w:hAnsi="Consolas"/>
          <w:b w:val="0"/>
          <w:i w:val="0"/>
          <w:color w:val="000000"/>
          <w:sz w:val="21"/>
        </w:rPr>
        <w:t>curl -s http://32.236.173.240:8000/api/audit</w:t>
      </w:r>
    </w:p>
    <w:p>
      <w:pPr>
        <w:pStyle w:val="Heading2"/>
        <w:spacing w:before="160" w:after="80"/>
      </w:pPr>
      <w:r>
        <w:t>Appendix C: System and Benchmark Screenshots</w:t>
      </w:r>
    </w:p>
    <w:p>
      <w:pPr>
        <w:spacing w:after="80"/>
      </w:pPr>
      <w:r>
        <w:t>Screenshots capturing real-time incident command telemetry in CloudShield and AWS CloudWatch audit streaming:</w:t>
      </w:r>
    </w:p>
    <w:tbl>
      <w:tblPr>
        <w:tblW w:type="auto" w:w="0"/>
        <w:jc w:val="center"/>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40" w:type="dxa"/>
              <w:right w:w="40" w:type="dxa"/>
            </w:tcMar>
          </w:tcPr>
          <w:p>
            <w:pPr>
              <w:jc w:val="center"/>
            </w:pPr>
            <w:r>
              <w:drawing>
                <wp:inline xmlns:a="http://schemas.openxmlformats.org/drawingml/2006/main" xmlns:pic="http://schemas.openxmlformats.org/drawingml/2006/picture">
                  <wp:extent cx="2834640" cy="1660922"/>
                  <wp:docPr id="16" name="Picture 16"/>
                  <wp:cNvGraphicFramePr>
                    <a:graphicFrameLocks noChangeAspect="1"/>
                  </wp:cNvGraphicFramePr>
                  <a:graphic>
                    <a:graphicData uri="http://schemas.openxmlformats.org/drawingml/2006/picture">
                      <pic:pic>
                        <pic:nvPicPr>
                          <pic:cNvPr id="0" name="ui_1_intake_and_dpri.png"/>
                          <pic:cNvPicPr/>
                        </pic:nvPicPr>
                        <pic:blipFill>
                          <a:blip r:embed="rId19"/>
                          <a:stretch>
                            <a:fillRect/>
                          </a:stretch>
                        </pic:blipFill>
                        <pic:spPr>
                          <a:xfrm>
                            <a:off x="0" y="0"/>
                            <a:ext cx="2834640" cy="1660922"/>
                          </a:xfrm>
                          <a:prstGeom prst="rect"/>
                        </pic:spPr>
                      </pic:pic>
                    </a:graphicData>
                  </a:graphic>
                </wp:inline>
              </w:drawing>
            </w:r>
          </w:p>
        </w:tc>
        <w:tc>
          <w:tcPr>
            <w:tcW w:type="dxa" w:w="4608"/>
            <w:tcBorders>
              <w:top w:val="none"/>
              <w:left w:val="none"/>
              <w:bottom w:val="none"/>
              <w:right w:val="none"/>
            </w:tcBorders>
            <w:tcMar>
              <w:top w:w="0" w:type="dxa"/>
              <w:bottom w:w="0" w:type="dxa"/>
              <w:left w:w="40" w:type="dxa"/>
              <w:right w:w="40" w:type="dxa"/>
            </w:tcMar>
          </w:tcPr>
          <w:p>
            <w:pPr>
              <w:jc w:val="center"/>
            </w:pPr>
            <w:r>
              <w:drawing>
                <wp:inline xmlns:a="http://schemas.openxmlformats.org/drawingml/2006/main" xmlns:pic="http://schemas.openxmlformats.org/drawingml/2006/picture">
                  <wp:extent cx="2834640" cy="1771650"/>
                  <wp:docPr id="17" name="Picture 17"/>
                  <wp:cNvGraphicFramePr>
                    <a:graphicFrameLocks noChangeAspect="1"/>
                  </wp:cNvGraphicFramePr>
                  <a:graphic>
                    <a:graphicData uri="http://schemas.openxmlformats.org/drawingml/2006/picture">
                      <pic:pic>
                        <pic:nvPicPr>
                          <pic:cNvPr id="0" name="ui_3_approval_and_audit.png"/>
                          <pic:cNvPicPr/>
                        </pic:nvPicPr>
                        <pic:blipFill>
                          <a:blip r:embed="rId22"/>
                          <a:stretch>
                            <a:fillRect/>
                          </a:stretch>
                        </pic:blipFill>
                        <pic:spPr>
                          <a:xfrm>
                            <a:off x="0" y="0"/>
                            <a:ext cx="2834640" cy="1771650"/>
                          </a:xfrm>
                          <a:prstGeom prst="rect"/>
                        </pic:spPr>
                      </pic:pic>
                    </a:graphicData>
                  </a:graphic>
                </wp:inline>
              </w:drawing>
            </w:r>
          </w:p>
        </w:tc>
      </w:tr>
    </w:tbl>
    <w:p>
      <w:pPr>
        <w:spacing w:before="80" w:after="0"/>
        <w:jc w:val="center"/>
      </w:pPr>
      <w:r>
        <w:rPr>
          <w:rFonts w:ascii="Times New Roman" w:hAnsi="Times New Roman"/>
          <w:b/>
          <w:i w:val="0"/>
          <w:color w:val="000000"/>
          <w:sz w:val="21"/>
        </w:rPr>
        <w:t>Figure C.1: Live Incident Intake and DPRI Urgency Heatmap.</w:t>
      </w:r>
      <w:r>
        <w:rPr>
          <w:rFonts w:ascii="Times New Roman" w:hAnsi="Times New Roman"/>
          <w:b w:val="0"/>
          <w:i w:val="0"/>
          <w:color w:val="000000"/>
          <w:sz w:val="21"/>
        </w:rPr>
        <w:t xml:space="preserve">        </w:t>
      </w:r>
      <w:r>
        <w:rPr>
          <w:rFonts w:ascii="Times New Roman" w:hAnsi="Times New Roman"/>
          <w:b/>
          <w:i w:val="0"/>
          <w:color w:val="000000"/>
          <w:sz w:val="21"/>
        </w:rPr>
        <w:t>Figure C.2: Real-Time Human Governance &amp; Immutable Audit Log.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2"/>
      </w:rPr>
    </w:r>
    <w:r>
      <w:rPr>
        <w:rFonts w:ascii="Times New Roman" w:hAnsi="Times New Roman"/>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8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