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jc w:val="center"/>
      </w:pPr>
      <w:r>
        <w:rPr>
          <w:rFonts w:ascii="Times New Roman" w:hAnsi="Times New Roman"/>
          <w:b/>
          <w:color w:val="0F2B5C"/>
          <w:sz w:val="30"/>
        </w:rPr>
        <w:t>VELLORE INSTITUTE OF TECHNOLOGY</w:t>
        <w:br/>
      </w:r>
      <w:r>
        <w:rPr>
          <w:rFonts w:ascii="Times New Roman" w:hAnsi="Times New Roman"/>
          <w:color w:val="4B5563"/>
          <w:sz w:val="22"/>
        </w:rPr>
        <w:t>(Deemed to be University under section 3 of UGC Act, 1956)</w:t>
        <w:br/>
        <w:t>Vellore — 632014, Tamil Nadu, India</w:t>
      </w:r>
    </w:p>
    <w:p>
      <w:pPr>
        <w:spacing w:before="200" w:after="240"/>
        <w:jc w:val="center"/>
      </w:pPr>
      <w:r>
        <w:drawing>
          <wp:inline xmlns:a="http://schemas.openxmlformats.org/drawingml/2006/main" xmlns:pic="http://schemas.openxmlformats.org/drawingml/2006/picture">
            <wp:extent cx="2103120" cy="1793838"/>
            <wp:docPr id="1" name="Picture 1"/>
            <wp:cNvGraphicFramePr>
              <a:graphicFrameLocks noChangeAspect="1"/>
            </wp:cNvGraphicFramePr>
            <a:graphic>
              <a:graphicData uri="http://schemas.openxmlformats.org/drawingml/2006/picture">
                <pic:pic>
                  <pic:nvPicPr>
                    <pic:cNvPr id="0" name="vit_crest.png"/>
                    <pic:cNvPicPr/>
                  </pic:nvPicPr>
                  <pic:blipFill>
                    <a:blip r:embed="rId11"/>
                    <a:stretch>
                      <a:fillRect/>
                    </a:stretch>
                  </pic:blipFill>
                  <pic:spPr>
                    <a:xfrm>
                      <a:off x="0" y="0"/>
                      <a:ext cx="2103120" cy="1793838"/>
                    </a:xfrm>
                    <a:prstGeom prst="rect"/>
                  </pic:spPr>
                </pic:pic>
              </a:graphicData>
            </a:graphic>
          </wp:inline>
        </w:drawing>
      </w:r>
    </w:p>
    <w:p>
      <w:pPr>
        <w:spacing w:before="80" w:after="40"/>
        <w:jc w:val="center"/>
      </w:pPr>
      <w:r>
        <w:rPr>
          <w:rFonts w:ascii="Times New Roman" w:hAnsi="Times New Roman"/>
          <w:b/>
          <w:color w:val="1E3A8A"/>
          <w:sz w:val="24"/>
        </w:rPr>
        <w:t>SCHOOL OF COMPUTER SCIENCE ENGINEERING AND INFORMATION SYSTEMS (SCORE)</w:t>
        <w:br/>
      </w:r>
      <w:r>
        <w:rPr>
          <w:rFonts w:ascii="Times New Roman" w:hAnsi="Times New Roman"/>
          <w:color w:val="374151"/>
          <w:sz w:val="22"/>
        </w:rPr>
        <w:t>Course: BCSE355L — Cloud Architecture Design</w:t>
        <w:br/>
        <w:t>Fall Semester 2026–2027</w:t>
      </w:r>
    </w:p>
    <w:tbl>
      <w:tblPr>
        <w:tblW w:type="auto" w:w="0"/>
        <w:jc w:val="center"/>
        <w:tblLook w:firstColumn="1" w:firstRow="1" w:lastColumn="0" w:lastRow="0" w:noHBand="0" w:noVBand="1" w:val="04A0"/>
      </w:tblPr>
      <w:tblGrid>
        <w:gridCol w:w="9360"/>
      </w:tblGrid>
      <w:tr>
        <w:tc>
          <w:tcPr>
            <w:tcW w:type="dxa" w:w="9360"/>
            <w:shd w:fill="F8FAFC"/>
            <w:tcBorders>
              <w:top w:val="single" w:sz="10" w:space="0" w:color="0F2B5C"/>
              <w:left w:val="single" w:sz="10" w:space="0" w:color="0F2B5C"/>
              <w:bottom w:val="single" w:sz="10" w:space="0" w:color="0F2B5C"/>
              <w:right w:val="single" w:sz="10" w:space="0" w:color="0F2B5C"/>
            </w:tcBorders>
            <w:tcMar>
              <w:top w:w="160" w:type="dxa"/>
              <w:bottom w:w="160" w:type="dxa"/>
              <w:left w:w="200" w:type="dxa"/>
              <w:right w:w="200" w:type="dxa"/>
            </w:tcMar>
          </w:tcPr>
          <w:p>
            <w:pPr>
              <w:jc w:val="center"/>
            </w:pPr>
            <w:r>
              <w:rPr>
                <w:rFonts w:ascii="Times New Roman" w:hAnsi="Times New Roman"/>
                <w:b/>
                <w:color w:val="0F2B5C"/>
                <w:sz w:val="30"/>
              </w:rPr>
              <w:t>CLOUDSHIELD: PREDICTIVE DISASTER RESOURCE AND LOGISTIC ALLOCATION SYSTEM</w:t>
              <w:br/>
            </w:r>
            <w:r>
              <w:rPr>
                <w:rFonts w:ascii="Times New Roman" w:hAnsi="Times New Roman"/>
                <w:color w:val="4B5563"/>
                <w:sz w:val="22"/>
              </w:rPr>
              <w:t>A Human-Centric, Sphere-Calibrated Decision Support and Inventory Optimization Architecture for Acute Climate Emergencies</w:t>
            </w:r>
          </w:p>
        </w:tc>
      </w:tr>
    </w:tbl>
    <w:p>
      <w:pPr>
        <w:spacing w:before="320" w:after="0"/>
      </w:pPr>
    </w:p>
    <w:tbl>
      <w:tblPr>
        <w:tblW w:type="auto" w:w="0"/>
        <w:jc w:val="center"/>
        <w:tblLook w:firstColumn="1" w:firstRow="1" w:lastColumn="0" w:lastRow="0" w:noHBand="0" w:noVBand="1" w:val="04A0"/>
      </w:tblPr>
      <w:tblGrid>
        <w:gridCol w:w="4680"/>
        <w:gridCol w:w="4680"/>
      </w:tblGrid>
      <w:tr>
        <w:tc>
          <w:tcPr>
            <w:tcW w:type="dxa" w:w="4680"/>
            <w:shd w:fill="F1F5F9"/>
            <w:tcBorders>
              <w:top w:val="single" w:sz="6" w:space="0" w:color="CBD5E1"/>
              <w:left w:val="single" w:sz="6" w:space="0" w:color="CBD5E1"/>
              <w:bottom w:val="single" w:sz="6" w:space="0" w:color="CBD5E1"/>
              <w:right w:val="single" w:sz="6" w:space="0" w:color="CBD5E1"/>
            </w:tcBorders>
            <w:tcMar>
              <w:top w:w="140" w:type="dxa"/>
              <w:bottom w:w="140" w:type="dxa"/>
              <w:left w:w="160" w:type="dxa"/>
              <w:right w:w="160" w:type="dxa"/>
            </w:tcMar>
          </w:tcPr>
          <w:p>
            <w:r>
              <w:rPr>
                <w:rFonts w:ascii="Times New Roman" w:hAnsi="Times New Roman"/>
                <w:b/>
                <w:color w:val="0F2B5C"/>
                <w:sz w:val="22"/>
              </w:rPr>
              <w:t>SUBMITTED BY:</w:t>
              <w:br/>
            </w:r>
            <w:r>
              <w:rPr>
                <w:rFonts w:ascii="Times New Roman" w:hAnsi="Times New Roman"/>
                <w:b/>
                <w:color w:val="1F2937"/>
                <w:sz w:val="21"/>
              </w:rPr>
              <w:t>Dev Arpit Patel (Reg. No: 24BIT0491)</w:t>
              <w:br/>
              <w:t>Neelesh A (Reg. No: 24BIT0437)</w:t>
              <w:br/>
              <w:t>Satwik Jaiswal (Reg. No: 24BIT0527)</w:t>
              <w:br/>
            </w:r>
            <w:r>
              <w:rPr>
                <w:rFonts w:ascii="Times New Roman" w:hAnsi="Times New Roman"/>
                <w:i/>
                <w:color w:val="374151"/>
                <w:sz w:val="21"/>
              </w:rPr>
              <w:t>B.Tech Information Technology</w:t>
            </w:r>
          </w:p>
        </w:tc>
        <w:tc>
          <w:tcPr>
            <w:tcW w:type="dxa" w:w="4680"/>
            <w:shd w:fill="F1F5F9"/>
            <w:tcBorders>
              <w:top w:val="single" w:sz="6" w:space="0" w:color="CBD5E1"/>
              <w:left w:val="single" w:sz="6" w:space="0" w:color="CBD5E1"/>
              <w:bottom w:val="single" w:sz="6" w:space="0" w:color="CBD5E1"/>
              <w:right w:val="single" w:sz="6" w:space="0" w:color="CBD5E1"/>
            </w:tcBorders>
            <w:tcMar>
              <w:top w:w="140" w:type="dxa"/>
              <w:bottom w:w="140" w:type="dxa"/>
              <w:left w:w="160" w:type="dxa"/>
              <w:right w:w="160" w:type="dxa"/>
            </w:tcMar>
          </w:tcPr>
          <w:p>
            <w:r>
              <w:rPr>
                <w:rFonts w:ascii="Times New Roman" w:hAnsi="Times New Roman"/>
                <w:b/>
                <w:color w:val="0F2B5C"/>
                <w:sz w:val="22"/>
              </w:rPr>
              <w:t>FACULTY GUIDE:</w:t>
              <w:br/>
            </w:r>
            <w:r>
              <w:rPr>
                <w:rFonts w:ascii="Times New Roman" w:hAnsi="Times New Roman"/>
                <w:b/>
                <w:color w:val="1F2937"/>
                <w:sz w:val="21"/>
              </w:rPr>
              <w:t>Prof. Venketesh P.</w:t>
              <w:br/>
            </w:r>
            <w:r>
              <w:rPr>
                <w:rFonts w:ascii="Times New Roman" w:hAnsi="Times New Roman"/>
                <w:color w:val="1F2937"/>
                <w:sz w:val="21"/>
              </w:rPr>
              <w:t>Associate Professor</w:t>
              <w:br/>
              <w:t>School of Computer Science Engineering and Information Systems (SCORE)</w:t>
              <w:br/>
              <w:t>VIT Vellore — 632014, Tamil Nadu</w:t>
            </w:r>
          </w:p>
        </w:tc>
      </w:tr>
    </w:tbl>
    <w:p>
      <w:r>
        <w:br w:type="page"/>
      </w:r>
    </w:p>
    <w:p>
      <w:pPr>
        <w:pStyle w:val="Heading1"/>
        <w:spacing w:before="120" w:after="160"/>
        <w:jc w:val="left"/>
      </w:pPr>
      <w:r>
        <w:t>TABLE OF CONTENTS</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single" w:sz="3" w:space="0" w:color="E2E8F0"/>
              <w:right w:val="none"/>
            </w:tcBorders>
            <w:tcMar>
              <w:top w:w="50" w:type="dxa"/>
              <w:bottom w:w="50" w:type="dxa"/>
              <w:left w:w="80" w:type="dxa"/>
              <w:right w:w="80" w:type="dxa"/>
            </w:tcMar>
          </w:tcPr>
          <w:p>
            <w:pPr>
              <w:spacing w:after="40"/>
            </w:pPr>
            <w:r>
              <w:rPr>
                <w:rFonts w:ascii="Times New Roman" w:hAnsi="Times New Roman"/>
                <w:b/>
                <w:color w:val="1F2937"/>
                <w:sz w:val="21"/>
              </w:rPr>
              <w:t>Chapter 1: The Humanistic Imperative: Disaster Reality &amp; The Genesis of CloudShield</w:t>
            </w:r>
          </w:p>
        </w:tc>
        <w:tc>
          <w:tcPr>
            <w:tcW w:type="dxa" w:w="1296"/>
            <w:tcBorders>
              <w:top w:val="none"/>
              <w:left w:val="none"/>
              <w:bottom w:val="single" w:sz="3" w:space="0" w:color="E2E8F0"/>
              <w:right w:val="none"/>
            </w:tcBorders>
            <w:tcMar>
              <w:top w:w="50" w:type="dxa"/>
              <w:bottom w:w="50" w:type="dxa"/>
              <w:left w:w="80" w:type="dxa"/>
              <w:right w:w="80" w:type="dxa"/>
            </w:tcMar>
          </w:tcPr>
          <w:p>
            <w:pPr>
              <w:spacing w:after="40"/>
              <w:jc w:val="right"/>
            </w:pPr>
            <w:r>
              <w:rPr>
                <w:rFonts w:ascii="Times New Roman" w:hAnsi="Times New Roman"/>
                <w:b/>
                <w:color w:val="0F2B5C"/>
                <w:sz w:val="21"/>
              </w:rPr>
              <w:t>Page 3</w:t>
            </w:r>
          </w:p>
        </w:tc>
      </w:tr>
      <w:tr>
        <w:tc>
          <w:tcPr>
            <w:tcW w:type="dxa" w:w="8064"/>
            <w:tcBorders>
              <w:top w:val="none"/>
              <w:left w:val="none"/>
              <w:bottom w:val="single" w:sz="3" w:space="0" w:color="E2E8F0"/>
              <w:right w:val="none"/>
            </w:tcBorders>
            <w:tcMar>
              <w:top w:w="50" w:type="dxa"/>
              <w:bottom w:w="50" w:type="dxa"/>
              <w:left w:w="80" w:type="dxa"/>
              <w:right w:w="80" w:type="dxa"/>
            </w:tcMar>
          </w:tcPr>
          <w:p>
            <w:pPr>
              <w:spacing w:after="40"/>
            </w:pPr>
            <w:r>
              <w:rPr>
                <w:rFonts w:ascii="Times New Roman" w:hAnsi="Times New Roman"/>
                <w:b/>
                <w:color w:val="1F2937"/>
                <w:sz w:val="21"/>
              </w:rPr>
              <w:t>Chapter 2: Structural Gaps and Pathologies in Traditional Emergency Logistics</w:t>
            </w:r>
          </w:p>
        </w:tc>
        <w:tc>
          <w:tcPr>
            <w:tcW w:type="dxa" w:w="1296"/>
            <w:tcBorders>
              <w:top w:val="none"/>
              <w:left w:val="none"/>
              <w:bottom w:val="single" w:sz="3" w:space="0" w:color="E2E8F0"/>
              <w:right w:val="none"/>
            </w:tcBorders>
            <w:tcMar>
              <w:top w:w="50" w:type="dxa"/>
              <w:bottom w:w="50" w:type="dxa"/>
              <w:left w:w="80" w:type="dxa"/>
              <w:right w:w="80" w:type="dxa"/>
            </w:tcMar>
          </w:tcPr>
          <w:p>
            <w:pPr>
              <w:spacing w:after="40"/>
              <w:jc w:val="right"/>
            </w:pPr>
            <w:r>
              <w:rPr>
                <w:rFonts w:ascii="Times New Roman" w:hAnsi="Times New Roman"/>
                <w:b/>
                <w:color w:val="0F2B5C"/>
                <w:sz w:val="21"/>
              </w:rPr>
              <w:t>Page 5</w:t>
            </w:r>
          </w:p>
        </w:tc>
      </w:tr>
      <w:tr>
        <w:tc>
          <w:tcPr>
            <w:tcW w:type="dxa" w:w="8064"/>
            <w:tcBorders>
              <w:top w:val="none"/>
              <w:left w:val="none"/>
              <w:bottom w:val="single" w:sz="3" w:space="0" w:color="E2E8F0"/>
              <w:right w:val="none"/>
            </w:tcBorders>
            <w:tcMar>
              <w:top w:w="50" w:type="dxa"/>
              <w:bottom w:w="50" w:type="dxa"/>
              <w:left w:w="80" w:type="dxa"/>
              <w:right w:w="80" w:type="dxa"/>
            </w:tcMar>
          </w:tcPr>
          <w:p>
            <w:pPr>
              <w:spacing w:after="40"/>
            </w:pPr>
            <w:r>
              <w:rPr>
                <w:rFonts w:ascii="Times New Roman" w:hAnsi="Times New Roman"/>
                <w:b/>
                <w:color w:val="1F2937"/>
                <w:sz w:val="21"/>
              </w:rPr>
              <w:t>Chapter 3: Intellectual Property &amp; Core Technical Novelty (IDF-B Alignment)</w:t>
            </w:r>
          </w:p>
        </w:tc>
        <w:tc>
          <w:tcPr>
            <w:tcW w:type="dxa" w:w="1296"/>
            <w:tcBorders>
              <w:top w:val="none"/>
              <w:left w:val="none"/>
              <w:bottom w:val="single" w:sz="3" w:space="0" w:color="E2E8F0"/>
              <w:right w:val="none"/>
            </w:tcBorders>
            <w:tcMar>
              <w:top w:w="50" w:type="dxa"/>
              <w:bottom w:w="50" w:type="dxa"/>
              <w:left w:w="80" w:type="dxa"/>
              <w:right w:w="80" w:type="dxa"/>
            </w:tcMar>
          </w:tcPr>
          <w:p>
            <w:pPr>
              <w:spacing w:after="40"/>
              <w:jc w:val="right"/>
            </w:pPr>
            <w:r>
              <w:rPr>
                <w:rFonts w:ascii="Times New Roman" w:hAnsi="Times New Roman"/>
                <w:b/>
                <w:color w:val="0F2B5C"/>
                <w:sz w:val="21"/>
              </w:rPr>
              <w:t>Page 8</w:t>
            </w:r>
          </w:p>
        </w:tc>
      </w:tr>
      <w:tr>
        <w:tc>
          <w:tcPr>
            <w:tcW w:type="dxa" w:w="8064"/>
            <w:tcBorders>
              <w:top w:val="none"/>
              <w:left w:val="none"/>
              <w:bottom w:val="single" w:sz="3" w:space="0" w:color="E2E8F0"/>
              <w:right w:val="none"/>
            </w:tcBorders>
            <w:tcMar>
              <w:top w:w="50" w:type="dxa"/>
              <w:bottom w:w="50" w:type="dxa"/>
              <w:left w:w="80" w:type="dxa"/>
              <w:right w:w="80" w:type="dxa"/>
            </w:tcMar>
          </w:tcPr>
          <w:p>
            <w:pPr>
              <w:spacing w:after="40"/>
            </w:pPr>
            <w:r>
              <w:rPr>
                <w:rFonts w:ascii="Times New Roman" w:hAnsi="Times New Roman"/>
                <w:b/>
                <w:color w:val="1F2937"/>
                <w:sz w:val="21"/>
              </w:rPr>
              <w:t>Chapter 4: Mathematical Foundations &amp; Sphere Minimum Survival Standards</w:t>
            </w:r>
          </w:p>
        </w:tc>
        <w:tc>
          <w:tcPr>
            <w:tcW w:type="dxa" w:w="1296"/>
            <w:tcBorders>
              <w:top w:val="none"/>
              <w:left w:val="none"/>
              <w:bottom w:val="single" w:sz="3" w:space="0" w:color="E2E8F0"/>
              <w:right w:val="none"/>
            </w:tcBorders>
            <w:tcMar>
              <w:top w:w="50" w:type="dxa"/>
              <w:bottom w:w="50" w:type="dxa"/>
              <w:left w:w="80" w:type="dxa"/>
              <w:right w:w="80" w:type="dxa"/>
            </w:tcMar>
          </w:tcPr>
          <w:p>
            <w:pPr>
              <w:spacing w:after="40"/>
              <w:jc w:val="right"/>
            </w:pPr>
            <w:r>
              <w:rPr>
                <w:rFonts w:ascii="Times New Roman" w:hAnsi="Times New Roman"/>
                <w:b/>
                <w:color w:val="0F2B5C"/>
                <w:sz w:val="21"/>
              </w:rPr>
              <w:t>Page 11</w:t>
            </w:r>
          </w:p>
        </w:tc>
      </w:tr>
      <w:tr>
        <w:tc>
          <w:tcPr>
            <w:tcW w:type="dxa" w:w="8064"/>
            <w:tcBorders>
              <w:top w:val="none"/>
              <w:left w:val="none"/>
              <w:bottom w:val="single" w:sz="3" w:space="0" w:color="E2E8F0"/>
              <w:right w:val="none"/>
            </w:tcBorders>
            <w:tcMar>
              <w:top w:w="50" w:type="dxa"/>
              <w:bottom w:w="50" w:type="dxa"/>
              <w:left w:w="80" w:type="dxa"/>
              <w:right w:w="80" w:type="dxa"/>
            </w:tcMar>
          </w:tcPr>
          <w:p>
            <w:pPr>
              <w:spacing w:after="40"/>
            </w:pPr>
            <w:r>
              <w:rPr>
                <w:rFonts w:ascii="Times New Roman" w:hAnsi="Times New Roman"/>
                <w:b/>
                <w:color w:val="1F2937"/>
                <w:sz w:val="21"/>
              </w:rPr>
              <w:t>Chapter 5: Algorithmic Logistics Optimization: The Multi-Depot Knapsack Engine</w:t>
            </w:r>
          </w:p>
        </w:tc>
        <w:tc>
          <w:tcPr>
            <w:tcW w:type="dxa" w:w="1296"/>
            <w:tcBorders>
              <w:top w:val="none"/>
              <w:left w:val="none"/>
              <w:bottom w:val="single" w:sz="3" w:space="0" w:color="E2E8F0"/>
              <w:right w:val="none"/>
            </w:tcBorders>
            <w:tcMar>
              <w:top w:w="50" w:type="dxa"/>
              <w:bottom w:w="50" w:type="dxa"/>
              <w:left w:w="80" w:type="dxa"/>
              <w:right w:w="80" w:type="dxa"/>
            </w:tcMar>
          </w:tcPr>
          <w:p>
            <w:pPr>
              <w:spacing w:after="40"/>
              <w:jc w:val="right"/>
            </w:pPr>
            <w:r>
              <w:rPr>
                <w:rFonts w:ascii="Times New Roman" w:hAnsi="Times New Roman"/>
                <w:b/>
                <w:color w:val="0F2B5C"/>
                <w:sz w:val="21"/>
              </w:rPr>
              <w:t>Page 14</w:t>
            </w:r>
          </w:p>
        </w:tc>
      </w:tr>
      <w:tr>
        <w:tc>
          <w:tcPr>
            <w:tcW w:type="dxa" w:w="8064"/>
            <w:tcBorders>
              <w:top w:val="none"/>
              <w:left w:val="none"/>
              <w:bottom w:val="single" w:sz="3" w:space="0" w:color="E2E8F0"/>
              <w:right w:val="none"/>
            </w:tcBorders>
            <w:tcMar>
              <w:top w:w="50" w:type="dxa"/>
              <w:bottom w:w="50" w:type="dxa"/>
              <w:left w:w="80" w:type="dxa"/>
              <w:right w:w="80" w:type="dxa"/>
            </w:tcMar>
          </w:tcPr>
          <w:p>
            <w:pPr>
              <w:spacing w:after="40"/>
            </w:pPr>
            <w:r>
              <w:rPr>
                <w:rFonts w:ascii="Times New Roman" w:hAnsi="Times New Roman"/>
                <w:b/>
                <w:color w:val="1F2937"/>
                <w:sz w:val="21"/>
              </w:rPr>
              <w:t>Chapter 6: Two-Stage Human-in-the-Loop Governance &amp; State Machine Architecture</w:t>
            </w:r>
          </w:p>
        </w:tc>
        <w:tc>
          <w:tcPr>
            <w:tcW w:type="dxa" w:w="1296"/>
            <w:tcBorders>
              <w:top w:val="none"/>
              <w:left w:val="none"/>
              <w:bottom w:val="single" w:sz="3" w:space="0" w:color="E2E8F0"/>
              <w:right w:val="none"/>
            </w:tcBorders>
            <w:tcMar>
              <w:top w:w="50" w:type="dxa"/>
              <w:bottom w:w="50" w:type="dxa"/>
              <w:left w:w="80" w:type="dxa"/>
              <w:right w:w="80" w:type="dxa"/>
            </w:tcMar>
          </w:tcPr>
          <w:p>
            <w:pPr>
              <w:spacing w:after="40"/>
              <w:jc w:val="right"/>
            </w:pPr>
            <w:r>
              <w:rPr>
                <w:rFonts w:ascii="Times New Roman" w:hAnsi="Times New Roman"/>
                <w:b/>
                <w:color w:val="0F2B5C"/>
                <w:sz w:val="21"/>
              </w:rPr>
              <w:t>Page 17</w:t>
            </w:r>
          </w:p>
        </w:tc>
      </w:tr>
      <w:tr>
        <w:tc>
          <w:tcPr>
            <w:tcW w:type="dxa" w:w="8064"/>
            <w:tcBorders>
              <w:top w:val="none"/>
              <w:left w:val="none"/>
              <w:bottom w:val="single" w:sz="3" w:space="0" w:color="E2E8F0"/>
              <w:right w:val="none"/>
            </w:tcBorders>
            <w:tcMar>
              <w:top w:w="50" w:type="dxa"/>
              <w:bottom w:w="50" w:type="dxa"/>
              <w:left w:w="80" w:type="dxa"/>
              <w:right w:w="80" w:type="dxa"/>
            </w:tcMar>
          </w:tcPr>
          <w:p>
            <w:pPr>
              <w:spacing w:after="40"/>
            </w:pPr>
            <w:r>
              <w:rPr>
                <w:rFonts w:ascii="Times New Roman" w:hAnsi="Times New Roman"/>
                <w:b/>
                <w:color w:val="1F2937"/>
                <w:sz w:val="21"/>
              </w:rPr>
              <w:t>Chapter 7: Comprehensive AWS Cloud Architecture: Service-by-Service Deep Dive</w:t>
            </w:r>
          </w:p>
        </w:tc>
        <w:tc>
          <w:tcPr>
            <w:tcW w:type="dxa" w:w="1296"/>
            <w:tcBorders>
              <w:top w:val="none"/>
              <w:left w:val="none"/>
              <w:bottom w:val="single" w:sz="3" w:space="0" w:color="E2E8F0"/>
              <w:right w:val="none"/>
            </w:tcBorders>
            <w:tcMar>
              <w:top w:w="50" w:type="dxa"/>
              <w:bottom w:w="50" w:type="dxa"/>
              <w:left w:w="80" w:type="dxa"/>
              <w:right w:w="80" w:type="dxa"/>
            </w:tcMar>
          </w:tcPr>
          <w:p>
            <w:pPr>
              <w:spacing w:after="40"/>
              <w:jc w:val="right"/>
            </w:pPr>
            <w:r>
              <w:rPr>
                <w:rFonts w:ascii="Times New Roman" w:hAnsi="Times New Roman"/>
                <w:b/>
                <w:color w:val="0F2B5C"/>
                <w:sz w:val="21"/>
              </w:rPr>
              <w:t>Page 20</w:t>
            </w:r>
          </w:p>
        </w:tc>
      </w:tr>
      <w:tr>
        <w:tc>
          <w:tcPr>
            <w:tcW w:type="dxa" w:w="8064"/>
            <w:tcBorders>
              <w:top w:val="none"/>
              <w:left w:val="none"/>
              <w:bottom w:val="single" w:sz="3" w:space="0" w:color="E2E8F0"/>
              <w:right w:val="none"/>
            </w:tcBorders>
            <w:tcMar>
              <w:top w:w="50" w:type="dxa"/>
              <w:bottom w:w="50" w:type="dxa"/>
              <w:left w:w="80" w:type="dxa"/>
              <w:right w:w="80" w:type="dxa"/>
            </w:tcMar>
          </w:tcPr>
          <w:p>
            <w:pPr>
              <w:spacing w:after="40"/>
            </w:pPr>
            <w:r>
              <w:rPr>
                <w:rFonts w:ascii="Times New Roman" w:hAnsi="Times New Roman"/>
                <w:b/>
                <w:color w:val="1F2937"/>
                <w:sz w:val="21"/>
              </w:rPr>
              <w:t>Chapter 8: AWS Production Deployment, Operational Hardening &amp; Rigorous Cost Audit</w:t>
            </w:r>
          </w:p>
        </w:tc>
        <w:tc>
          <w:tcPr>
            <w:tcW w:type="dxa" w:w="1296"/>
            <w:tcBorders>
              <w:top w:val="none"/>
              <w:left w:val="none"/>
              <w:bottom w:val="single" w:sz="3" w:space="0" w:color="E2E8F0"/>
              <w:right w:val="none"/>
            </w:tcBorders>
            <w:tcMar>
              <w:top w:w="50" w:type="dxa"/>
              <w:bottom w:w="50" w:type="dxa"/>
              <w:left w:w="80" w:type="dxa"/>
              <w:right w:w="80" w:type="dxa"/>
            </w:tcMar>
          </w:tcPr>
          <w:p>
            <w:pPr>
              <w:spacing w:after="40"/>
              <w:jc w:val="right"/>
            </w:pPr>
            <w:r>
              <w:rPr>
                <w:rFonts w:ascii="Times New Roman" w:hAnsi="Times New Roman"/>
                <w:b/>
                <w:color w:val="0F2B5C"/>
                <w:sz w:val="21"/>
              </w:rPr>
              <w:t>Page 24</w:t>
            </w:r>
          </w:p>
        </w:tc>
      </w:tr>
      <w:tr>
        <w:tc>
          <w:tcPr>
            <w:tcW w:type="dxa" w:w="8064"/>
            <w:tcBorders>
              <w:top w:val="none"/>
              <w:left w:val="none"/>
              <w:bottom w:val="single" w:sz="3" w:space="0" w:color="E2E8F0"/>
              <w:right w:val="none"/>
            </w:tcBorders>
            <w:tcMar>
              <w:top w:w="50" w:type="dxa"/>
              <w:bottom w:w="50" w:type="dxa"/>
              <w:left w:w="80" w:type="dxa"/>
              <w:right w:w="80" w:type="dxa"/>
            </w:tcMar>
          </w:tcPr>
          <w:p>
            <w:pPr>
              <w:spacing w:after="40"/>
            </w:pPr>
            <w:r>
              <w:rPr>
                <w:rFonts w:ascii="Times New Roman" w:hAnsi="Times New Roman"/>
                <w:b/>
                <w:color w:val="1F2937"/>
                <w:sz w:val="21"/>
              </w:rPr>
              <w:t>Chapter 9: End-to-End Frontend Interface &amp; Live Operational Demonstration</w:t>
            </w:r>
          </w:p>
        </w:tc>
        <w:tc>
          <w:tcPr>
            <w:tcW w:type="dxa" w:w="1296"/>
            <w:tcBorders>
              <w:top w:val="none"/>
              <w:left w:val="none"/>
              <w:bottom w:val="single" w:sz="3" w:space="0" w:color="E2E8F0"/>
              <w:right w:val="none"/>
            </w:tcBorders>
            <w:tcMar>
              <w:top w:w="50" w:type="dxa"/>
              <w:bottom w:w="50" w:type="dxa"/>
              <w:left w:w="80" w:type="dxa"/>
              <w:right w:w="80" w:type="dxa"/>
            </w:tcMar>
          </w:tcPr>
          <w:p>
            <w:pPr>
              <w:spacing w:after="40"/>
              <w:jc w:val="right"/>
            </w:pPr>
            <w:r>
              <w:rPr>
                <w:rFonts w:ascii="Times New Roman" w:hAnsi="Times New Roman"/>
                <w:b/>
                <w:color w:val="0F2B5C"/>
                <w:sz w:val="21"/>
              </w:rPr>
              <w:t>Page 27</w:t>
            </w:r>
          </w:p>
        </w:tc>
      </w:tr>
      <w:tr>
        <w:tc>
          <w:tcPr>
            <w:tcW w:type="dxa" w:w="8064"/>
            <w:tcBorders>
              <w:top w:val="none"/>
              <w:left w:val="none"/>
              <w:bottom w:val="single" w:sz="3" w:space="0" w:color="E2E8F0"/>
              <w:right w:val="none"/>
            </w:tcBorders>
            <w:tcMar>
              <w:top w:w="50" w:type="dxa"/>
              <w:bottom w:w="50" w:type="dxa"/>
              <w:left w:w="80" w:type="dxa"/>
              <w:right w:w="80" w:type="dxa"/>
            </w:tcMar>
          </w:tcPr>
          <w:p>
            <w:pPr>
              <w:spacing w:after="40"/>
            </w:pPr>
            <w:r>
              <w:rPr>
                <w:rFonts w:ascii="Times New Roman" w:hAnsi="Times New Roman"/>
                <w:b/>
                <w:color w:val="1F2937"/>
                <w:sz w:val="21"/>
              </w:rPr>
              <w:t>Chapter 10: Performance Profiling, Latency Benchmarking &amp; Scalability Roadmap</w:t>
            </w:r>
          </w:p>
        </w:tc>
        <w:tc>
          <w:tcPr>
            <w:tcW w:type="dxa" w:w="1296"/>
            <w:tcBorders>
              <w:top w:val="none"/>
              <w:left w:val="none"/>
              <w:bottom w:val="single" w:sz="3" w:space="0" w:color="E2E8F0"/>
              <w:right w:val="none"/>
            </w:tcBorders>
            <w:tcMar>
              <w:top w:w="50" w:type="dxa"/>
              <w:bottom w:w="50" w:type="dxa"/>
              <w:left w:w="80" w:type="dxa"/>
              <w:right w:w="80" w:type="dxa"/>
            </w:tcMar>
          </w:tcPr>
          <w:p>
            <w:pPr>
              <w:spacing w:after="40"/>
              <w:jc w:val="right"/>
            </w:pPr>
            <w:r>
              <w:rPr>
                <w:rFonts w:ascii="Times New Roman" w:hAnsi="Times New Roman"/>
                <w:b/>
                <w:color w:val="0F2B5C"/>
                <w:sz w:val="21"/>
              </w:rPr>
              <w:t>Page 31</w:t>
            </w:r>
          </w:p>
        </w:tc>
      </w:tr>
      <w:tr>
        <w:tc>
          <w:tcPr>
            <w:tcW w:type="dxa" w:w="8064"/>
            <w:tcBorders>
              <w:top w:val="none"/>
              <w:left w:val="none"/>
              <w:bottom w:val="single" w:sz="3" w:space="0" w:color="E2E8F0"/>
              <w:right w:val="none"/>
            </w:tcBorders>
            <w:tcMar>
              <w:top w:w="50" w:type="dxa"/>
              <w:bottom w:w="50" w:type="dxa"/>
              <w:left w:w="80" w:type="dxa"/>
              <w:right w:w="80" w:type="dxa"/>
            </w:tcMar>
          </w:tcPr>
          <w:p>
            <w:pPr>
              <w:spacing w:after="40"/>
            </w:pPr>
            <w:r>
              <w:rPr>
                <w:rFonts w:ascii="Times New Roman" w:hAnsi="Times New Roman"/>
                <w:b/>
                <w:color w:val="1F2937"/>
                <w:sz w:val="21"/>
              </w:rPr>
              <w:t>Chapter 11: Future Scope, Remote Sensing &amp; Edge Mesh Frontiers</w:t>
            </w:r>
          </w:p>
        </w:tc>
        <w:tc>
          <w:tcPr>
            <w:tcW w:type="dxa" w:w="1296"/>
            <w:tcBorders>
              <w:top w:val="none"/>
              <w:left w:val="none"/>
              <w:bottom w:val="single" w:sz="3" w:space="0" w:color="E2E8F0"/>
              <w:right w:val="none"/>
            </w:tcBorders>
            <w:tcMar>
              <w:top w:w="50" w:type="dxa"/>
              <w:bottom w:w="50" w:type="dxa"/>
              <w:left w:w="80" w:type="dxa"/>
              <w:right w:w="80" w:type="dxa"/>
            </w:tcMar>
          </w:tcPr>
          <w:p>
            <w:pPr>
              <w:spacing w:after="40"/>
              <w:jc w:val="right"/>
            </w:pPr>
            <w:r>
              <w:rPr>
                <w:rFonts w:ascii="Times New Roman" w:hAnsi="Times New Roman"/>
                <w:b/>
                <w:color w:val="0F2B5C"/>
                <w:sz w:val="21"/>
              </w:rPr>
              <w:t>Page 33</w:t>
            </w:r>
          </w:p>
        </w:tc>
      </w:tr>
      <w:tr>
        <w:tc>
          <w:tcPr>
            <w:tcW w:type="dxa" w:w="8064"/>
            <w:tcBorders>
              <w:top w:val="none"/>
              <w:left w:val="none"/>
              <w:bottom w:val="single" w:sz="3" w:space="0" w:color="E2E8F0"/>
              <w:right w:val="none"/>
            </w:tcBorders>
            <w:tcMar>
              <w:top w:w="50" w:type="dxa"/>
              <w:bottom w:w="50" w:type="dxa"/>
              <w:left w:w="80" w:type="dxa"/>
              <w:right w:w="80" w:type="dxa"/>
            </w:tcMar>
          </w:tcPr>
          <w:p>
            <w:pPr>
              <w:spacing w:after="40"/>
            </w:pPr>
            <w:r>
              <w:rPr>
                <w:rFonts w:ascii="Times New Roman" w:hAnsi="Times New Roman"/>
                <w:b/>
                <w:color w:val="1F2937"/>
                <w:sz w:val="21"/>
              </w:rPr>
              <w:t>Chapter 12: Comprehensive Academic Literature Review &amp; Bibliographic References</w:t>
            </w:r>
          </w:p>
        </w:tc>
        <w:tc>
          <w:tcPr>
            <w:tcW w:type="dxa" w:w="1296"/>
            <w:tcBorders>
              <w:top w:val="none"/>
              <w:left w:val="none"/>
              <w:bottom w:val="single" w:sz="3" w:space="0" w:color="E2E8F0"/>
              <w:right w:val="none"/>
            </w:tcBorders>
            <w:tcMar>
              <w:top w:w="50" w:type="dxa"/>
              <w:bottom w:w="50" w:type="dxa"/>
              <w:left w:w="80" w:type="dxa"/>
              <w:right w:w="80" w:type="dxa"/>
            </w:tcMar>
          </w:tcPr>
          <w:p>
            <w:pPr>
              <w:spacing w:after="40"/>
              <w:jc w:val="right"/>
            </w:pPr>
            <w:r>
              <w:rPr>
                <w:rFonts w:ascii="Times New Roman" w:hAnsi="Times New Roman"/>
                <w:b/>
                <w:color w:val="0F2B5C"/>
                <w:sz w:val="21"/>
              </w:rPr>
              <w:t>Page 35</w:t>
            </w:r>
          </w:p>
        </w:tc>
      </w:tr>
    </w:tbl>
    <w:p>
      <w:pPr>
        <w:spacing w:before="280" w:after="0"/>
      </w:pPr>
    </w:p>
    <w:tbl>
      <w:tblPr>
        <w:tblW w:type="auto" w:w="0"/>
        <w:jc w:val="center"/>
        <w:tblLook w:firstColumn="1" w:firstRow="1" w:lastColumn="0" w:lastRow="0" w:noHBand="0" w:noVBand="1" w:val="04A0"/>
      </w:tblPr>
      <w:tblGrid>
        <w:gridCol w:w="9360"/>
      </w:tblGrid>
      <w:tr>
        <w:tc>
          <w:tcPr>
            <w:tcW w:type="dxa" w:w="9360"/>
            <w:shd w:fill="F8FAFC"/>
            <w:tcBorders>
              <w:top w:val="single" w:sz="6" w:space="0" w:color="94A3B8"/>
              <w:left w:val="single" w:sz="6" w:space="0" w:color="94A3B8"/>
              <w:bottom w:val="single" w:sz="6" w:space="0" w:color="94A3B8"/>
              <w:right w:val="single" w:sz="6" w:space="0" w:color="94A3B8"/>
            </w:tcBorders>
            <w:tcMar>
              <w:top w:w="120" w:type="dxa"/>
              <w:bottom w:w="120" w:type="dxa"/>
              <w:left w:w="160" w:type="dxa"/>
              <w:right w:w="160" w:type="dxa"/>
            </w:tcMar>
          </w:tcPr>
          <w:p>
            <w:pPr>
              <w:spacing w:after="0" w:line="276" w:lineRule="auto"/>
            </w:pPr>
            <w:r>
              <w:rPr>
                <w:rFonts w:ascii="Times New Roman" w:hAnsi="Times New Roman"/>
                <w:b/>
                <w:i/>
                <w:color w:val="334155"/>
                <w:sz w:val="20"/>
              </w:rPr>
              <w:t>Academic Declaration &amp; Capstone Framework:</w:t>
            </w:r>
            <w:r>
              <w:rPr>
                <w:rFonts w:ascii="Times New Roman" w:hAnsi="Times New Roman"/>
                <w:b w:val="0"/>
                <w:i/>
                <w:color w:val="334155"/>
                <w:sz w:val="20"/>
              </w:rPr>
              <w:t xml:space="preserve"> This comprehensive master technical report embodies both the humanitarian imperative and the rigorous cloud engineering architecture of the CloudShield project. Developed under course BCSE355L (Cloud Architecture Design), all architectural components reflect real-world disaster response challenges, validated through an active AWS deployment in Sydney (ap-southeast-2) and compliant with International Sphere Humanitarian minimum survival standards. Grounded in institutional Invention Disclosure Form (IDF) Doc No. 02-IPR-R003, this document provides an exhaustive, production-grade examination of cloud resilience, predictive modeling, and human-in-the-loop ethical governance.</w:t>
            </w:r>
          </w:p>
        </w:tc>
      </w:tr>
    </w:tbl>
    <w:p>
      <w:r>
        <w:br w:type="page"/>
      </w:r>
    </w:p>
    <w:p>
      <w:pPr>
        <w:pStyle w:val="Heading1"/>
        <w:keepNext/>
        <w:spacing w:before="320" w:after="120"/>
      </w:pPr>
      <w:r>
        <w:rPr>
          <w:rFonts w:ascii="Times New Roman" w:hAnsi="Times New Roman"/>
          <w:b/>
          <w:i w:val="0"/>
          <w:color w:val="0F2B5C"/>
          <w:sz w:val="28"/>
        </w:rPr>
        <w:t>Chapter 1: The Humanistic Imperative: Disaster Reality &amp; The Genesis of CloudShield</w:t>
      </w:r>
    </w:p>
    <w:p>
      <w:pPr>
        <w:pStyle w:val="Heading2"/>
        <w:keepNext/>
        <w:spacing w:before="200" w:after="80"/>
      </w:pPr>
      <w:r>
        <w:rPr>
          <w:rFonts w:ascii="Times New Roman" w:hAnsi="Times New Roman"/>
          <w:b/>
          <w:i w:val="0"/>
          <w:color w:val="1E3A8A"/>
          <w:sz w:val="26"/>
        </w:rPr>
        <w:t>1.1 The Lived Reality of Acute Climate Catastrophes</w:t>
      </w:r>
    </w:p>
    <w:p>
      <w:pPr>
        <w:spacing w:before="0" w:after="120" w:line="276" w:lineRule="auto"/>
        <w:jc w:val="both"/>
      </w:pPr>
      <w:r>
        <w:rPr>
          <w:rFonts w:ascii="Times New Roman" w:hAnsi="Times New Roman"/>
          <w:b w:val="0"/>
          <w:i w:val="0"/>
          <w:color w:val="1F2937"/>
          <w:sz w:val="24"/>
        </w:rPr>
        <w:t>Every natural catastrophe begins not with abstract statistical indicators, satellite heatmaps, or meteorological curves, but with immediate, visceral human suffering. In December 2023, Cyclone Michaung made landfall along the Coromandel Coast, unleashing torrential downpours that inundated residential sectors across Chennai, Tiruvallur, Kanchipuram, and Chengalpattu under five to seven feet of murky, fast-flowing floodwater. Our student engineering team witnessed firsthand the profound human and operational tragedy that inevitably characterizes acute climate emergencies in developing regions. In densely populated lowland neighborhoods, thousands of vulnerable families were forced onto concrete terraces and corrugated rooftops, enduring continuous rains with no potable drinking water, no electricity, and no infant milk formula.</w:t>
      </w:r>
    </w:p>
    <w:p>
      <w:pPr>
        <w:spacing w:before="0" w:after="120" w:line="276" w:lineRule="auto"/>
        <w:jc w:val="both"/>
      </w:pPr>
      <w:r>
        <w:rPr>
          <w:rFonts w:ascii="Times New Roman" w:hAnsi="Times New Roman"/>
          <w:b w:val="0"/>
          <w:i w:val="0"/>
          <w:color w:val="1F2937"/>
          <w:sz w:val="24"/>
        </w:rPr>
        <w:t>Simultaneously, merely twenty kilometers away in government storage depots and regional transit sheds, emergency relief directors, revenue officials, and dedicated volunteers were working eighteen-hour shifts surrounded by thousands of kilograms of donated relief provisions, bottled water pallets, and medical kits. Yet, an agonizing operational paralysis gripped the distribution network. Relief coordinators were forced to make life-and-death logistical decisions using chaotic WhatsApp messaging threads, frantic voice calls over fragile cellular connections, and manually updated, non-concurrent spreadsheets.</w:t>
      </w:r>
    </w:p>
    <w:p>
      <w:pPr>
        <w:spacing w:before="0" w:after="120" w:line="276" w:lineRule="auto"/>
        <w:jc w:val="both"/>
      </w:pPr>
      <w:r>
        <w:rPr>
          <w:rFonts w:ascii="Times New Roman" w:hAnsi="Times New Roman"/>
          <w:b w:val="0"/>
          <w:i w:val="0"/>
          <w:color w:val="1F2937"/>
          <w:sz w:val="24"/>
        </w:rPr>
        <w:t>As a direct consequence of this information breakdown, relief trucks were dispatched erratically. Accessible shelters along elevated perimeter highways were repeatedly showered with supplies, receiving surplus bread and water that spoiled in the mud, while deeply submerged interior hamlets across washed-out arterial causeways remained entirely cut off and unserved for ninety-six consecutive hours. Elderly residents requiring cardiac medication and mothers with dehydrated infants suffered silently because no centralized intelligence layer existed to translate ground vulnerability into equitable logistics execution.</w:t>
      </w:r>
    </w:p>
    <w:p>
      <w:pPr>
        <w:pStyle w:val="Heading2"/>
        <w:keepNext/>
        <w:spacing w:before="200" w:after="80"/>
      </w:pPr>
      <w:r>
        <w:rPr>
          <w:rFonts w:ascii="Times New Roman" w:hAnsi="Times New Roman"/>
          <w:b/>
          <w:i w:val="0"/>
          <w:color w:val="1E3A8A"/>
          <w:sz w:val="26"/>
        </w:rPr>
        <w:t>1.2 The Emotional and Operational Fracture: Survival vs. Bureaucratic Guesswork</w:t>
      </w:r>
    </w:p>
    <w:p>
      <w:pPr>
        <w:spacing w:before="0" w:after="120" w:line="276" w:lineRule="auto"/>
        <w:jc w:val="both"/>
      </w:pPr>
      <w:r>
        <w:rPr>
          <w:rFonts w:ascii="Times New Roman" w:hAnsi="Times New Roman"/>
          <w:b w:val="0"/>
          <w:i w:val="0"/>
          <w:color w:val="1F2937"/>
          <w:sz w:val="24"/>
        </w:rPr>
        <w:t xml:space="preserve">The conceptual genesis of </w:t>
      </w:r>
      <w:r>
        <w:rPr>
          <w:rFonts w:ascii="Times New Roman" w:hAnsi="Times New Roman"/>
          <w:b/>
          <w:i w:val="0"/>
          <w:color w:val="1F2937"/>
          <w:sz w:val="24"/>
        </w:rPr>
        <w:t>CloudShield</w:t>
      </w:r>
      <w:r>
        <w:rPr>
          <w:rFonts w:ascii="Times New Roman" w:hAnsi="Times New Roman"/>
          <w:b w:val="0"/>
          <w:i w:val="0"/>
          <w:color w:val="1F2937"/>
          <w:sz w:val="24"/>
        </w:rPr>
        <w:t xml:space="preserve"> was born directly out of this painful realization. In conventional commercial supply chain management, an unfulfilled order or an inaccurate inventory count is an abstract commercial variance—a financial reconciliation note to be resolved at the end of the fiscal quarter. In humanitarian relief logistics, however, an inventory discrepancy, a double-allocated shipment, or a delayed convoy translates directly into unmitigated dehydration, untreated wound sepsis, hypothermia, and lost human lives.</w:t>
      </w:r>
    </w:p>
    <w:p>
      <w:pPr>
        <w:spacing w:before="0" w:after="120" w:line="276" w:lineRule="auto"/>
        <w:jc w:val="both"/>
      </w:pPr>
      <w:r>
        <w:rPr>
          <w:rFonts w:ascii="Times New Roman" w:hAnsi="Times New Roman"/>
          <w:b w:val="0"/>
          <w:i w:val="0"/>
          <w:color w:val="1F2937"/>
          <w:sz w:val="24"/>
        </w:rPr>
        <w:t xml:space="preserve">We confronted an uncomfortable modern paradox: </w:t>
      </w:r>
      <w:r>
        <w:rPr>
          <w:rFonts w:ascii="Times New Roman" w:hAnsi="Times New Roman"/>
          <w:b w:val="0"/>
          <w:i/>
          <w:color w:val="1F2937"/>
          <w:sz w:val="24"/>
        </w:rPr>
        <w:t>In an era where hyper-scale cloud architectures, distributed stream processing, and predictive machine learning coordinate global e-commerce deliveries to urban doorsteps within sixty minutes, why do humanitarian disaster responses remain paralyzed by spreadsheet guesswork and phone-call chaos?</w:t>
      </w:r>
      <w:r>
        <w:rPr>
          <w:rFonts w:ascii="Times New Roman" w:hAnsi="Times New Roman"/>
          <w:b w:val="0"/>
          <w:i w:val="0"/>
          <w:color w:val="1F2937"/>
          <w:sz w:val="24"/>
        </w:rPr>
        <w:t xml:space="preserve"> The answer lies not in a lack of technology, but in a fundamental architectural disconnect: existing cloud software is engineered for commercial profit maximization, whereas disaster relief requires an empathetic architecture engineered for minimum survival standards, human dignity, and algorithmic fairness.</w:t>
      </w:r>
    </w:p>
    <w:p>
      <w:pPr>
        <w:pStyle w:val="Heading2"/>
        <w:keepNext/>
        <w:spacing w:before="200" w:after="80"/>
      </w:pPr>
      <w:r>
        <w:rPr>
          <w:rFonts w:ascii="Times New Roman" w:hAnsi="Times New Roman"/>
          <w:b/>
          <w:i w:val="0"/>
          <w:color w:val="1E3A8A"/>
          <w:sz w:val="26"/>
        </w:rPr>
        <w:t>1.3 Shifting the Paradigm: From Post-Mortem Reaction to Anticipatory Empathy</w:t>
      </w:r>
    </w:p>
    <w:p>
      <w:pPr>
        <w:spacing w:before="0" w:after="120" w:line="276" w:lineRule="auto"/>
        <w:jc w:val="both"/>
      </w:pPr>
      <w:r>
        <w:rPr>
          <w:rFonts w:ascii="Times New Roman" w:hAnsi="Times New Roman"/>
          <w:b w:val="0"/>
          <w:i w:val="0"/>
          <w:color w:val="1F2937"/>
          <w:sz w:val="24"/>
        </w:rPr>
        <w:t>Traditional disaster response operates on a reactive paradigm: authorities wait for a cyclone to make landfall or a river to breach its embankments, wait for field teams to conduct manual damage assessments, wait for casualty reports to be compiled, and only then begin mobilizing supply chains. This reactive delay creates a fatal 48-to-72-hour 'survival void' during which mortality spikes.</w:t>
      </w:r>
    </w:p>
    <w:p>
      <w:pPr>
        <w:spacing w:before="0" w:after="120" w:line="276" w:lineRule="auto"/>
        <w:jc w:val="both"/>
      </w:pPr>
      <w:r>
        <w:rPr>
          <w:rFonts w:ascii="Times New Roman" w:hAnsi="Times New Roman"/>
          <w:b w:val="0"/>
          <w:i w:val="0"/>
          <w:color w:val="1F2937"/>
          <w:sz w:val="24"/>
        </w:rPr>
        <w:t>CloudShield was conceived as a predictive, human-centered nervous system. By integrating hydrometeorological forecasts, topographical vulnerability layers, and real-time depot stock databases, CloudShield computes required survival resources forty-eight hours *before* peak landfall occurs. Rather than replacing human judgment, CloudShield provides incident commanders with transparent, mathematically audited decision support, ensuring that relief convoys are pre-positioned exactly where human life is most acutely endangered.</w:t>
      </w:r>
    </w:p>
    <w:p>
      <w:pPr>
        <w:pStyle w:val="Heading2"/>
        <w:keepNext/>
        <w:spacing w:before="200" w:after="80"/>
      </w:pPr>
      <w:r>
        <w:rPr>
          <w:rFonts w:ascii="Times New Roman" w:hAnsi="Times New Roman"/>
          <w:b/>
          <w:i w:val="0"/>
          <w:color w:val="1E3A8A"/>
          <w:sz w:val="26"/>
        </w:rPr>
        <w:t>1.4 Ethical Principles of Algorithmic Humanitarianism</w:t>
      </w:r>
    </w:p>
    <w:p>
      <w:pPr>
        <w:spacing w:before="0" w:after="120" w:line="276" w:lineRule="auto"/>
        <w:jc w:val="both"/>
      </w:pPr>
      <w:r>
        <w:rPr>
          <w:rFonts w:ascii="Times New Roman" w:hAnsi="Times New Roman"/>
          <w:b w:val="0"/>
          <w:i w:val="0"/>
          <w:color w:val="1F2937"/>
          <w:sz w:val="24"/>
        </w:rPr>
        <w:t>To ensure that algorithmic automation remains firmly anchored in humanitarian ethics, CloudShield is governed by three non-negotiable foundational principles:</w:t>
      </w:r>
      <w:r>
        <w:br/>
      </w:r>
      <w:r>
        <w:rPr>
          <w:rFonts w:ascii="Times New Roman" w:hAnsi="Times New Roman"/>
          <w:b w:val="0"/>
          <w:i w:val="0"/>
          <w:color w:val="1F2937"/>
          <w:sz w:val="24"/>
        </w:rPr>
        <w:t xml:space="preserve">1. </w:t>
      </w:r>
      <w:r>
        <w:rPr>
          <w:rFonts w:ascii="Times New Roman" w:hAnsi="Times New Roman"/>
          <w:b/>
          <w:i w:val="0"/>
          <w:color w:val="1F2937"/>
          <w:sz w:val="24"/>
        </w:rPr>
        <w:t>Equitable Urgency Prioritization:</w:t>
      </w:r>
      <w:r>
        <w:rPr>
          <w:rFonts w:ascii="Times New Roman" w:hAnsi="Times New Roman"/>
          <w:b w:val="0"/>
          <w:i w:val="0"/>
          <w:color w:val="1F2937"/>
          <w:sz w:val="24"/>
        </w:rPr>
        <w:t xml:space="preserve"> Allocation must be determined strictly by objective human peril—water depth, infrastructure isolation, and demographic vulnerability—never by administrative convenience or socio-political lobbying.</w:t>
      </w:r>
      <w:r>
        <w:br/>
      </w:r>
      <w:r>
        <w:rPr>
          <w:rFonts w:ascii="Times New Roman" w:hAnsi="Times New Roman"/>
          <w:b w:val="0"/>
          <w:i w:val="0"/>
          <w:color w:val="1F2937"/>
          <w:sz w:val="24"/>
        </w:rPr>
        <w:t xml:space="preserve">2. </w:t>
      </w:r>
      <w:r>
        <w:rPr>
          <w:rFonts w:ascii="Times New Roman" w:hAnsi="Times New Roman"/>
          <w:b/>
          <w:i w:val="0"/>
          <w:color w:val="1F2937"/>
          <w:sz w:val="24"/>
        </w:rPr>
        <w:t>Preservation of Invisible Need:</w:t>
      </w:r>
      <w:r>
        <w:rPr>
          <w:rFonts w:ascii="Times New Roman" w:hAnsi="Times New Roman"/>
          <w:b w:val="0"/>
          <w:i w:val="0"/>
          <w:color w:val="1F2937"/>
          <w:sz w:val="24"/>
        </w:rPr>
        <w:t xml:space="preserve"> If a disaster zone is physically severed by flooded bridges, the system must never delete or suppress its demand record. Physical impassability must elevate the urgency of the zone, triggering alternative escalation mechanisms.</w:t>
      </w:r>
      <w:r>
        <w:br/>
      </w:r>
      <w:r>
        <w:rPr>
          <w:rFonts w:ascii="Times New Roman" w:hAnsi="Times New Roman"/>
          <w:b w:val="0"/>
          <w:i w:val="0"/>
          <w:color w:val="1F2937"/>
          <w:sz w:val="24"/>
        </w:rPr>
        <w:t xml:space="preserve">3. </w:t>
      </w:r>
      <w:r>
        <w:rPr>
          <w:rFonts w:ascii="Times New Roman" w:hAnsi="Times New Roman"/>
          <w:b/>
          <w:i w:val="0"/>
          <w:color w:val="1F2937"/>
          <w:sz w:val="24"/>
        </w:rPr>
        <w:t>Uncompromising Human Accountability:</w:t>
      </w:r>
      <w:r>
        <w:rPr>
          <w:rFonts w:ascii="Times New Roman" w:hAnsi="Times New Roman"/>
          <w:b w:val="0"/>
          <w:i w:val="0"/>
          <w:color w:val="1F2937"/>
          <w:sz w:val="24"/>
        </w:rPr>
        <w:t xml:space="preserve"> Algorithms propose; authorized human leaders decide. Autonomous AI must never have the unsupervised power to commit emergency survival stocks without cryptographic human governance.</w:t>
      </w:r>
    </w:p>
    <w:p>
      <w:pPr>
        <w:pStyle w:val="Heading2"/>
        <w:keepNext/>
        <w:spacing w:before="200" w:after="80"/>
      </w:pPr>
      <w:r>
        <w:rPr>
          <w:rFonts w:ascii="Times New Roman" w:hAnsi="Times New Roman"/>
          <w:b/>
          <w:i w:val="0"/>
          <w:color w:val="1E3A8A"/>
          <w:sz w:val="26"/>
        </w:rPr>
        <w:t>1.5 Comparative Case Study Analysis of Indian and Southeast Asian Disasters</w:t>
      </w:r>
    </w:p>
    <w:p>
      <w:pPr>
        <w:spacing w:before="0" w:after="120" w:line="276" w:lineRule="auto"/>
        <w:jc w:val="both"/>
      </w:pPr>
      <w:r>
        <w:rPr>
          <w:rFonts w:ascii="Times New Roman" w:hAnsi="Times New Roman"/>
          <w:b w:val="0"/>
          <w:i w:val="0"/>
          <w:color w:val="1F2937"/>
          <w:sz w:val="24"/>
        </w:rPr>
        <w:t>The architectural requirements of CloudShield were benchmarked against four major climate disasters that struck peninsular India over the past decade, revealing consistent logistical pathologies:</w:t>
      </w:r>
      <w:r>
        <w:br/>
      </w:r>
      <w:r>
        <w:rPr>
          <w:rFonts w:ascii="Times New Roman" w:hAnsi="Times New Roman"/>
          <w:b w:val="0"/>
          <w:i w:val="0"/>
          <w:color w:val="1F2937"/>
          <w:sz w:val="24"/>
        </w:rPr>
        <w:t xml:space="preserve">• </w:t>
      </w:r>
      <w:r>
        <w:rPr>
          <w:rFonts w:ascii="Times New Roman" w:hAnsi="Times New Roman"/>
          <w:b/>
          <w:i w:val="0"/>
          <w:color w:val="1F2937"/>
          <w:sz w:val="24"/>
        </w:rPr>
        <w:t>The 2015 South Indian Floods (Chennai &amp; Cuddalore):</w:t>
      </w:r>
      <w:r>
        <w:rPr>
          <w:rFonts w:ascii="Times New Roman" w:hAnsi="Times New Roman"/>
          <w:b w:val="0"/>
          <w:i w:val="0"/>
          <w:color w:val="1F2937"/>
          <w:sz w:val="24"/>
        </w:rPr>
        <w:t xml:space="preserve"> Unprecedented rainfall overwhelmed the Chembarambakkam reservoir, displacing 1.8 million residents. Post-disaster inquiries revealed that central warehouses possessed over 400,000 food packets, yet over 40% expired before transit due to uncoordinated dispatching and severed arterial bridges along the Adyar river basin.</w:t>
      </w:r>
      <w:r>
        <w:br/>
      </w:r>
      <w:r>
        <w:rPr>
          <w:rFonts w:ascii="Times New Roman" w:hAnsi="Times New Roman"/>
          <w:b w:val="0"/>
          <w:i w:val="0"/>
          <w:color w:val="1F2937"/>
          <w:sz w:val="24"/>
        </w:rPr>
        <w:t xml:space="preserve">• </w:t>
      </w:r>
      <w:r>
        <w:rPr>
          <w:rFonts w:ascii="Times New Roman" w:hAnsi="Times New Roman"/>
          <w:b/>
          <w:i w:val="0"/>
          <w:color w:val="1F2937"/>
          <w:sz w:val="24"/>
        </w:rPr>
        <w:t>The 2018 Kerala Monsoon Inundation:</w:t>
      </w:r>
      <w:r>
        <w:rPr>
          <w:rFonts w:ascii="Times New Roman" w:hAnsi="Times New Roman"/>
          <w:b w:val="0"/>
          <w:i w:val="0"/>
          <w:color w:val="1F2937"/>
          <w:sz w:val="24"/>
        </w:rPr>
        <w:t xml:space="preserve"> Catastrophic multi-dam releases triggered widespread landslides across Idukki and flooding across Ernakulam and Thrissur. While ground volunteer mobilization was unprecedented, independent NGO supply trucks clogged narrow highland roads, creating severe traffic deadlocks while critical medical supplies were duplicated at major relief camps.</w:t>
      </w:r>
      <w:r>
        <w:br/>
      </w:r>
      <w:r>
        <w:rPr>
          <w:rFonts w:ascii="Times New Roman" w:hAnsi="Times New Roman"/>
          <w:b w:val="0"/>
          <w:i w:val="0"/>
          <w:color w:val="1F2937"/>
          <w:sz w:val="24"/>
        </w:rPr>
        <w:t xml:space="preserve">• </w:t>
      </w:r>
      <w:r>
        <w:rPr>
          <w:rFonts w:ascii="Times New Roman" w:hAnsi="Times New Roman"/>
          <w:b/>
          <w:i w:val="0"/>
          <w:color w:val="1F2937"/>
          <w:sz w:val="24"/>
        </w:rPr>
        <w:t>Cyclone Fani (Odisha, 2019):</w:t>
      </w:r>
      <w:r>
        <w:rPr>
          <w:rFonts w:ascii="Times New Roman" w:hAnsi="Times New Roman"/>
          <w:b w:val="0"/>
          <w:i w:val="0"/>
          <w:color w:val="1F2937"/>
          <w:sz w:val="24"/>
        </w:rPr>
        <w:t xml:space="preserve"> While the state achieved a historic mass evacuation of 1.2 million citizens within 24 hours, the post-landfall phase suffered severe potable water shortages across Puri and Khordha districts due to fallen electrical towers disabling water pump stations—an acute vulnerability that CloudShield's mobile power and water prediction directly mitigates.</w:t>
      </w:r>
      <w:r>
        <w:br/>
      </w:r>
      <w:r>
        <w:rPr>
          <w:rFonts w:ascii="Times New Roman" w:hAnsi="Times New Roman"/>
          <w:b w:val="0"/>
          <w:i w:val="0"/>
          <w:color w:val="1F2937"/>
          <w:sz w:val="24"/>
        </w:rPr>
        <w:t xml:space="preserve">• </w:t>
      </w:r>
      <w:r>
        <w:rPr>
          <w:rFonts w:ascii="Times New Roman" w:hAnsi="Times New Roman"/>
          <w:b/>
          <w:i w:val="0"/>
          <w:color w:val="1F2937"/>
          <w:sz w:val="24"/>
        </w:rPr>
        <w:t>Cyclone Michaung (Tamil Nadu &amp; Andhra Pradesh, 2023):</w:t>
      </w:r>
      <w:r>
        <w:rPr>
          <w:rFonts w:ascii="Times New Roman" w:hAnsi="Times New Roman"/>
          <w:b w:val="0"/>
          <w:i w:val="0"/>
          <w:color w:val="1F2937"/>
          <w:sz w:val="24"/>
        </w:rPr>
        <w:t xml:space="preserve"> Urban flash flooding created localized 'islands' cut off from telecommunication backhauls, highlighting the absolute necessity of offline-first edge decision architectures and automated unserviceable demand escalation for airborne relief.</w:t>
      </w:r>
    </w:p>
    <w:p>
      <w:r>
        <w:br w:type="page"/>
      </w:r>
    </w:p>
    <w:p>
      <w:pPr>
        <w:pStyle w:val="Heading1"/>
        <w:keepNext/>
        <w:spacing w:before="320" w:after="120"/>
      </w:pPr>
      <w:r>
        <w:rPr>
          <w:rFonts w:ascii="Times New Roman" w:hAnsi="Times New Roman"/>
          <w:b/>
          <w:i w:val="0"/>
          <w:color w:val="0F2B5C"/>
          <w:sz w:val="28"/>
        </w:rPr>
        <w:t>Chapter 2: Structural Gaps and Pathologies in Traditional Emergency Logistics</w:t>
      </w:r>
    </w:p>
    <w:p>
      <w:pPr>
        <w:pStyle w:val="Heading2"/>
        <w:keepNext/>
        <w:spacing w:before="200" w:after="80"/>
      </w:pPr>
      <w:r>
        <w:rPr>
          <w:rFonts w:ascii="Times New Roman" w:hAnsi="Times New Roman"/>
          <w:b/>
          <w:i w:val="0"/>
          <w:color w:val="1E3A8A"/>
          <w:sz w:val="26"/>
        </w:rPr>
        <w:t>2.1 The 'Last-Mile Void': Why Meteorological Bulletins Fail Field Responders</w:t>
      </w:r>
    </w:p>
    <w:p>
      <w:pPr>
        <w:spacing w:before="0" w:after="120" w:line="276" w:lineRule="auto"/>
        <w:jc w:val="both"/>
      </w:pPr>
      <w:r>
        <w:rPr>
          <w:rFonts w:ascii="Times New Roman" w:hAnsi="Times New Roman"/>
          <w:b w:val="0"/>
          <w:i w:val="0"/>
          <w:color w:val="1F2937"/>
          <w:sz w:val="24"/>
        </w:rPr>
        <w:t xml:space="preserve">The first structural pathology in conventional disaster management is the acute semantic gap between meteorological science and logistical execution—a breakdown we term the </w:t>
      </w:r>
      <w:r>
        <w:rPr>
          <w:rFonts w:ascii="Times New Roman" w:hAnsi="Times New Roman"/>
          <w:b w:val="0"/>
          <w:i/>
          <w:color w:val="1F2937"/>
          <w:sz w:val="24"/>
        </w:rPr>
        <w:t>Last-Mile Void</w:t>
      </w:r>
      <w:r>
        <w:rPr>
          <w:rFonts w:ascii="Times New Roman" w:hAnsi="Times New Roman"/>
          <w:b w:val="0"/>
          <w:i w:val="0"/>
          <w:color w:val="1F2937"/>
          <w:sz w:val="24"/>
        </w:rPr>
        <w:t>. National meteorological agencies and earth observation institutions (such as the IMD, NOAA, and ECMWF) generate sophisticated satellite precipitation radar models, atmospheric pressure isobars, and river catchment hydrographs. However, these bulletins are delivered in raw physical metrics: millimeters of precipitation, wind speeds in knots, and river discharge in cubic meters per second (cusecs).</w:t>
      </w:r>
    </w:p>
    <w:p>
      <w:pPr>
        <w:spacing w:before="0" w:after="120" w:line="276" w:lineRule="auto"/>
        <w:jc w:val="both"/>
      </w:pPr>
      <w:r>
        <w:rPr>
          <w:rFonts w:ascii="Times New Roman" w:hAnsi="Times New Roman"/>
          <w:b w:val="0"/>
          <w:i w:val="0"/>
          <w:color w:val="1F2937"/>
          <w:sz w:val="24"/>
        </w:rPr>
        <w:t>At the operational frontline, district collectors, block development officers, and field volunteer coordinators possess neither the computational tools nor the hydrological expertise to translate '380 mm cumulative rainfall in 24 hours across Basin Delta' into actionable logistical orders. A field director cannot dispatch '380 mm of rain' to a warehouse; they must know precisely how many liters of drinking water, how many nutritional rations, and how many pediatric trauma kits must be loaded onto a six-wheel truck by 05:00 AM. In the absence of an automated translation engine, field officers resort to crude heuristic guesses, resulting in catastrophic mismatches between actual survival needs and delivered goods.</w:t>
      </w:r>
    </w:p>
    <w:p>
      <w:pPr>
        <w:pStyle w:val="Heading2"/>
        <w:keepNext/>
        <w:spacing w:before="200" w:after="80"/>
      </w:pPr>
      <w:r>
        <w:rPr>
          <w:rFonts w:ascii="Times New Roman" w:hAnsi="Times New Roman"/>
          <w:b/>
          <w:i w:val="0"/>
          <w:color w:val="1E3A8A"/>
          <w:sz w:val="26"/>
        </w:rPr>
        <w:t>2.2 The Pathology of Spreadsheet Logistics: Concurrency Failures and Ghost Commitments</w:t>
      </w:r>
    </w:p>
    <w:p>
      <w:pPr>
        <w:spacing w:before="0" w:after="120" w:line="276" w:lineRule="auto"/>
        <w:jc w:val="both"/>
      </w:pPr>
      <w:r>
        <w:rPr>
          <w:rFonts w:ascii="Times New Roman" w:hAnsi="Times New Roman"/>
          <w:b w:val="0"/>
          <w:i w:val="0"/>
          <w:color w:val="1F2937"/>
          <w:sz w:val="24"/>
        </w:rPr>
        <w:t>During large-scale climate disasters, emergency response operations inherently involve multi-agency coordination spanning civil defense, state disaster management authorities (SDMA), military disaster response forces (NDRF), public health departments, and non-governmental organizations. Under current administrative practices, these independent entities attempt to coordinate logistics using shared cloud spreadsheets (e.g., Google Sheets or Microsoft Excel workbooks) or fragmented instant messaging channels.</w:t>
      </w:r>
    </w:p>
    <w:p>
      <w:pPr>
        <w:spacing w:before="0" w:after="120" w:line="276" w:lineRule="auto"/>
        <w:jc w:val="both"/>
      </w:pPr>
      <w:r>
        <w:rPr>
          <w:rFonts w:ascii="Times New Roman" w:hAnsi="Times New Roman"/>
          <w:b w:val="0"/>
          <w:i w:val="0"/>
          <w:color w:val="1F2937"/>
          <w:sz w:val="24"/>
        </w:rPr>
        <w:t>Spreadsheet-based coordination suffers from fatal architectural deficiencies when deployed in mission-critical environments:</w:t>
      </w:r>
      <w:r>
        <w:br/>
      </w:r>
      <w:r>
        <w:rPr>
          <w:rFonts w:ascii="Times New Roman" w:hAnsi="Times New Roman"/>
          <w:b w:val="0"/>
          <w:i w:val="0"/>
          <w:color w:val="1F2937"/>
          <w:sz w:val="24"/>
        </w:rPr>
        <w:t xml:space="preserve">• </w:t>
      </w:r>
      <w:r>
        <w:rPr>
          <w:rFonts w:ascii="Times New Roman" w:hAnsi="Times New Roman"/>
          <w:b/>
          <w:i w:val="0"/>
          <w:color w:val="1F2937"/>
          <w:sz w:val="24"/>
        </w:rPr>
        <w:t>Absence of Concurrency Control &amp; Mutex Locks:</w:t>
      </w:r>
      <w:r>
        <w:rPr>
          <w:rFonts w:ascii="Times New Roman" w:hAnsi="Times New Roman"/>
          <w:b w:val="0"/>
          <w:i w:val="0"/>
          <w:color w:val="1F2937"/>
          <w:sz w:val="24"/>
        </w:rPr>
        <w:t xml:space="preserve"> In an acute crisis, three separate desk officers simultaneously attempt to allocate supplies from the same central warehouse. Because spreadsheets lack row-level database locking and ACID transaction guarantees, all three officers observe an available balance of 5,000 blankets and promise those same blankets to three different evacuation shelters. When transport convoys arrive at the warehouse gate, the physical inventory is depleted by the first truck, leaving two shelters stranded with zero supplies—a catastrophic failure known as </w:t>
      </w:r>
      <w:r>
        <w:rPr>
          <w:rFonts w:ascii="Times New Roman" w:hAnsi="Times New Roman"/>
          <w:b w:val="0"/>
          <w:i/>
          <w:color w:val="1F2937"/>
          <w:sz w:val="24"/>
        </w:rPr>
        <w:t>Ghost Commitment</w:t>
      </w:r>
      <w:r>
        <w:rPr>
          <w:rFonts w:ascii="Times New Roman" w:hAnsi="Times New Roman"/>
          <w:b w:val="0"/>
          <w:i w:val="0"/>
          <w:color w:val="1F2937"/>
          <w:sz w:val="24"/>
        </w:rPr>
        <w:t>.</w:t>
      </w:r>
      <w:r>
        <w:br/>
      </w:r>
      <w:r>
        <w:rPr>
          <w:rFonts w:ascii="Times New Roman" w:hAnsi="Times New Roman"/>
          <w:b w:val="0"/>
          <w:i w:val="0"/>
          <w:color w:val="1F2937"/>
          <w:sz w:val="24"/>
        </w:rPr>
        <w:t xml:space="preserve">• </w:t>
      </w:r>
      <w:r>
        <w:rPr>
          <w:rFonts w:ascii="Times New Roman" w:hAnsi="Times New Roman"/>
          <w:b/>
          <w:i w:val="0"/>
          <w:color w:val="1F2937"/>
          <w:sz w:val="24"/>
        </w:rPr>
        <w:t>Lack of State Machine Discipline:</w:t>
      </w:r>
      <w:r>
        <w:rPr>
          <w:rFonts w:ascii="Times New Roman" w:hAnsi="Times New Roman"/>
          <w:b w:val="0"/>
          <w:i w:val="0"/>
          <w:color w:val="1F2937"/>
          <w:sz w:val="24"/>
        </w:rPr>
        <w:t xml:space="preserve"> Spreadsheets do not enforce strict state transition rules. Cells are arbitrarily overwritten, formulas are accidentally deleted by panicked operators, and historical audit trails are permanently destroyed, making post-incident forensic accountability impossible.</w:t>
      </w:r>
      <w:r>
        <w:br/>
      </w:r>
      <w:r>
        <w:rPr>
          <w:rFonts w:ascii="Times New Roman" w:hAnsi="Times New Roman"/>
          <w:b w:val="0"/>
          <w:i w:val="0"/>
          <w:color w:val="1F2937"/>
          <w:sz w:val="24"/>
        </w:rPr>
        <w:t xml:space="preserve">• </w:t>
      </w:r>
      <w:r>
        <w:rPr>
          <w:rFonts w:ascii="Times New Roman" w:hAnsi="Times New Roman"/>
          <w:b/>
          <w:i w:val="0"/>
          <w:color w:val="1F2937"/>
          <w:sz w:val="24"/>
        </w:rPr>
        <w:t>Cellular Network Disconnects &amp; Dirty Reads:</w:t>
      </w:r>
      <w:r>
        <w:rPr>
          <w:rFonts w:ascii="Times New Roman" w:hAnsi="Times New Roman"/>
          <w:b w:val="0"/>
          <w:i w:val="0"/>
          <w:color w:val="1F2937"/>
          <w:sz w:val="24"/>
        </w:rPr>
        <w:t xml:space="preserve"> Responders in field camps with erratic 2G/3G connectivity frequently experience silent synchronization failures, making operational decisions on stale, cached data that no longer reflects real depot availability.</w:t>
      </w:r>
    </w:p>
    <w:p>
      <w:pPr>
        <w:pStyle w:val="Heading2"/>
        <w:keepNext/>
        <w:spacing w:before="200" w:after="80"/>
      </w:pPr>
      <w:r>
        <w:rPr>
          <w:rFonts w:ascii="Times New Roman" w:hAnsi="Times New Roman"/>
          <w:b/>
          <w:i w:val="0"/>
          <w:color w:val="1E3A8A"/>
          <w:sz w:val="26"/>
        </w:rPr>
        <w:t>2.3 The Fatal 'Route Pruning' Fallacy of Commercial Supply Chain Software</w:t>
      </w:r>
    </w:p>
    <w:p>
      <w:pPr>
        <w:spacing w:before="0" w:after="120" w:line="276" w:lineRule="auto"/>
        <w:jc w:val="both"/>
      </w:pPr>
      <w:r>
        <w:rPr>
          <w:rFonts w:ascii="Times New Roman" w:hAnsi="Times New Roman"/>
          <w:b w:val="0"/>
          <w:i w:val="0"/>
          <w:color w:val="1F2937"/>
          <w:sz w:val="24"/>
        </w:rPr>
        <w:t xml:space="preserve">When public safety agencies attempt to repurpose commercial enterprise resource planning (ERP) software (such as SAP SCM, Oracle Logistics, or commercial vehicle routing optimizers) for disaster relief, they encounter a lethal mathematical flaw: the </w:t>
      </w:r>
      <w:r>
        <w:rPr>
          <w:rFonts w:ascii="Times New Roman" w:hAnsi="Times New Roman"/>
          <w:b w:val="0"/>
          <w:i/>
          <w:color w:val="1F2937"/>
          <w:sz w:val="24"/>
        </w:rPr>
        <w:t>Route Pruning Fallacy</w:t>
      </w:r>
      <w:r>
        <w:rPr>
          <w:rFonts w:ascii="Times New Roman" w:hAnsi="Times New Roman"/>
          <w:b w:val="0"/>
          <w:i w:val="0"/>
          <w:color w:val="1F2937"/>
          <w:sz w:val="24"/>
        </w:rPr>
        <w:t>. Commercial logistics solvers are mathematically formulated around cost minimization, distance minimization, or transit feasibility. In a commercial setting, if an access bridge collapses or an arterial highway is submerged under five feet of floodwater, the commercial algorithm treats that delivery node as mathematically 'infeasible' or penalizes it with infinite routing cost.</w:t>
      </w:r>
    </w:p>
    <w:p>
      <w:pPr>
        <w:spacing w:before="0" w:after="120" w:line="276" w:lineRule="auto"/>
        <w:jc w:val="both"/>
      </w:pPr>
      <w:r>
        <w:rPr>
          <w:rFonts w:ascii="Times New Roman" w:hAnsi="Times New Roman"/>
          <w:b w:val="0"/>
          <w:i w:val="0"/>
          <w:color w:val="1F2937"/>
          <w:sz w:val="24"/>
        </w:rPr>
        <w:t xml:space="preserve">Consequently, commercial solvers automatically </w:t>
      </w:r>
      <w:r>
        <w:rPr>
          <w:rFonts w:ascii="Times New Roman" w:hAnsi="Times New Roman"/>
          <w:b/>
          <w:i w:val="0"/>
          <w:color w:val="1F2937"/>
          <w:sz w:val="24"/>
        </w:rPr>
        <w:t>prune</w:t>
      </w:r>
      <w:r>
        <w:rPr>
          <w:rFonts w:ascii="Times New Roman" w:hAnsi="Times New Roman"/>
          <w:b w:val="0"/>
          <w:i w:val="0"/>
          <w:color w:val="1F2937"/>
          <w:sz w:val="24"/>
        </w:rPr>
        <w:t xml:space="preserve"> the cut-off zone from the active delivery queue to optimize the objective function of the remaining fleet. In commercial e-commerce, delaying a package because of a washed-out road is sound financial logic. In humanitarian disaster relief, however, this logic is murderous. If a rural hamlet is physically cut off by floodwaters, its survival vulnerability does not drop to zero—it skyrockets. By pruning severed nodes, traditional software renders the most endangered populations completely invisible to leadership. CloudShield eliminates this pathology through the mathematical decoupling of need urgency from route feasibility.</w:t>
      </w:r>
    </w:p>
    <w:p>
      <w:pPr>
        <w:pStyle w:val="Heading2"/>
        <w:keepNext/>
        <w:spacing w:before="200" w:after="80"/>
      </w:pPr>
      <w:r>
        <w:rPr>
          <w:rFonts w:ascii="Times New Roman" w:hAnsi="Times New Roman"/>
          <w:b/>
          <w:i w:val="0"/>
          <w:color w:val="1E3A8A"/>
          <w:sz w:val="26"/>
        </w:rPr>
        <w:t>2.4 Distributive Inequity, Political Bias, and Panic Dispatching</w:t>
      </w:r>
    </w:p>
    <w:p>
      <w:pPr>
        <w:spacing w:before="0" w:after="120" w:line="276" w:lineRule="auto"/>
        <w:jc w:val="both"/>
      </w:pPr>
      <w:r>
        <w:rPr>
          <w:rFonts w:ascii="Times New Roman" w:hAnsi="Times New Roman"/>
          <w:b w:val="0"/>
          <w:i w:val="0"/>
          <w:color w:val="1F2937"/>
          <w:sz w:val="24"/>
        </w:rPr>
        <w:t>In the absence of a transparent, objective mathematical framework, relief distribution inevitably degrades into panic dispatching governed by socio-political noise. Neighborhoods with active social media presences or influential political representation receive disproportionate relief attention, while marginalized low-income colonies and rural agrarian hamlets without digital connectivity are overlooked. CloudShield's automated Disaster Priority &amp; Relief Index (DPRI) restores distributive justice by anchoring all priority calculations in transparent, empirical hazard and vulnerability telemetry.</w:t>
      </w:r>
    </w:p>
    <w:p>
      <w:pPr>
        <w:pStyle w:val="Heading2"/>
        <w:keepNext/>
        <w:spacing w:before="200" w:after="80"/>
      </w:pPr>
      <w:r>
        <w:rPr>
          <w:rFonts w:ascii="Times New Roman" w:hAnsi="Times New Roman"/>
          <w:b/>
          <w:i w:val="0"/>
          <w:color w:val="1E3A8A"/>
          <w:sz w:val="26"/>
        </w:rPr>
        <w:t>2.5 Information Cascades and the Sociology of Emergency Resource Hoarding</w:t>
      </w:r>
    </w:p>
    <w:p>
      <w:pPr>
        <w:spacing w:before="0" w:after="120" w:line="276" w:lineRule="auto"/>
        <w:jc w:val="both"/>
      </w:pPr>
      <w:r>
        <w:rPr>
          <w:rFonts w:ascii="Times New Roman" w:hAnsi="Times New Roman"/>
          <w:b w:val="0"/>
          <w:i w:val="0"/>
          <w:color w:val="1F2937"/>
          <w:sz w:val="24"/>
        </w:rPr>
        <w:t>During natural disasters, psychological panic spreads rapidly among field station managers and local revenue officials. When reports surface that water or antibiotic stocks are running low in the capital city, perimeter depot managers engage in defensive hoarding—falsely reporting zero stock to central authorities to preserve local reserves for their immediate jurisdiction. This creates artificial scarcity across the state supply chain. CloudShield counters defensive hoarding through cryptographically signed inventory manifests and automated multi-depot visibility that balances local buffer reservations (15%) against state emergency dispatches.</w:t>
      </w:r>
    </w:p>
    <w:p>
      <w:r>
        <w:br w:type="page"/>
      </w:r>
    </w:p>
    <w:p>
      <w:pPr>
        <w:pStyle w:val="Heading1"/>
        <w:keepNext/>
        <w:spacing w:before="320" w:after="120"/>
      </w:pPr>
      <w:r>
        <w:rPr>
          <w:rFonts w:ascii="Times New Roman" w:hAnsi="Times New Roman"/>
          <w:b/>
          <w:i w:val="0"/>
          <w:color w:val="0F2B5C"/>
          <w:sz w:val="28"/>
        </w:rPr>
        <w:t>Chapter 3: Intellectual Property &amp; Core Technical Novelty (IDF-B Alignment)</w:t>
      </w:r>
    </w:p>
    <w:p>
      <w:pPr>
        <w:pStyle w:val="Heading2"/>
        <w:keepNext/>
        <w:spacing w:before="200" w:after="80"/>
      </w:pPr>
      <w:r>
        <w:rPr>
          <w:rFonts w:ascii="Times New Roman" w:hAnsi="Times New Roman"/>
          <w:b/>
          <w:i w:val="0"/>
          <w:color w:val="1E3A8A"/>
          <w:sz w:val="26"/>
        </w:rPr>
        <w:t>3.1 Institutional Intellectual Property Alignment (Doc No. 02-IPR-R003)</w:t>
      </w:r>
    </w:p>
    <w:p>
      <w:pPr>
        <w:spacing w:before="0" w:after="120" w:line="276" w:lineRule="auto"/>
        <w:jc w:val="both"/>
      </w:pPr>
      <w:r>
        <w:rPr>
          <w:rFonts w:ascii="Times New Roman" w:hAnsi="Times New Roman"/>
          <w:b w:val="0"/>
          <w:i w:val="0"/>
          <w:color w:val="1F2937"/>
          <w:sz w:val="24"/>
        </w:rPr>
        <w:t>To systematically address the structural pathologies of classical emergency relief, CloudShield introduces four foundational technical novelties, formally documented under institutional Invention Disclosure Form (IDF) Doc No. 02-IPR-R003. Unlike prior academic models that focus narrowly on offline mixed-integer linear programming (MILP), CloudShield establishes an end-to-end, resilient cloud architecture combining real-time multi-criteria decision modeling, two-stage state machine governance, and international humanitarian calibration.</w:t>
      </w:r>
    </w:p>
    <w:p>
      <w:pPr>
        <w:pStyle w:val="Heading2"/>
        <w:keepNext/>
        <w:spacing w:before="200" w:after="80"/>
      </w:pPr>
      <w:r>
        <w:rPr>
          <w:rFonts w:ascii="Times New Roman" w:hAnsi="Times New Roman"/>
          <w:b/>
          <w:i w:val="0"/>
          <w:color w:val="1E3A8A"/>
          <w:sz w:val="26"/>
        </w:rPr>
        <w:t>3.2 Novelty 1: Version-Linked Planning Snapshot Architecture</w:t>
      </w:r>
    </w:p>
    <w:p>
      <w:pPr>
        <w:spacing w:before="0" w:after="120" w:line="276" w:lineRule="auto"/>
        <w:jc w:val="both"/>
      </w:pPr>
      <w:r>
        <w:rPr>
          <w:rFonts w:ascii="Times New Roman" w:hAnsi="Times New Roman"/>
          <w:b w:val="0"/>
          <w:i w:val="0"/>
          <w:color w:val="1F2937"/>
          <w:sz w:val="24"/>
        </w:rPr>
        <w:t xml:space="preserve">Disaster environments are characterized by extreme temporal instability: meteorological forecasts update every three to six hours, road access reports fluctuate continuously, and warehouse inventory changes with every arriving delivery convoy. Traditional systems suffer from </w:t>
      </w:r>
      <w:r>
        <w:rPr>
          <w:rFonts w:ascii="Times New Roman" w:hAnsi="Times New Roman"/>
          <w:b w:val="0"/>
          <w:i/>
          <w:color w:val="1F2937"/>
          <w:sz w:val="24"/>
        </w:rPr>
        <w:t>Planning Drift</w:t>
      </w:r>
      <w:r>
        <w:rPr>
          <w:rFonts w:ascii="Times New Roman" w:hAnsi="Times New Roman"/>
          <w:b w:val="0"/>
          <w:i w:val="0"/>
          <w:color w:val="1F2937"/>
          <w:sz w:val="24"/>
        </w:rPr>
        <w:t>, where an optimization algorithm computes an allocation based on inventory data from 10:00 AM combined with weather data from 11:30 AM, resulting in an internally inconsistent operational plan.</w:t>
      </w:r>
    </w:p>
    <w:p>
      <w:pPr>
        <w:spacing w:before="0" w:after="120" w:line="276" w:lineRule="auto"/>
        <w:jc w:val="both"/>
      </w:pPr>
      <w:r>
        <w:rPr>
          <w:rFonts w:ascii="Times New Roman" w:hAnsi="Times New Roman"/>
          <w:b w:val="0"/>
          <w:i w:val="0"/>
          <w:color w:val="1F2937"/>
          <w:sz w:val="24"/>
        </w:rPr>
        <w:t xml:space="preserve">CloudShield resolves this by implementing the </w:t>
      </w:r>
      <w:r>
        <w:rPr>
          <w:rFonts w:ascii="Times New Roman" w:hAnsi="Times New Roman"/>
          <w:b/>
          <w:i w:val="0"/>
          <w:color w:val="1F2937"/>
          <w:sz w:val="24"/>
        </w:rPr>
        <w:t>Version-Linked Planning Snapshot</w:t>
      </w:r>
      <w:r>
        <w:rPr>
          <w:rFonts w:ascii="Times New Roman" w:hAnsi="Times New Roman"/>
          <w:b w:val="0"/>
          <w:i w:val="0"/>
          <w:color w:val="1F2937"/>
          <w:sz w:val="24"/>
        </w:rPr>
        <w:t xml:space="preserve"> protocol. Before any optimization run executes, the system captures a point-in-time, cryptographically hashed snapshot that simultaneously binds:</w:t>
      </w:r>
      <w:r>
        <w:br/>
      </w:r>
      <w:r>
        <w:rPr>
          <w:rFonts w:ascii="Times New Roman" w:hAnsi="Times New Roman"/>
          <w:b w:val="0"/>
          <w:i w:val="0"/>
          <w:color w:val="1F2937"/>
          <w:sz w:val="24"/>
        </w:rPr>
        <w:t>1. The active hydrometeorological hazard telemetry vector across all registered disaster zones.</w:t>
      </w:r>
      <w:r>
        <w:br/>
      </w:r>
      <w:r>
        <w:rPr>
          <w:rFonts w:ascii="Times New Roman" w:hAnsi="Times New Roman"/>
          <w:b w:val="0"/>
          <w:i w:val="0"/>
          <w:color w:val="1F2937"/>
          <w:sz w:val="24"/>
        </w:rPr>
        <w:t>2. The verified population census, demographic vulnerability ratios, and casualty counts.</w:t>
      </w:r>
      <w:r>
        <w:br/>
      </w:r>
      <w:r>
        <w:rPr>
          <w:rFonts w:ascii="Times New Roman" w:hAnsi="Times New Roman"/>
          <w:b w:val="0"/>
          <w:i w:val="0"/>
          <w:color w:val="1F2937"/>
          <w:sz w:val="24"/>
        </w:rPr>
        <w:t>3. The exact real-time physical inventory balances across all participating supply depots.</w:t>
      </w:r>
      <w:r>
        <w:br/>
      </w:r>
      <w:r>
        <w:rPr>
          <w:rFonts w:ascii="Times New Roman" w:hAnsi="Times New Roman"/>
          <w:b w:val="0"/>
          <w:i w:val="0"/>
          <w:color w:val="1F2937"/>
          <w:sz w:val="24"/>
        </w:rPr>
        <w:t>4. The current road accessibility and infrastructure isolation coefficients.</w:t>
      </w:r>
      <w:r>
        <w:br/>
      </w:r>
      <w:r>
        <w:rPr>
          <w:rFonts w:ascii="Times New Roman" w:hAnsi="Times New Roman"/>
          <w:b w:val="0"/>
          <w:i w:val="0"/>
          <w:color w:val="1F2937"/>
          <w:sz w:val="24"/>
        </w:rPr>
        <w:t>Every generated allocation manifest is permanently linked to this snapshot ID. This ensures complete algorithmic determinism: any historical decision can be re-run, verified, and audited with mathematical reproducibility.</w:t>
      </w:r>
    </w:p>
    <w:p>
      <w:pPr>
        <w:pStyle w:val="Heading2"/>
        <w:keepNext/>
        <w:spacing w:before="200" w:after="80"/>
      </w:pPr>
      <w:r>
        <w:rPr>
          <w:rFonts w:ascii="Times New Roman" w:hAnsi="Times New Roman"/>
          <w:b/>
          <w:i w:val="0"/>
          <w:color w:val="1E3A8A"/>
          <w:sz w:val="26"/>
        </w:rPr>
        <w:t>3.3 Novelty 2: Decoupled Need Urgency from Route Feasibility (Unserviceable Demand Escrow)</w:t>
      </w:r>
    </w:p>
    <w:p>
      <w:pPr>
        <w:spacing w:before="0" w:after="120" w:line="276" w:lineRule="auto"/>
        <w:jc w:val="both"/>
      </w:pPr>
      <w:r>
        <w:rPr>
          <w:rFonts w:ascii="Times New Roman" w:hAnsi="Times New Roman"/>
          <w:b w:val="0"/>
          <w:i w:val="0"/>
          <w:color w:val="1F2937"/>
          <w:sz w:val="24"/>
        </w:rPr>
        <w:t xml:space="preserve">The defining humanitarian innovation of CloudShield is the strict mathematical decoupling between </w:t>
      </w:r>
      <w:r>
        <w:rPr>
          <w:rFonts w:ascii="Times New Roman" w:hAnsi="Times New Roman"/>
          <w:b w:val="0"/>
          <w:i/>
          <w:color w:val="1F2937"/>
          <w:sz w:val="24"/>
        </w:rPr>
        <w:t>Regional Urgency of Need</w:t>
      </w:r>
      <w:r>
        <w:rPr>
          <w:rFonts w:ascii="Times New Roman" w:hAnsi="Times New Roman"/>
          <w:b w:val="0"/>
          <w:i w:val="0"/>
          <w:color w:val="1F2937"/>
          <w:sz w:val="24"/>
        </w:rPr>
        <w:t xml:space="preserve"> (quantified via DPRI) and </w:t>
      </w:r>
      <w:r>
        <w:rPr>
          <w:rFonts w:ascii="Times New Roman" w:hAnsi="Times New Roman"/>
          <w:b w:val="0"/>
          <w:i/>
          <w:color w:val="1F2937"/>
          <w:sz w:val="24"/>
        </w:rPr>
        <w:t>Physical Routing Feasibility</w:t>
      </w:r>
      <w:r>
        <w:rPr>
          <w:rFonts w:ascii="Times New Roman" w:hAnsi="Times New Roman"/>
          <w:b w:val="0"/>
          <w:i w:val="0"/>
          <w:color w:val="1F2937"/>
          <w:sz w:val="24"/>
        </w:rPr>
        <w:t>. When an access corridor to an acute disaster zone (e.g., Region Delta) suffers structural failure or complete inundation, CloudShield’s allocation engine refuses to suppress the demand.</w:t>
      </w:r>
    </w:p>
    <w:p>
      <w:pPr>
        <w:spacing w:before="0" w:after="120" w:line="276" w:lineRule="auto"/>
        <w:jc w:val="both"/>
      </w:pPr>
      <w:r>
        <w:rPr>
          <w:rFonts w:ascii="Times New Roman" w:hAnsi="Times New Roman"/>
          <w:b w:val="0"/>
          <w:i w:val="0"/>
          <w:color w:val="1F2937"/>
          <w:sz w:val="24"/>
        </w:rPr>
        <w:t xml:space="preserve">Instead, Region Delta retains its critical priority ranking at the top of the command console. The engine automatically routes the unsatisfied survival requirements into an explicit </w:t>
      </w:r>
      <w:r>
        <w:rPr>
          <w:rFonts w:ascii="Times New Roman" w:hAnsi="Times New Roman"/>
          <w:b/>
          <w:i w:val="0"/>
          <w:color w:val="1F2937"/>
          <w:sz w:val="24"/>
        </w:rPr>
        <w:t>Unserviceable Demand Record (UDR)</w:t>
      </w:r>
      <w:r>
        <w:rPr>
          <w:rFonts w:ascii="Times New Roman" w:hAnsi="Times New Roman"/>
          <w:b w:val="0"/>
          <w:i w:val="0"/>
          <w:color w:val="1F2937"/>
          <w:sz w:val="24"/>
        </w:rPr>
        <w:t>. This record immediately triggers a high-priority Amazon SNS escalation broadcast to regional incident commanders and military liaison officers, explicitly flagging that conventional ground transport is impossible and directing the immediate deployment of non-conventional assets (such as NDRF amphibious craft, Indian Coast Guard hovercraft, or Indian Air Force Mi-17 heavy-lift airdrops).</w:t>
      </w:r>
    </w:p>
    <w:p>
      <w:pPr>
        <w:keepNext/>
        <w:spacing w:before="160" w:after="80"/>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graph_7_unserviceable_demand_escalation.png"/>
                    <pic:cNvPicPr/>
                  </pic:nvPicPr>
                  <pic:blipFill>
                    <a:blip r:embed="rId12"/>
                    <a:stretch>
                      <a:fillRect/>
                    </a:stretch>
                  </pic:blipFill>
                  <pic:spPr>
                    <a:xfrm>
                      <a:off x="0" y="0"/>
                      <a:ext cx="5486400" cy="3291840"/>
                    </a:xfrm>
                    <a:prstGeom prst="rect"/>
                  </pic:spPr>
                </pic:pic>
              </a:graphicData>
            </a:graphic>
          </wp:inline>
        </w:drawing>
      </w:r>
    </w:p>
    <w:p>
      <w:pPr>
        <w:spacing w:before="40" w:after="200" w:line="276" w:lineRule="auto"/>
        <w:ind w:left="360" w:right="360"/>
        <w:jc w:val="center"/>
      </w:pPr>
      <w:r>
        <w:rPr>
          <w:rFonts w:ascii="Times New Roman" w:hAnsi="Times New Roman"/>
          <w:b/>
          <w:i/>
          <w:color w:val="334155"/>
          <w:sz w:val="19"/>
        </w:rPr>
        <w:t>Figure 3.1: Mathematical Decoupling of Urgency from Route Feasibility.</w:t>
      </w:r>
      <w:r>
        <w:rPr>
          <w:rFonts w:ascii="Times New Roman" w:hAnsi="Times New Roman"/>
          <w:b w:val="0"/>
          <w:i/>
          <w:color w:val="334155"/>
          <w:sz w:val="19"/>
        </w:rPr>
        <w:t xml:space="preserve"> In contrast to commercial ERP route pruning which drops severed disaster zones to zero delivered aid once road impairment crosses 70%, CloudShield preserves 100% of the true demand and automatically escalates an Unserviceable Demand Escrow alert for air-drop/amphibious deployment.</w:t>
      </w:r>
    </w:p>
    <w:p>
      <w:pPr>
        <w:pStyle w:val="Heading2"/>
        <w:keepNext/>
        <w:spacing w:before="200" w:after="80"/>
      </w:pPr>
      <w:r>
        <w:rPr>
          <w:rFonts w:ascii="Times New Roman" w:hAnsi="Times New Roman"/>
          <w:b/>
          <w:i w:val="0"/>
          <w:color w:val="1E3A8A"/>
          <w:sz w:val="26"/>
        </w:rPr>
        <w:t>3.4 Novelty 3: Two-Stage Plan-Commit Protocol with Idempotent Governance</w:t>
      </w:r>
    </w:p>
    <w:p>
      <w:pPr>
        <w:spacing w:before="0" w:after="120" w:line="276" w:lineRule="auto"/>
        <w:jc w:val="both"/>
      </w:pPr>
      <w:r>
        <w:rPr>
          <w:rFonts w:ascii="Times New Roman" w:hAnsi="Times New Roman"/>
          <w:b w:val="0"/>
          <w:i w:val="0"/>
          <w:color w:val="1F2937"/>
          <w:sz w:val="24"/>
        </w:rPr>
        <w:t xml:space="preserve">To prevent premature stock commitment while eliminating ghost allocations, CloudShield introduces a two-stage transaction protocol. The optimization solver produces an optimized manifest in a strictly provisional </w:t>
      </w:r>
      <w:r>
        <w:rPr>
          <w:rFonts w:ascii="Consolas" w:hAnsi="Consolas"/>
          <w:b w:val="0"/>
          <w:i w:val="0"/>
          <w:color w:val="0F2B5C"/>
          <w:sz w:val="21"/>
        </w:rPr>
        <w:t>PENDING_APPROVAL</w:t>
      </w:r>
      <w:r>
        <w:rPr>
          <w:rFonts w:ascii="Times New Roman" w:hAnsi="Times New Roman"/>
          <w:b w:val="0"/>
          <w:i w:val="0"/>
          <w:color w:val="1F2937"/>
          <w:sz w:val="24"/>
        </w:rPr>
        <w:t xml:space="preserve"> state. During this stage, zero physical stock is deducted from warehouse databases. Only an authenticated </w:t>
      </w:r>
      <w:r>
        <w:rPr>
          <w:rFonts w:ascii="Consolas" w:hAnsi="Consolas"/>
          <w:b w:val="0"/>
          <w:i w:val="0"/>
          <w:color w:val="0F2B5C"/>
          <w:sz w:val="21"/>
        </w:rPr>
        <w:t>LOGISTICS_DIRECTOR</w:t>
      </w:r>
      <w:r>
        <w:rPr>
          <w:rFonts w:ascii="Times New Roman" w:hAnsi="Times New Roman"/>
          <w:b w:val="0"/>
          <w:i w:val="0"/>
          <w:color w:val="1F2937"/>
          <w:sz w:val="24"/>
        </w:rPr>
        <w:t xml:space="preserve"> can review and commit the plan, enforced through a unique cryptographic </w:t>
      </w:r>
      <w:r>
        <w:rPr>
          <w:rFonts w:ascii="Consolas" w:hAnsi="Consolas"/>
          <w:b w:val="0"/>
          <w:i w:val="0"/>
          <w:color w:val="0F2B5C"/>
          <w:sz w:val="21"/>
        </w:rPr>
        <w:t>Action ID</w:t>
      </w:r>
      <w:r>
        <w:rPr>
          <w:rFonts w:ascii="Times New Roman" w:hAnsi="Times New Roman"/>
          <w:b w:val="0"/>
          <w:i w:val="0"/>
          <w:color w:val="1F2937"/>
          <w:sz w:val="24"/>
        </w:rPr>
        <w:t xml:space="preserve"> idempotency key that mathematically prevents race conditions.</w:t>
      </w:r>
    </w:p>
    <w:p>
      <w:pPr>
        <w:pStyle w:val="Heading2"/>
        <w:keepNext/>
        <w:spacing w:before="200" w:after="80"/>
      </w:pPr>
      <w:r>
        <w:rPr>
          <w:rFonts w:ascii="Times New Roman" w:hAnsi="Times New Roman"/>
          <w:b/>
          <w:i w:val="0"/>
          <w:color w:val="1E3A8A"/>
          <w:sz w:val="26"/>
        </w:rPr>
        <w:t>3.5 Novelty 4: Mathematical Grounding in Sphere International Standards</w:t>
      </w:r>
    </w:p>
    <w:p>
      <w:pPr>
        <w:spacing w:before="0" w:after="120" w:line="276" w:lineRule="auto"/>
        <w:jc w:val="both"/>
      </w:pPr>
      <w:r>
        <w:rPr>
          <w:rFonts w:ascii="Times New Roman" w:hAnsi="Times New Roman"/>
          <w:b w:val="0"/>
          <w:i w:val="0"/>
          <w:color w:val="1F2937"/>
          <w:sz w:val="24"/>
        </w:rPr>
        <w:t xml:space="preserve">Rather than relying on arbitrary user inputs or subjective guesses, CloudShield hard-codes the internationally recognized </w:t>
      </w:r>
      <w:r>
        <w:rPr>
          <w:rFonts w:ascii="Times New Roman" w:hAnsi="Times New Roman"/>
          <w:b w:val="0"/>
          <w:i/>
          <w:color w:val="1F2937"/>
          <w:sz w:val="24"/>
        </w:rPr>
        <w:t>Sphere Humanitarian Charter Minimum Standards</w:t>
      </w:r>
      <w:r>
        <w:rPr>
          <w:rFonts w:ascii="Times New Roman" w:hAnsi="Times New Roman"/>
          <w:b w:val="0"/>
          <w:i w:val="0"/>
          <w:color w:val="1F2937"/>
          <w:sz w:val="24"/>
        </w:rPr>
        <w:t xml:space="preserve"> directly into its demand equations, establishing an unshakeable scientific baseline for human survival.</w:t>
      </w:r>
    </w:p>
    <w:p>
      <w:pPr>
        <w:keepNext/>
        <w:spacing w:before="120" w:after="80"/>
      </w:pPr>
      <w:r>
        <w:rPr>
          <w:rFonts w:ascii="Times New Roman" w:hAnsi="Times New Roman"/>
          <w:b/>
          <w:i w:val="0"/>
          <w:color w:val="111827"/>
          <w:sz w:val="24"/>
        </w:rPr>
        <w:t>Table 3.1: Architectural Comparison: CloudShield vs. Commercial ERPs vs. Academic Prototypes</w:t>
      </w:r>
    </w:p>
    <w:tbl>
      <w:tblPr>
        <w:tblW w:type="auto" w:w="0"/>
        <w:jc w:val="center"/>
        <w:tblLook w:firstColumn="1" w:firstRow="1" w:lastColumn="0" w:lastRow="0" w:noHBand="0" w:noVBand="1" w:val="04A0"/>
      </w:tblPr>
      <w:tblGrid>
        <w:gridCol w:w="2340"/>
        <w:gridCol w:w="2340"/>
        <w:gridCol w:w="2340"/>
        <w:gridCol w:w="2340"/>
      </w:tblGrid>
      <w:tr>
        <w:tc>
          <w:tcPr>
            <w:tcW w:type="dxa" w:w="2043"/>
            <w:shd w:fill="0F2B5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FFFFFF"/>
                <w:sz w:val="19"/>
              </w:rPr>
              <w:t>Capability Dimension</w:t>
            </w:r>
          </w:p>
        </w:tc>
        <w:tc>
          <w:tcPr>
            <w:tcW w:type="dxa" w:w="2229"/>
            <w:shd w:fill="0F2B5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FFFFFF"/>
                <w:sz w:val="19"/>
              </w:rPr>
              <w:t>Commercial ERPs (SAP/Oracle)</w:t>
            </w:r>
          </w:p>
        </w:tc>
        <w:tc>
          <w:tcPr>
            <w:tcW w:type="dxa" w:w="2303"/>
            <w:shd w:fill="0F2B5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FFFFFF"/>
                <w:sz w:val="19"/>
              </w:rPr>
              <w:t>Academic MILP Solvers</w:t>
            </w:r>
          </w:p>
        </w:tc>
        <w:tc>
          <w:tcPr>
            <w:tcW w:type="dxa" w:w="2786"/>
            <w:shd w:fill="0F2B5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FFFFFF"/>
                <w:sz w:val="19"/>
              </w:rPr>
              <w:t>CloudShield Architecture</w:t>
            </w:r>
          </w:p>
        </w:tc>
      </w:tr>
      <w:tr>
        <w:tc>
          <w:tcPr>
            <w:tcW w:type="dxa" w:w="2043"/>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Optimization Goal</w:t>
            </w:r>
          </w:p>
        </w:tc>
        <w:tc>
          <w:tcPr>
            <w:tcW w:type="dxa" w:w="2229"/>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Cost minimization &amp; profit</w:t>
            </w:r>
          </w:p>
        </w:tc>
        <w:tc>
          <w:tcPr>
            <w:tcW w:type="dxa" w:w="2303"/>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Theoretical transit penalty</w:t>
            </w:r>
          </w:p>
        </w:tc>
        <w:tc>
          <w:tcPr>
            <w:tcW w:type="dxa" w:w="2786"/>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1F2937"/>
                <w:sz w:val="19"/>
              </w:rPr>
              <w:t>Human survival &amp; urgency equity</w:t>
            </w:r>
          </w:p>
        </w:tc>
      </w:tr>
      <w:tr>
        <w:tc>
          <w:tcPr>
            <w:tcW w:type="dxa" w:w="2043"/>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Severed Route Behavior</w:t>
            </w:r>
          </w:p>
        </w:tc>
        <w:tc>
          <w:tcPr>
            <w:tcW w:type="dxa" w:w="2229"/>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Prunes node as infeasible</w:t>
            </w:r>
          </w:p>
        </w:tc>
        <w:tc>
          <w:tcPr>
            <w:tcW w:type="dxa" w:w="2303"/>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Zeroes delivery flow variable</w:t>
            </w:r>
          </w:p>
        </w:tc>
        <w:tc>
          <w:tcPr>
            <w:tcW w:type="dxa" w:w="2786"/>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1F2937"/>
                <w:sz w:val="19"/>
              </w:rPr>
              <w:t>Preserves DPRI; triggers air/amphibious UDE</w:t>
            </w:r>
          </w:p>
        </w:tc>
      </w:tr>
      <w:tr>
        <w:tc>
          <w:tcPr>
            <w:tcW w:type="dxa" w:w="2043"/>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State Governance</w:t>
            </w:r>
          </w:p>
        </w:tc>
        <w:tc>
          <w:tcPr>
            <w:tcW w:type="dxa" w:w="2229"/>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Synchronous immediate commit</w:t>
            </w:r>
          </w:p>
        </w:tc>
        <w:tc>
          <w:tcPr>
            <w:tcW w:type="dxa" w:w="2303"/>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Static offline calculation</w:t>
            </w:r>
          </w:p>
        </w:tc>
        <w:tc>
          <w:tcPr>
            <w:tcW w:type="dxa" w:w="2786"/>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1F2937"/>
                <w:sz w:val="19"/>
              </w:rPr>
              <w:t>Two-stage idempotent plan-commit gate</w:t>
            </w:r>
          </w:p>
        </w:tc>
      </w:tr>
      <w:tr>
        <w:tc>
          <w:tcPr>
            <w:tcW w:type="dxa" w:w="2043"/>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Demand Calibration</w:t>
            </w:r>
          </w:p>
        </w:tc>
        <w:tc>
          <w:tcPr>
            <w:tcW w:type="dxa" w:w="2229"/>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Historical sales forecasts</w:t>
            </w:r>
          </w:p>
        </w:tc>
        <w:tc>
          <w:tcPr>
            <w:tcW w:type="dxa" w:w="2303"/>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Subjective synthetic demand</w:t>
            </w:r>
          </w:p>
        </w:tc>
        <w:tc>
          <w:tcPr>
            <w:tcW w:type="dxa" w:w="2786"/>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1F2937"/>
                <w:sz w:val="19"/>
              </w:rPr>
              <w:t>Sphere International Humanitarian Charters</w:t>
            </w:r>
          </w:p>
        </w:tc>
      </w:tr>
      <w:tr>
        <w:tc>
          <w:tcPr>
            <w:tcW w:type="dxa" w:w="2043"/>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Cloud Infrastructure</w:t>
            </w:r>
          </w:p>
        </w:tc>
        <w:tc>
          <w:tcPr>
            <w:tcW w:type="dxa" w:w="2229"/>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Monolithic multi-tenant cloud</w:t>
            </w:r>
          </w:p>
        </w:tc>
        <w:tc>
          <w:tcPr>
            <w:tcW w:type="dxa" w:w="2303"/>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Local desktop Python/MATLAB</w:t>
            </w:r>
          </w:p>
        </w:tc>
        <w:tc>
          <w:tcPr>
            <w:tcW w:type="dxa" w:w="2786"/>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1F2937"/>
                <w:sz w:val="19"/>
              </w:rPr>
              <w:t>Serverless-ready AWS (EC2/S3/SNS/CloudWatch)</w:t>
            </w:r>
          </w:p>
        </w:tc>
      </w:tr>
      <w:tr>
        <w:tc>
          <w:tcPr>
            <w:tcW w:type="dxa" w:w="2043"/>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Concurrency Safety</w:t>
            </w:r>
          </w:p>
        </w:tc>
        <w:tc>
          <w:tcPr>
            <w:tcW w:type="dxa" w:w="2229"/>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High overhead DB locks</w:t>
            </w:r>
          </w:p>
        </w:tc>
        <w:tc>
          <w:tcPr>
            <w:tcW w:type="dxa" w:w="2303"/>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Single-threaded execution</w:t>
            </w:r>
          </w:p>
        </w:tc>
        <w:tc>
          <w:tcPr>
            <w:tcW w:type="dxa" w:w="2786"/>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1F2937"/>
                <w:sz w:val="19"/>
              </w:rPr>
              <w:t>Action ID cryptographic idempotency</w:t>
            </w:r>
          </w:p>
        </w:tc>
      </w:tr>
    </w:tbl>
    <w:p>
      <w:pPr>
        <w:spacing w:before="120" w:after="0"/>
      </w:pPr>
    </w:p>
    <w:p>
      <w:r>
        <w:br w:type="page"/>
      </w:r>
    </w:p>
    <w:p>
      <w:pPr>
        <w:pStyle w:val="Heading1"/>
        <w:keepNext/>
        <w:spacing w:before="320" w:after="120"/>
      </w:pPr>
      <w:r>
        <w:rPr>
          <w:rFonts w:ascii="Times New Roman" w:hAnsi="Times New Roman"/>
          <w:b/>
          <w:i w:val="0"/>
          <w:color w:val="0F2B5C"/>
          <w:sz w:val="28"/>
        </w:rPr>
        <w:t>Chapter 4: Mathematical Foundations &amp; Sphere Minimum Survival Standards</w:t>
      </w:r>
    </w:p>
    <w:p>
      <w:pPr>
        <w:pStyle w:val="Heading2"/>
        <w:keepNext/>
        <w:spacing w:before="200" w:after="80"/>
      </w:pPr>
      <w:r>
        <w:rPr>
          <w:rFonts w:ascii="Times New Roman" w:hAnsi="Times New Roman"/>
          <w:b/>
          <w:i w:val="0"/>
          <w:color w:val="1E3A8A"/>
          <w:sz w:val="26"/>
        </w:rPr>
        <w:t>4.1 Disaster Priority and Relief Index (DPRI) Mathematical Derivation</w:t>
      </w:r>
    </w:p>
    <w:p>
      <w:pPr>
        <w:spacing w:before="0" w:after="120" w:line="276" w:lineRule="auto"/>
        <w:jc w:val="both"/>
      </w:pPr>
      <w:r>
        <w:rPr>
          <w:rFonts w:ascii="Times New Roman" w:hAnsi="Times New Roman"/>
          <w:b w:val="0"/>
          <w:i w:val="0"/>
          <w:color w:val="1F2937"/>
          <w:sz w:val="24"/>
        </w:rPr>
        <w:t xml:space="preserve">To eliminate subjective human bias and political interference in relief dispatching, CloudShield formulates the </w:t>
      </w:r>
      <w:r>
        <w:rPr>
          <w:rFonts w:ascii="Times New Roman" w:hAnsi="Times New Roman"/>
          <w:b/>
          <w:i w:val="0"/>
          <w:color w:val="1F2937"/>
          <w:sz w:val="24"/>
        </w:rPr>
        <w:t>Disaster Priority and Relief Index (DPRI)</w:t>
      </w:r>
      <w:r>
        <w:rPr>
          <w:rFonts w:ascii="Times New Roman" w:hAnsi="Times New Roman"/>
          <w:b w:val="0"/>
          <w:i w:val="0"/>
          <w:color w:val="1F2937"/>
          <w:sz w:val="24"/>
        </w:rPr>
        <w:t xml:space="preserve"> as a rigorous, bounded multi-criteria decision metric. For any registered geographical disaster zone </w:t>
      </w:r>
      <w:r>
        <w:rPr>
          <w:rFonts w:ascii="Times New Roman" w:hAnsi="Times New Roman"/>
          <w:b w:val="0"/>
          <w:i/>
          <w:color w:val="1F2937"/>
          <w:sz w:val="24"/>
        </w:rPr>
        <w:t>r</w:t>
      </w:r>
      <w:r>
        <w:rPr>
          <w:rFonts w:ascii="Times New Roman" w:hAnsi="Times New Roman"/>
          <w:b w:val="0"/>
          <w:i w:val="0"/>
          <w:color w:val="1F2937"/>
          <w:sz w:val="24"/>
        </w:rPr>
        <w:t>, the DPRI is defined across a normalized continuum from 0.00 (stable baseline) to 1.00 (catastrophic human peril):</w:t>
      </w:r>
    </w:p>
    <w:tbl>
      <w:tblPr>
        <w:tblW w:type="auto" w:w="0"/>
        <w:jc w:val="center"/>
        <w:tblLook w:firstColumn="1" w:firstRow="1" w:lastColumn="0" w:lastRow="0" w:noHBand="0" w:noVBand="1" w:val="04A0"/>
      </w:tblPr>
      <w:tblGrid>
        <w:gridCol w:w="9360"/>
      </w:tblGrid>
      <w:tr>
        <w:tc>
          <w:tcPr>
            <w:tcW w:type="dxa" w:w="9360"/>
            <w:shd w:fill="F8FAFC"/>
            <w:tcBorders>
              <w:top w:val="single" w:sz="6" w:space="0" w:color="CBD5E1"/>
              <w:left w:val="single" w:sz="16" w:space="0" w:color="0F2B5C"/>
              <w:bottom w:val="single" w:sz="6" w:space="0" w:color="CBD5E1"/>
              <w:right w:val="single" w:sz="6" w:space="0" w:color="CBD5E1"/>
            </w:tcBorders>
            <w:tcMar>
              <w:top w:w="120" w:type="dxa"/>
              <w:bottom w:w="120" w:type="dxa"/>
              <w:left w:w="160" w:type="dxa"/>
              <w:right w:w="160" w:type="dxa"/>
            </w:tcMar>
          </w:tcPr>
          <w:p>
            <w:pPr>
              <w:spacing w:after="0" w:line="276" w:lineRule="auto"/>
            </w:pPr>
            <w:r>
              <w:rPr>
                <w:rFonts w:ascii="Times New Roman" w:hAnsi="Times New Roman"/>
                <w:b/>
                <w:i w:val="0"/>
                <w:color w:val="1F2937"/>
                <w:sz w:val="21"/>
              </w:rPr>
              <w:t>DPRI</w:t>
            </w:r>
            <w:r>
              <w:rPr>
                <w:rFonts w:ascii="Times New Roman" w:hAnsi="Times New Roman"/>
                <w:b/>
                <w:i w:val="0"/>
                <w:color w:val="1F2937"/>
                <w:sz w:val="21"/>
                <w:vertAlign w:val="subscript"/>
              </w:rPr>
              <w:t>r</w:t>
            </w:r>
            <w:r>
              <w:rPr>
                <w:rFonts w:ascii="Times New Roman" w:hAnsi="Times New Roman"/>
                <w:b/>
                <w:i w:val="0"/>
                <w:color w:val="1F2937"/>
                <w:sz w:val="21"/>
              </w:rPr>
              <w:t xml:space="preserve"> = w</w:t>
            </w:r>
            <w:r>
              <w:rPr>
                <w:rFonts w:ascii="Times New Roman" w:hAnsi="Times New Roman"/>
                <w:b/>
                <w:i w:val="0"/>
                <w:color w:val="1F2937"/>
                <w:sz w:val="21"/>
                <w:vertAlign w:val="subscript"/>
              </w:rPr>
              <w:t>1</w:t>
            </w:r>
            <w:r>
              <w:rPr>
                <w:rFonts w:ascii="Times New Roman" w:hAnsi="Times New Roman"/>
                <w:b/>
                <w:i w:val="0"/>
                <w:color w:val="1F2937"/>
                <w:sz w:val="21"/>
              </w:rPr>
              <w:t xml:space="preserve"> · N(H</w:t>
            </w:r>
            <w:r>
              <w:rPr>
                <w:rFonts w:ascii="Times New Roman" w:hAnsi="Times New Roman"/>
                <w:b/>
                <w:i w:val="0"/>
                <w:color w:val="1F2937"/>
                <w:sz w:val="21"/>
                <w:vertAlign w:val="subscript"/>
              </w:rPr>
              <w:t>r</w:t>
            </w:r>
            <w:r>
              <w:rPr>
                <w:rFonts w:ascii="Times New Roman" w:hAnsi="Times New Roman"/>
                <w:b/>
                <w:i w:val="0"/>
                <w:color w:val="1F2937"/>
                <w:sz w:val="21"/>
              </w:rPr>
              <w:t>) + w</w:t>
            </w:r>
            <w:r>
              <w:rPr>
                <w:rFonts w:ascii="Times New Roman" w:hAnsi="Times New Roman"/>
                <w:b/>
                <w:i w:val="0"/>
                <w:color w:val="1F2937"/>
                <w:sz w:val="21"/>
                <w:vertAlign w:val="subscript"/>
              </w:rPr>
              <w:t>2</w:t>
            </w:r>
            <w:r>
              <w:rPr>
                <w:rFonts w:ascii="Times New Roman" w:hAnsi="Times New Roman"/>
                <w:b/>
                <w:i w:val="0"/>
                <w:color w:val="1F2937"/>
                <w:sz w:val="21"/>
              </w:rPr>
              <w:t xml:space="preserve"> · N(P</w:t>
            </w:r>
            <w:r>
              <w:rPr>
                <w:rFonts w:ascii="Times New Roman" w:hAnsi="Times New Roman"/>
                <w:b/>
                <w:i w:val="0"/>
                <w:color w:val="1F2937"/>
                <w:sz w:val="21"/>
                <w:vertAlign w:val="subscript"/>
              </w:rPr>
              <w:t>r</w:t>
            </w:r>
            <w:r>
              <w:rPr>
                <w:rFonts w:ascii="Times New Roman" w:hAnsi="Times New Roman"/>
                <w:b/>
                <w:i w:val="0"/>
                <w:color w:val="1F2937"/>
                <w:sz w:val="21"/>
              </w:rPr>
              <w:t>) + w</w:t>
            </w:r>
            <w:r>
              <w:rPr>
                <w:rFonts w:ascii="Times New Roman" w:hAnsi="Times New Roman"/>
                <w:b/>
                <w:i w:val="0"/>
                <w:color w:val="1F2937"/>
                <w:sz w:val="21"/>
                <w:vertAlign w:val="subscript"/>
              </w:rPr>
              <w:t>3</w:t>
            </w:r>
            <w:r>
              <w:rPr>
                <w:rFonts w:ascii="Times New Roman" w:hAnsi="Times New Roman"/>
                <w:b/>
                <w:i w:val="0"/>
                <w:color w:val="1F2937"/>
                <w:sz w:val="21"/>
              </w:rPr>
              <w:t xml:space="preserve"> · N(I</w:t>
            </w:r>
            <w:r>
              <w:rPr>
                <w:rFonts w:ascii="Times New Roman" w:hAnsi="Times New Roman"/>
                <w:b/>
                <w:i w:val="0"/>
                <w:color w:val="1F2937"/>
                <w:sz w:val="21"/>
                <w:vertAlign w:val="subscript"/>
              </w:rPr>
              <w:t>r</w:t>
            </w:r>
            <w:r>
              <w:rPr>
                <w:rFonts w:ascii="Times New Roman" w:hAnsi="Times New Roman"/>
                <w:b/>
                <w:i w:val="0"/>
                <w:color w:val="1F2937"/>
                <w:sz w:val="21"/>
              </w:rPr>
              <w:t>) + w</w:t>
            </w:r>
            <w:r>
              <w:rPr>
                <w:rFonts w:ascii="Times New Roman" w:hAnsi="Times New Roman"/>
                <w:b/>
                <w:i w:val="0"/>
                <w:color w:val="1F2937"/>
                <w:sz w:val="21"/>
                <w:vertAlign w:val="subscript"/>
              </w:rPr>
              <w:t>4</w:t>
            </w:r>
            <w:r>
              <w:rPr>
                <w:rFonts w:ascii="Times New Roman" w:hAnsi="Times New Roman"/>
                <w:b/>
                <w:i w:val="0"/>
                <w:color w:val="1F2937"/>
                <w:sz w:val="21"/>
              </w:rPr>
              <w:t xml:space="preserve"> · N(V</w:t>
            </w:r>
            <w:r>
              <w:rPr>
                <w:rFonts w:ascii="Times New Roman" w:hAnsi="Times New Roman"/>
                <w:b/>
                <w:i w:val="0"/>
                <w:color w:val="1F2937"/>
                <w:sz w:val="21"/>
                <w:vertAlign w:val="subscript"/>
              </w:rPr>
              <w:t>r</w:t>
            </w:r>
            <w:r>
              <w:rPr>
                <w:rFonts w:ascii="Times New Roman" w:hAnsi="Times New Roman"/>
                <w:b/>
                <w:i w:val="0"/>
                <w:color w:val="1F2937"/>
                <w:sz w:val="21"/>
              </w:rPr>
              <w:t>)</w:t>
            </w:r>
            <w:r>
              <w:br/>
            </w:r>
            <w:r>
              <w:br/>
            </w:r>
            <w:r>
              <w:rPr>
                <w:rFonts w:ascii="Times New Roman" w:hAnsi="Times New Roman"/>
                <w:b w:val="0"/>
                <w:i w:val="0"/>
                <w:color w:val="1F2937"/>
                <w:sz w:val="21"/>
              </w:rPr>
              <w:t>Where:</w:t>
            </w:r>
            <w:r>
              <w:br/>
            </w:r>
            <w:r>
              <w:rPr>
                <w:rFonts w:ascii="Times New Roman" w:hAnsi="Times New Roman"/>
                <w:b w:val="0"/>
                <w:i w:val="0"/>
                <w:color w:val="1F2937"/>
                <w:sz w:val="21"/>
              </w:rPr>
              <w:t xml:space="preserve">• </w:t>
            </w:r>
            <w:r>
              <w:rPr>
                <w:rFonts w:ascii="Times New Roman" w:hAnsi="Times New Roman"/>
                <w:b/>
                <w:i w:val="0"/>
                <w:color w:val="1F2937"/>
                <w:sz w:val="21"/>
              </w:rPr>
              <w:t>H</w:t>
            </w:r>
            <w:r>
              <w:rPr>
                <w:rFonts w:ascii="Times New Roman" w:hAnsi="Times New Roman"/>
                <w:b/>
                <w:i w:val="0"/>
                <w:color w:val="1F2937"/>
                <w:sz w:val="21"/>
                <w:vertAlign w:val="subscript"/>
              </w:rPr>
              <w:t>r</w:t>
            </w:r>
            <w:r>
              <w:rPr>
                <w:rFonts w:ascii="Times New Roman" w:hAnsi="Times New Roman"/>
                <w:b/>
                <w:i w:val="0"/>
                <w:color w:val="1F2937"/>
                <w:sz w:val="21"/>
              </w:rPr>
              <w:t xml:space="preserve"> ∈ [0, H</w:t>
            </w:r>
            <w:r>
              <w:rPr>
                <w:rFonts w:ascii="Times New Roman" w:hAnsi="Times New Roman"/>
                <w:b/>
                <w:i w:val="0"/>
                <w:color w:val="1F2937"/>
                <w:sz w:val="21"/>
                <w:vertAlign w:val="subscript"/>
              </w:rPr>
              <w:t>max</w:t>
            </w:r>
            <w:r>
              <w:rPr>
                <w:rFonts w:ascii="Times New Roman" w:hAnsi="Times New Roman"/>
                <w:b/>
                <w:i w:val="0"/>
                <w:color w:val="1F2937"/>
                <w:sz w:val="21"/>
              </w:rPr>
              <w:t>]</w:t>
            </w:r>
            <w:r>
              <w:rPr>
                <w:rFonts w:ascii="Times New Roman" w:hAnsi="Times New Roman"/>
                <w:b w:val="0"/>
                <w:i w:val="0"/>
                <w:color w:val="1F2937"/>
                <w:sz w:val="21"/>
              </w:rPr>
              <w:t xml:space="preserve"> represents Hazard Severity, measured as flood water inundation depth (meters).</w:t>
            </w:r>
            <w:r>
              <w:br/>
            </w:r>
            <w:r>
              <w:rPr>
                <w:rFonts w:ascii="Times New Roman" w:hAnsi="Times New Roman"/>
                <w:b w:val="0"/>
                <w:i w:val="0"/>
                <w:color w:val="1F2937"/>
                <w:sz w:val="21"/>
              </w:rPr>
              <w:t xml:space="preserve">• </w:t>
            </w:r>
            <w:r>
              <w:rPr>
                <w:rFonts w:ascii="Times New Roman" w:hAnsi="Times New Roman"/>
                <w:b/>
                <w:i w:val="0"/>
                <w:color w:val="1F2937"/>
                <w:sz w:val="21"/>
              </w:rPr>
              <w:t>P</w:t>
            </w:r>
            <w:r>
              <w:rPr>
                <w:rFonts w:ascii="Times New Roman" w:hAnsi="Times New Roman"/>
                <w:b/>
                <w:i w:val="0"/>
                <w:color w:val="1F2937"/>
                <w:sz w:val="21"/>
                <w:vertAlign w:val="subscript"/>
              </w:rPr>
              <w:t>r</w:t>
            </w:r>
            <w:r>
              <w:rPr>
                <w:rFonts w:ascii="Times New Roman" w:hAnsi="Times New Roman"/>
                <w:b/>
                <w:i w:val="0"/>
                <w:color w:val="1F2937"/>
                <w:sz w:val="21"/>
              </w:rPr>
              <w:t xml:space="preserve"> ∈ [0, P</w:t>
            </w:r>
            <w:r>
              <w:rPr>
                <w:rFonts w:ascii="Times New Roman" w:hAnsi="Times New Roman"/>
                <w:b/>
                <w:i w:val="0"/>
                <w:color w:val="1F2937"/>
                <w:sz w:val="21"/>
                <w:vertAlign w:val="subscript"/>
              </w:rPr>
              <w:t>max</w:t>
            </w:r>
            <w:r>
              <w:rPr>
                <w:rFonts w:ascii="Times New Roman" w:hAnsi="Times New Roman"/>
                <w:b/>
                <w:i w:val="0"/>
                <w:color w:val="1F2937"/>
                <w:sz w:val="21"/>
              </w:rPr>
              <w:t>]</w:t>
            </w:r>
            <w:r>
              <w:rPr>
                <w:rFonts w:ascii="Times New Roman" w:hAnsi="Times New Roman"/>
                <w:b w:val="0"/>
                <w:i w:val="0"/>
                <w:color w:val="1F2937"/>
                <w:sz w:val="21"/>
              </w:rPr>
              <w:t xml:space="preserve"> represents the Count of Displaced Persons in acute need of shelter and life sustenance.</w:t>
            </w:r>
            <w:r>
              <w:br/>
            </w:r>
            <w:r>
              <w:rPr>
                <w:rFonts w:ascii="Times New Roman" w:hAnsi="Times New Roman"/>
                <w:b w:val="0"/>
                <w:i w:val="0"/>
                <w:color w:val="1F2937"/>
                <w:sz w:val="21"/>
              </w:rPr>
              <w:t xml:space="preserve">• </w:t>
            </w:r>
            <w:r>
              <w:rPr>
                <w:rFonts w:ascii="Times New Roman" w:hAnsi="Times New Roman"/>
                <w:b/>
                <w:i w:val="0"/>
                <w:color w:val="1F2937"/>
                <w:sz w:val="21"/>
              </w:rPr>
              <w:t>I</w:t>
            </w:r>
            <w:r>
              <w:rPr>
                <w:rFonts w:ascii="Times New Roman" w:hAnsi="Times New Roman"/>
                <w:b/>
                <w:i w:val="0"/>
                <w:color w:val="1F2937"/>
                <w:sz w:val="21"/>
                <w:vertAlign w:val="subscript"/>
              </w:rPr>
              <w:t>r</w:t>
            </w:r>
            <w:r>
              <w:rPr>
                <w:rFonts w:ascii="Times New Roman" w:hAnsi="Times New Roman"/>
                <w:b/>
                <w:i w:val="0"/>
                <w:color w:val="1F2937"/>
                <w:sz w:val="21"/>
              </w:rPr>
              <w:t xml:space="preserve"> ∈ [0, 1.0]</w:t>
            </w:r>
            <w:r>
              <w:rPr>
                <w:rFonts w:ascii="Times New Roman" w:hAnsi="Times New Roman"/>
                <w:b w:val="0"/>
                <w:i w:val="0"/>
                <w:color w:val="1F2937"/>
                <w:sz w:val="21"/>
              </w:rPr>
              <w:t xml:space="preserve"> represents the Infrastructure Isolation Index, quantifying the percentage of road corridors submerged.</w:t>
            </w:r>
            <w:r>
              <w:br/>
            </w:r>
            <w:r>
              <w:rPr>
                <w:rFonts w:ascii="Times New Roman" w:hAnsi="Times New Roman"/>
                <w:b w:val="0"/>
                <w:i w:val="0"/>
                <w:color w:val="1F2937"/>
                <w:sz w:val="21"/>
              </w:rPr>
              <w:t xml:space="preserve">• </w:t>
            </w:r>
            <w:r>
              <w:rPr>
                <w:rFonts w:ascii="Times New Roman" w:hAnsi="Times New Roman"/>
                <w:b/>
                <w:i w:val="0"/>
                <w:color w:val="1F2937"/>
                <w:sz w:val="21"/>
              </w:rPr>
              <w:t>V</w:t>
            </w:r>
            <w:r>
              <w:rPr>
                <w:rFonts w:ascii="Times New Roman" w:hAnsi="Times New Roman"/>
                <w:b/>
                <w:i w:val="0"/>
                <w:color w:val="1F2937"/>
                <w:sz w:val="21"/>
                <w:vertAlign w:val="subscript"/>
              </w:rPr>
              <w:t>r</w:t>
            </w:r>
            <w:r>
              <w:rPr>
                <w:rFonts w:ascii="Times New Roman" w:hAnsi="Times New Roman"/>
                <w:b/>
                <w:i w:val="0"/>
                <w:color w:val="1F2937"/>
                <w:sz w:val="21"/>
              </w:rPr>
              <w:t xml:space="preserve"> ∈ [0, 1.0]</w:t>
            </w:r>
            <w:r>
              <w:rPr>
                <w:rFonts w:ascii="Times New Roman" w:hAnsi="Times New Roman"/>
                <w:b w:val="0"/>
                <w:i w:val="0"/>
                <w:color w:val="1F2937"/>
                <w:sz w:val="21"/>
              </w:rPr>
              <w:t xml:space="preserve"> represents the Demographic Vulnerability Ratio (infants under 5, expectant mothers, elderly over 65).</w:t>
            </w:r>
            <w:r>
              <w:br/>
            </w:r>
            <w:r>
              <w:rPr>
                <w:rFonts w:ascii="Times New Roman" w:hAnsi="Times New Roman"/>
                <w:b w:val="0"/>
                <w:i w:val="0"/>
                <w:color w:val="1F2937"/>
                <w:sz w:val="21"/>
              </w:rPr>
              <w:t xml:space="preserve">• </w:t>
            </w:r>
            <w:r>
              <w:rPr>
                <w:rFonts w:ascii="Times New Roman" w:hAnsi="Times New Roman"/>
                <w:b/>
                <w:i w:val="0"/>
                <w:color w:val="1F2937"/>
                <w:sz w:val="21"/>
              </w:rPr>
              <w:t>N(X) = (X - X</w:t>
            </w:r>
            <w:r>
              <w:rPr>
                <w:rFonts w:ascii="Times New Roman" w:hAnsi="Times New Roman"/>
                <w:b/>
                <w:i w:val="0"/>
                <w:color w:val="1F2937"/>
                <w:sz w:val="21"/>
                <w:vertAlign w:val="subscript"/>
              </w:rPr>
              <w:t>min</w:t>
            </w:r>
            <w:r>
              <w:rPr>
                <w:rFonts w:ascii="Times New Roman" w:hAnsi="Times New Roman"/>
                <w:b/>
                <w:i w:val="0"/>
                <w:color w:val="1F2937"/>
                <w:sz w:val="21"/>
              </w:rPr>
              <w:t>) / (X</w:t>
            </w:r>
            <w:r>
              <w:rPr>
                <w:rFonts w:ascii="Times New Roman" w:hAnsi="Times New Roman"/>
                <w:b/>
                <w:i w:val="0"/>
                <w:color w:val="1F2937"/>
                <w:sz w:val="21"/>
                <w:vertAlign w:val="subscript"/>
              </w:rPr>
              <w:t>max</w:t>
            </w:r>
            <w:r>
              <w:rPr>
                <w:rFonts w:ascii="Times New Roman" w:hAnsi="Times New Roman"/>
                <w:b/>
                <w:i w:val="0"/>
                <w:color w:val="1F2937"/>
                <w:sz w:val="21"/>
              </w:rPr>
              <w:t xml:space="preserve"> - X</w:t>
            </w:r>
            <w:r>
              <w:rPr>
                <w:rFonts w:ascii="Times New Roman" w:hAnsi="Times New Roman"/>
                <w:b/>
                <w:i w:val="0"/>
                <w:color w:val="1F2937"/>
                <w:sz w:val="21"/>
                <w:vertAlign w:val="subscript"/>
              </w:rPr>
              <w:t>min</w:t>
            </w:r>
            <w:r>
              <w:rPr>
                <w:rFonts w:ascii="Times New Roman" w:hAnsi="Times New Roman"/>
                <w:b/>
                <w:i w:val="0"/>
                <w:color w:val="1F2937"/>
                <w:sz w:val="21"/>
              </w:rPr>
              <w:t>)</w:t>
            </w:r>
            <w:r>
              <w:rPr>
                <w:rFonts w:ascii="Times New Roman" w:hAnsi="Times New Roman"/>
                <w:b w:val="0"/>
                <w:i w:val="0"/>
                <w:color w:val="1F2937"/>
                <w:sz w:val="21"/>
              </w:rPr>
              <w:t xml:space="preserve"> denotes the standard Min-Max normalization transformation.</w:t>
            </w:r>
            <w:r>
              <w:br/>
            </w:r>
            <w:r>
              <w:rPr>
                <w:rFonts w:ascii="Times New Roman" w:hAnsi="Times New Roman"/>
                <w:b w:val="0"/>
                <w:i w:val="0"/>
                <w:color w:val="1F2937"/>
                <w:sz w:val="21"/>
              </w:rPr>
              <w:t xml:space="preserve">• </w:t>
            </w:r>
            <w:r>
              <w:rPr>
                <w:rFonts w:ascii="Times New Roman" w:hAnsi="Times New Roman"/>
                <w:b/>
                <w:i w:val="0"/>
                <w:color w:val="1F2937"/>
                <w:sz w:val="21"/>
              </w:rPr>
              <w:t>Calibrated Empirical Weights:</w:t>
            </w:r>
            <w:r>
              <w:rPr>
                <w:rFonts w:ascii="Times New Roman" w:hAnsi="Times New Roman"/>
                <w:b w:val="0"/>
                <w:i w:val="0"/>
                <w:color w:val="1F2937"/>
                <w:sz w:val="21"/>
              </w:rPr>
              <w:t xml:space="preserve"> w</w:t>
            </w:r>
            <w:r>
              <w:rPr>
                <w:rFonts w:ascii="Times New Roman" w:hAnsi="Times New Roman"/>
                <w:b w:val="0"/>
                <w:i w:val="0"/>
                <w:color w:val="1F2937"/>
                <w:sz w:val="21"/>
                <w:vertAlign w:val="subscript"/>
              </w:rPr>
              <w:t>1</w:t>
            </w:r>
            <w:r>
              <w:rPr>
                <w:rFonts w:ascii="Times New Roman" w:hAnsi="Times New Roman"/>
                <w:b w:val="0"/>
                <w:i w:val="0"/>
                <w:color w:val="1F2937"/>
                <w:sz w:val="21"/>
              </w:rPr>
              <w:t xml:space="preserve"> = 0.30, w</w:t>
            </w:r>
            <w:r>
              <w:rPr>
                <w:rFonts w:ascii="Times New Roman" w:hAnsi="Times New Roman"/>
                <w:b w:val="0"/>
                <w:i w:val="0"/>
                <w:color w:val="1F2937"/>
                <w:sz w:val="21"/>
                <w:vertAlign w:val="subscript"/>
              </w:rPr>
              <w:t>2</w:t>
            </w:r>
            <w:r>
              <w:rPr>
                <w:rFonts w:ascii="Times New Roman" w:hAnsi="Times New Roman"/>
                <w:b w:val="0"/>
                <w:i w:val="0"/>
                <w:color w:val="1F2937"/>
                <w:sz w:val="21"/>
              </w:rPr>
              <w:t xml:space="preserve"> = 0.25, w</w:t>
            </w:r>
            <w:r>
              <w:rPr>
                <w:rFonts w:ascii="Times New Roman" w:hAnsi="Times New Roman"/>
                <w:b w:val="0"/>
                <w:i w:val="0"/>
                <w:color w:val="1F2937"/>
                <w:sz w:val="21"/>
                <w:vertAlign w:val="subscript"/>
              </w:rPr>
              <w:t>3</w:t>
            </w:r>
            <w:r>
              <w:rPr>
                <w:rFonts w:ascii="Times New Roman" w:hAnsi="Times New Roman"/>
                <w:b w:val="0"/>
                <w:i w:val="0"/>
                <w:color w:val="1F2937"/>
                <w:sz w:val="21"/>
              </w:rPr>
              <w:t xml:space="preserve"> = 0.25, w</w:t>
            </w:r>
            <w:r>
              <w:rPr>
                <w:rFonts w:ascii="Times New Roman" w:hAnsi="Times New Roman"/>
                <w:b w:val="0"/>
                <w:i w:val="0"/>
                <w:color w:val="1F2937"/>
                <w:sz w:val="21"/>
                <w:vertAlign w:val="subscript"/>
              </w:rPr>
              <w:t>4</w:t>
            </w:r>
            <w:r>
              <w:rPr>
                <w:rFonts w:ascii="Times New Roman" w:hAnsi="Times New Roman"/>
                <w:b w:val="0"/>
                <w:i w:val="0"/>
                <w:color w:val="1F2937"/>
                <w:sz w:val="21"/>
              </w:rPr>
              <w:t xml:space="preserve"> = 0.20, strictly satisfying Σ w</w:t>
            </w:r>
            <w:r>
              <w:rPr>
                <w:rFonts w:ascii="Times New Roman" w:hAnsi="Times New Roman"/>
                <w:b w:val="0"/>
                <w:i w:val="0"/>
                <w:color w:val="1F2937"/>
                <w:sz w:val="21"/>
                <w:vertAlign w:val="subscript"/>
              </w:rPr>
              <w:t>i</w:t>
            </w:r>
            <w:r>
              <w:rPr>
                <w:rFonts w:ascii="Times New Roman" w:hAnsi="Times New Roman"/>
                <w:b w:val="0"/>
                <w:i w:val="0"/>
                <w:color w:val="1F2937"/>
                <w:sz w:val="21"/>
              </w:rPr>
              <w:t xml:space="preserve"> = 1.0.</w:t>
            </w:r>
          </w:p>
        </w:tc>
      </w:tr>
    </w:tbl>
    <w:p>
      <w:pPr>
        <w:spacing w:before="80" w:after="0"/>
      </w:pPr>
    </w:p>
    <w:p>
      <w:pPr>
        <w:keepNext/>
        <w:spacing w:before="160" w:after="80"/>
        <w:jc w:val="center"/>
      </w:pPr>
      <w:r>
        <w:drawing>
          <wp:inline xmlns:a="http://schemas.openxmlformats.org/drawingml/2006/main" xmlns:pic="http://schemas.openxmlformats.org/drawingml/2006/picture">
            <wp:extent cx="5486400" cy="2468880"/>
            <wp:docPr id="3" name="Picture 3"/>
            <wp:cNvGraphicFramePr>
              <a:graphicFrameLocks noChangeAspect="1"/>
            </wp:cNvGraphicFramePr>
            <a:graphic>
              <a:graphicData uri="http://schemas.openxmlformats.org/drawingml/2006/picture">
                <pic:pic>
                  <pic:nvPicPr>
                    <pic:cNvPr id="0" name="graph_1_dpri_sensitivity.png"/>
                    <pic:cNvPicPr/>
                  </pic:nvPicPr>
                  <pic:blipFill>
                    <a:blip r:embed="rId13"/>
                    <a:stretch>
                      <a:fillRect/>
                    </a:stretch>
                  </pic:blipFill>
                  <pic:spPr>
                    <a:xfrm>
                      <a:off x="0" y="0"/>
                      <a:ext cx="5486400" cy="2468880"/>
                    </a:xfrm>
                    <a:prstGeom prst="rect"/>
                  </pic:spPr>
                </pic:pic>
              </a:graphicData>
            </a:graphic>
          </wp:inline>
        </w:drawing>
      </w:r>
    </w:p>
    <w:p>
      <w:pPr>
        <w:spacing w:before="40" w:after="200" w:line="276" w:lineRule="auto"/>
        <w:ind w:left="360" w:right="360"/>
        <w:jc w:val="center"/>
      </w:pPr>
      <w:r>
        <w:rPr>
          <w:rFonts w:ascii="Times New Roman" w:hAnsi="Times New Roman"/>
          <w:b/>
          <w:i/>
          <w:color w:val="334155"/>
          <w:sz w:val="19"/>
        </w:rPr>
        <w:t>Figure 4.1: DPRI Sensitivity Analysis.</w:t>
      </w:r>
      <w:r>
        <w:rPr>
          <w:rFonts w:ascii="Times New Roman" w:hAnsi="Times New Roman"/>
          <w:b w:val="0"/>
          <w:i/>
          <w:color w:val="334155"/>
          <w:sz w:val="19"/>
        </w:rPr>
        <w:t xml:space="preserve"> (a) The non-linear surge of DPRI across flood depths under differing road isolation severities, crossing the Amazon SNS emergency escalation threshold at 0.75. (b) Marginal contribution of each weighted parameter under a 50% shift, demonstrating the intentional dominant sensitivity of hazard water depth and physical isolation.</w:t>
      </w:r>
    </w:p>
    <w:p>
      <w:pPr>
        <w:pStyle w:val="Heading2"/>
        <w:keepNext/>
        <w:spacing w:before="200" w:after="80"/>
      </w:pPr>
      <w:r>
        <w:rPr>
          <w:rFonts w:ascii="Times New Roman" w:hAnsi="Times New Roman"/>
          <w:b/>
          <w:i w:val="0"/>
          <w:color w:val="1E3A8A"/>
          <w:sz w:val="26"/>
        </w:rPr>
        <w:t>4.2 Mathematical Formalization of Sphere Humanitarian Minimum Standards</w:t>
      </w:r>
    </w:p>
    <w:p>
      <w:pPr>
        <w:spacing w:before="0" w:after="120" w:line="276" w:lineRule="auto"/>
        <w:jc w:val="both"/>
      </w:pPr>
      <w:r>
        <w:rPr>
          <w:rFonts w:ascii="Times New Roman" w:hAnsi="Times New Roman"/>
          <w:b w:val="0"/>
          <w:i w:val="0"/>
          <w:color w:val="1F2937"/>
          <w:sz w:val="24"/>
        </w:rPr>
        <w:t xml:space="preserve">A cornerstone of CloudShield's humanistic engineering is the direct mathematical translation of the </w:t>
      </w:r>
      <w:r>
        <w:rPr>
          <w:rFonts w:ascii="Times New Roman" w:hAnsi="Times New Roman"/>
          <w:b w:val="0"/>
          <w:i/>
          <w:color w:val="1F2937"/>
          <w:sz w:val="24"/>
        </w:rPr>
        <w:t>Sphere Humanitarian Charter</w:t>
      </w:r>
      <w:r>
        <w:rPr>
          <w:rFonts w:ascii="Times New Roman" w:hAnsi="Times New Roman"/>
          <w:b w:val="0"/>
          <w:i w:val="0"/>
          <w:color w:val="1F2937"/>
          <w:sz w:val="24"/>
        </w:rPr>
        <w:t xml:space="preserve"> into automated demand forecasting equations for an operational window of </w:t>
      </w:r>
      <w:r>
        <w:rPr>
          <w:rFonts w:ascii="Times New Roman" w:hAnsi="Times New Roman"/>
          <w:b w:val="0"/>
          <w:i/>
          <w:color w:val="1F2937"/>
          <w:sz w:val="24"/>
        </w:rPr>
        <w:t>T</w:t>
      </w:r>
      <w:r>
        <w:rPr>
          <w:rFonts w:ascii="Times New Roman" w:hAnsi="Times New Roman"/>
          <w:b w:val="0"/>
          <w:i w:val="0"/>
          <w:color w:val="1F2937"/>
          <w:sz w:val="24"/>
        </w:rPr>
        <w:t xml:space="preserve"> days (standard operational planning horizon = 3 days):</w:t>
      </w:r>
    </w:p>
    <w:tbl>
      <w:tblPr>
        <w:tblW w:type="auto" w:w="0"/>
        <w:jc w:val="center"/>
        <w:tblLook w:firstColumn="1" w:firstRow="1" w:lastColumn="0" w:lastRow="0" w:noHBand="0" w:noVBand="1" w:val="04A0"/>
      </w:tblPr>
      <w:tblGrid>
        <w:gridCol w:w="9360"/>
      </w:tblGrid>
      <w:tr>
        <w:tc>
          <w:tcPr>
            <w:tcW w:type="dxa" w:w="9360"/>
            <w:shd w:fill="F8FAFC"/>
            <w:tcBorders>
              <w:top w:val="single" w:sz="6" w:space="0" w:color="CBD5E1"/>
              <w:left w:val="single" w:sz="16" w:space="0" w:color="0F2B5C"/>
              <w:bottom w:val="single" w:sz="6" w:space="0" w:color="CBD5E1"/>
              <w:right w:val="single" w:sz="6" w:space="0" w:color="CBD5E1"/>
            </w:tcBorders>
            <w:tcMar>
              <w:top w:w="120" w:type="dxa"/>
              <w:bottom w:w="120" w:type="dxa"/>
              <w:left w:w="160" w:type="dxa"/>
              <w:right w:w="160" w:type="dxa"/>
            </w:tcMar>
          </w:tcPr>
          <w:p>
            <w:pPr>
              <w:spacing w:after="0" w:line="276" w:lineRule="auto"/>
            </w:pPr>
            <w:r>
              <w:rPr>
                <w:rFonts w:ascii="Times New Roman" w:hAnsi="Times New Roman"/>
                <w:b/>
                <w:i w:val="0"/>
                <w:color w:val="1F2937"/>
                <w:sz w:val="21"/>
              </w:rPr>
              <w:t>1. Potable Drinking Water (Sphere Water Supply Standard 2.1):</w:t>
            </w:r>
            <w:r>
              <w:br/>
            </w:r>
            <w:r>
              <w:rPr>
                <w:rFonts w:ascii="Times New Roman" w:hAnsi="Times New Roman"/>
                <w:b w:val="0"/>
                <w:i w:val="0"/>
                <w:color w:val="1F2937"/>
                <w:sz w:val="21"/>
              </w:rPr>
              <w:t xml:space="preserve">    </w:t>
            </w:r>
            <w:r>
              <w:rPr>
                <w:rFonts w:ascii="Times New Roman" w:hAnsi="Times New Roman"/>
                <w:b w:val="0"/>
                <w:i/>
                <w:color w:val="1F2937"/>
                <w:sz w:val="21"/>
              </w:rPr>
              <w:t>D</w:t>
            </w:r>
            <w:r>
              <w:rPr>
                <w:rFonts w:ascii="Times New Roman" w:hAnsi="Times New Roman"/>
                <w:b w:val="0"/>
                <w:i/>
                <w:color w:val="1F2937"/>
                <w:sz w:val="21"/>
                <w:vertAlign w:val="subscript"/>
              </w:rPr>
              <w:t>water</w:t>
            </w:r>
            <w:r>
              <w:rPr>
                <w:rFonts w:ascii="Times New Roman" w:hAnsi="Times New Roman"/>
                <w:b w:val="0"/>
                <w:i/>
                <w:color w:val="1F2937"/>
                <w:sz w:val="21"/>
              </w:rPr>
              <w:t xml:space="preserve"> = P</w:t>
            </w:r>
            <w:r>
              <w:rPr>
                <w:rFonts w:ascii="Times New Roman" w:hAnsi="Times New Roman"/>
                <w:b w:val="0"/>
                <w:i/>
                <w:color w:val="1F2937"/>
                <w:sz w:val="21"/>
                <w:vertAlign w:val="subscript"/>
              </w:rPr>
              <w:t>displaced</w:t>
            </w:r>
            <w:r>
              <w:rPr>
                <w:rFonts w:ascii="Times New Roman" w:hAnsi="Times New Roman"/>
                <w:b w:val="0"/>
                <w:i/>
                <w:color w:val="1F2937"/>
                <w:sz w:val="21"/>
              </w:rPr>
              <w:t xml:space="preserve"> × 15.0 L/day × T days</w:t>
            </w:r>
            <w:r>
              <w:rPr>
                <w:rFonts w:ascii="Times New Roman" w:hAnsi="Times New Roman"/>
                <w:b w:val="0"/>
                <w:i w:val="0"/>
                <w:color w:val="1F2937"/>
                <w:sz w:val="21"/>
              </w:rPr>
              <w:t xml:space="preserve"> (guarantees 15.0 L per person per day for drinking, cooking, and essential personal hygiene).</w:t>
            </w:r>
            <w:r>
              <w:br/>
            </w:r>
            <w:r>
              <w:rPr>
                <w:rFonts w:ascii="Times New Roman" w:hAnsi="Times New Roman"/>
                <w:b/>
                <w:i w:val="0"/>
                <w:color w:val="1F2937"/>
                <w:sz w:val="21"/>
              </w:rPr>
              <w:t>2. Nutritional Food Rations (Sphere Food Security Standard 1.1):</w:t>
            </w:r>
            <w:r>
              <w:br/>
            </w:r>
            <w:r>
              <w:rPr>
                <w:rFonts w:ascii="Times New Roman" w:hAnsi="Times New Roman"/>
                <w:b w:val="0"/>
                <w:i w:val="0"/>
                <w:color w:val="1F2937"/>
                <w:sz w:val="21"/>
              </w:rPr>
              <w:t xml:space="preserve">    </w:t>
            </w:r>
            <w:r>
              <w:rPr>
                <w:rFonts w:ascii="Times New Roman" w:hAnsi="Times New Roman"/>
                <w:b w:val="0"/>
                <w:i/>
                <w:color w:val="1F2937"/>
                <w:sz w:val="21"/>
              </w:rPr>
              <w:t>D</w:t>
            </w:r>
            <w:r>
              <w:rPr>
                <w:rFonts w:ascii="Times New Roman" w:hAnsi="Times New Roman"/>
                <w:b w:val="0"/>
                <w:i/>
                <w:color w:val="1F2937"/>
                <w:sz w:val="21"/>
                <w:vertAlign w:val="subscript"/>
              </w:rPr>
              <w:t>food</w:t>
            </w:r>
            <w:r>
              <w:rPr>
                <w:rFonts w:ascii="Times New Roman" w:hAnsi="Times New Roman"/>
                <w:b w:val="0"/>
                <w:i/>
                <w:color w:val="1F2937"/>
                <w:sz w:val="21"/>
              </w:rPr>
              <w:t xml:space="preserve"> = P</w:t>
            </w:r>
            <w:r>
              <w:rPr>
                <w:rFonts w:ascii="Times New Roman" w:hAnsi="Times New Roman"/>
                <w:b w:val="0"/>
                <w:i/>
                <w:color w:val="1F2937"/>
                <w:sz w:val="21"/>
                <w:vertAlign w:val="subscript"/>
              </w:rPr>
              <w:t>displaced</w:t>
            </w:r>
            <w:r>
              <w:rPr>
                <w:rFonts w:ascii="Times New Roman" w:hAnsi="Times New Roman"/>
                <w:b w:val="0"/>
                <w:i/>
                <w:color w:val="1F2937"/>
                <w:sz w:val="21"/>
              </w:rPr>
              <w:t xml:space="preserve"> × 1.0 ration pack/day × T days</w:t>
            </w:r>
            <w:r>
              <w:rPr>
                <w:rFonts w:ascii="Times New Roman" w:hAnsi="Times New Roman"/>
                <w:b w:val="0"/>
                <w:i w:val="0"/>
                <w:color w:val="1F2937"/>
                <w:sz w:val="21"/>
              </w:rPr>
              <w:t xml:space="preserve"> (each standardized pack delivers 2,100 kcal with balanced macronutrients).</w:t>
            </w:r>
            <w:r>
              <w:br/>
            </w:r>
            <w:r>
              <w:rPr>
                <w:rFonts w:ascii="Times New Roman" w:hAnsi="Times New Roman"/>
                <w:b/>
                <w:i w:val="0"/>
                <w:color w:val="1F2937"/>
                <w:sz w:val="21"/>
              </w:rPr>
              <w:t>3. Triage Medical Trauma Kits (Sphere Health Action Standard 2.2):</w:t>
            </w:r>
            <w:r>
              <w:br/>
            </w:r>
            <w:r>
              <w:rPr>
                <w:rFonts w:ascii="Times New Roman" w:hAnsi="Times New Roman"/>
                <w:b w:val="0"/>
                <w:i w:val="0"/>
                <w:color w:val="1F2937"/>
                <w:sz w:val="21"/>
              </w:rPr>
              <w:t xml:space="preserve">    </w:t>
            </w:r>
            <w:r>
              <w:rPr>
                <w:rFonts w:ascii="Times New Roman" w:hAnsi="Times New Roman"/>
                <w:b w:val="0"/>
                <w:i/>
                <w:color w:val="1F2937"/>
                <w:sz w:val="21"/>
              </w:rPr>
              <w:t>D</w:t>
            </w:r>
            <w:r>
              <w:rPr>
                <w:rFonts w:ascii="Times New Roman" w:hAnsi="Times New Roman"/>
                <w:b w:val="0"/>
                <w:i/>
                <w:color w:val="1F2937"/>
                <w:sz w:val="21"/>
                <w:vertAlign w:val="subscript"/>
              </w:rPr>
              <w:t>medical</w:t>
            </w:r>
            <w:r>
              <w:rPr>
                <w:rFonts w:ascii="Times New Roman" w:hAnsi="Times New Roman"/>
                <w:b w:val="0"/>
                <w:i/>
                <w:color w:val="1F2937"/>
                <w:sz w:val="21"/>
              </w:rPr>
              <w:t xml:space="preserve"> = ⌈ N</w:t>
            </w:r>
            <w:r>
              <w:rPr>
                <w:rFonts w:ascii="Times New Roman" w:hAnsi="Times New Roman"/>
                <w:b w:val="0"/>
                <w:i/>
                <w:color w:val="1F2937"/>
                <w:sz w:val="21"/>
                <w:vertAlign w:val="subscript"/>
              </w:rPr>
              <w:t>injured</w:t>
            </w:r>
            <w:r>
              <w:rPr>
                <w:rFonts w:ascii="Times New Roman" w:hAnsi="Times New Roman"/>
                <w:b w:val="0"/>
                <w:i/>
                <w:color w:val="1F2937"/>
                <w:sz w:val="21"/>
              </w:rPr>
              <w:t xml:space="preserve"> / 50 ⌉ kits</w:t>
            </w:r>
            <w:r>
              <w:rPr>
                <w:rFonts w:ascii="Times New Roman" w:hAnsi="Times New Roman"/>
                <w:b w:val="0"/>
                <w:i w:val="0"/>
                <w:color w:val="1F2937"/>
                <w:sz w:val="21"/>
              </w:rPr>
              <w:t xml:space="preserve"> (1 trauma pack containing tourniquets, burn dressings, and IV fluids per 50 casualties).</w:t>
            </w:r>
            <w:r>
              <w:br/>
            </w:r>
            <w:r>
              <w:rPr>
                <w:rFonts w:ascii="Times New Roman" w:hAnsi="Times New Roman"/>
                <w:b/>
                <w:i w:val="0"/>
                <w:color w:val="1F2937"/>
                <w:sz w:val="21"/>
              </w:rPr>
              <w:t>4. Emergency Family Shelter Tents (Sphere Shelter Standard 1):</w:t>
            </w:r>
            <w:r>
              <w:br/>
            </w:r>
            <w:r>
              <w:rPr>
                <w:rFonts w:ascii="Times New Roman" w:hAnsi="Times New Roman"/>
                <w:b w:val="0"/>
                <w:i w:val="0"/>
                <w:color w:val="1F2937"/>
                <w:sz w:val="21"/>
              </w:rPr>
              <w:t xml:space="preserve">    </w:t>
            </w:r>
            <w:r>
              <w:rPr>
                <w:rFonts w:ascii="Times New Roman" w:hAnsi="Times New Roman"/>
                <w:b w:val="0"/>
                <w:i/>
                <w:color w:val="1F2937"/>
                <w:sz w:val="21"/>
              </w:rPr>
              <w:t>D</w:t>
            </w:r>
            <w:r>
              <w:rPr>
                <w:rFonts w:ascii="Times New Roman" w:hAnsi="Times New Roman"/>
                <w:b w:val="0"/>
                <w:i/>
                <w:color w:val="1F2937"/>
                <w:sz w:val="21"/>
                <w:vertAlign w:val="subscript"/>
              </w:rPr>
              <w:t>shelter</w:t>
            </w:r>
            <w:r>
              <w:rPr>
                <w:rFonts w:ascii="Times New Roman" w:hAnsi="Times New Roman"/>
                <w:b w:val="0"/>
                <w:i/>
                <w:color w:val="1F2937"/>
                <w:sz w:val="21"/>
              </w:rPr>
              <w:t xml:space="preserve"> = ⌈ P</w:t>
            </w:r>
            <w:r>
              <w:rPr>
                <w:rFonts w:ascii="Times New Roman" w:hAnsi="Times New Roman"/>
                <w:b w:val="0"/>
                <w:i/>
                <w:color w:val="1F2937"/>
                <w:sz w:val="21"/>
                <w:vertAlign w:val="subscript"/>
              </w:rPr>
              <w:t>displaced</w:t>
            </w:r>
            <w:r>
              <w:rPr>
                <w:rFonts w:ascii="Times New Roman" w:hAnsi="Times New Roman"/>
                <w:b w:val="0"/>
                <w:i/>
                <w:color w:val="1F2937"/>
                <w:sz w:val="21"/>
              </w:rPr>
              <w:t xml:space="preserve"> / 5 ⌉ tents</w:t>
            </w:r>
            <w:r>
              <w:rPr>
                <w:rFonts w:ascii="Times New Roman" w:hAnsi="Times New Roman"/>
                <w:b w:val="0"/>
                <w:i w:val="0"/>
                <w:color w:val="1F2937"/>
                <w:sz w:val="21"/>
              </w:rPr>
              <w:t xml:space="preserve"> (allocates 1 weatherized 5-person family tent providing 3.5 m² living space per individual).</w:t>
            </w:r>
            <w:r>
              <w:br/>
            </w:r>
            <w:r>
              <w:rPr>
                <w:rFonts w:ascii="Times New Roman" w:hAnsi="Times New Roman"/>
                <w:b/>
                <w:i w:val="0"/>
                <w:color w:val="1F2937"/>
                <w:sz w:val="21"/>
              </w:rPr>
              <w:t>5. Mobile Solar / Emergency Power Units (Sphere Telecommunications &amp; Camp Standard 3):</w:t>
            </w:r>
            <w:r>
              <w:br/>
            </w:r>
            <w:r>
              <w:rPr>
                <w:rFonts w:ascii="Times New Roman" w:hAnsi="Times New Roman"/>
                <w:b w:val="0"/>
                <w:i w:val="0"/>
                <w:color w:val="1F2937"/>
                <w:sz w:val="21"/>
              </w:rPr>
              <w:t xml:space="preserve">    </w:t>
            </w:r>
            <w:r>
              <w:rPr>
                <w:rFonts w:ascii="Times New Roman" w:hAnsi="Times New Roman"/>
                <w:b w:val="0"/>
                <w:i/>
                <w:color w:val="1F2937"/>
                <w:sz w:val="21"/>
              </w:rPr>
              <w:t>D</w:t>
            </w:r>
            <w:r>
              <w:rPr>
                <w:rFonts w:ascii="Times New Roman" w:hAnsi="Times New Roman"/>
                <w:b w:val="0"/>
                <w:i/>
                <w:color w:val="1F2937"/>
                <w:sz w:val="21"/>
                <w:vertAlign w:val="subscript"/>
              </w:rPr>
              <w:t>power</w:t>
            </w:r>
            <w:r>
              <w:rPr>
                <w:rFonts w:ascii="Times New Roman" w:hAnsi="Times New Roman"/>
                <w:b w:val="0"/>
                <w:i/>
                <w:color w:val="1F2937"/>
                <w:sz w:val="21"/>
              </w:rPr>
              <w:t xml:space="preserve"> = ⌈ P</w:t>
            </w:r>
            <w:r>
              <w:rPr>
                <w:rFonts w:ascii="Times New Roman" w:hAnsi="Times New Roman"/>
                <w:b w:val="0"/>
                <w:i/>
                <w:color w:val="1F2937"/>
                <w:sz w:val="21"/>
                <w:vertAlign w:val="subscript"/>
              </w:rPr>
              <w:t>displaced</w:t>
            </w:r>
            <w:r>
              <w:rPr>
                <w:rFonts w:ascii="Times New Roman" w:hAnsi="Times New Roman"/>
                <w:b w:val="0"/>
                <w:i/>
                <w:color w:val="1F2937"/>
                <w:sz w:val="21"/>
              </w:rPr>
              <w:t xml:space="preserve"> / 200 ⌉ units</w:t>
            </w:r>
            <w:r>
              <w:rPr>
                <w:rFonts w:ascii="Times New Roman" w:hAnsi="Times New Roman"/>
                <w:b w:val="0"/>
                <w:i w:val="0"/>
                <w:color w:val="1F2937"/>
                <w:sz w:val="21"/>
              </w:rPr>
              <w:t xml:space="preserve"> (1 ruggedized solar battery generator per 200 persons for medical refrigeration and camp lighting).</w:t>
            </w:r>
          </w:p>
        </w:tc>
      </w:tr>
    </w:tbl>
    <w:p>
      <w:pPr>
        <w:spacing w:before="80" w:after="0"/>
      </w:pPr>
    </w:p>
    <w:p>
      <w:pPr>
        <w:keepNext/>
        <w:spacing w:before="160" w:after="80"/>
        <w:jc w:val="center"/>
      </w:pPr>
      <w:r>
        <w:drawing>
          <wp:inline xmlns:a="http://schemas.openxmlformats.org/drawingml/2006/main" xmlns:pic="http://schemas.openxmlformats.org/drawingml/2006/picture">
            <wp:extent cx="5486400" cy="2468880"/>
            <wp:docPr id="4" name="Picture 4"/>
            <wp:cNvGraphicFramePr>
              <a:graphicFrameLocks noChangeAspect="1"/>
            </wp:cNvGraphicFramePr>
            <a:graphic>
              <a:graphicData uri="http://schemas.openxmlformats.org/drawingml/2006/picture">
                <pic:pic>
                  <pic:nvPicPr>
                    <pic:cNvPr id="0" name="graph_2_sphere_demand_curves.png"/>
                    <pic:cNvPicPr/>
                  </pic:nvPicPr>
                  <pic:blipFill>
                    <a:blip r:embed="rId14"/>
                    <a:stretch>
                      <a:fillRect/>
                    </a:stretch>
                  </pic:blipFill>
                  <pic:spPr>
                    <a:xfrm>
                      <a:off x="0" y="0"/>
                      <a:ext cx="5486400" cy="2468880"/>
                    </a:xfrm>
                    <a:prstGeom prst="rect"/>
                  </pic:spPr>
                </pic:pic>
              </a:graphicData>
            </a:graphic>
          </wp:inline>
        </w:drawing>
      </w:r>
    </w:p>
    <w:p>
      <w:pPr>
        <w:spacing w:before="40" w:after="200" w:line="276" w:lineRule="auto"/>
        <w:ind w:left="360" w:right="360"/>
        <w:jc w:val="center"/>
      </w:pPr>
      <w:r>
        <w:rPr>
          <w:rFonts w:ascii="Times New Roman" w:hAnsi="Times New Roman"/>
          <w:b/>
          <w:i/>
          <w:color w:val="334155"/>
          <w:sz w:val="19"/>
        </w:rPr>
        <w:t>Figure 4.2: Sphere Minimum Survival Standards 7-Day Cumulative Trajectories.</w:t>
      </w:r>
      <w:r>
        <w:rPr>
          <w:rFonts w:ascii="Times New Roman" w:hAnsi="Times New Roman"/>
          <w:b w:val="0"/>
          <w:i/>
          <w:color w:val="334155"/>
          <w:sz w:val="19"/>
        </w:rPr>
        <w:t xml:space="preserve"> (a) Cumulative drinking water demand in thousands of liters across population cohorts (1,000 to 10,000 evacuees). (b) Cumulative nutritional ration packs and emergency trauma kits, illustrating the exponential logistics burden if response convoys are delayed past the critical 72-hour survival cliff.</w:t>
      </w:r>
    </w:p>
    <w:p>
      <w:pPr>
        <w:pStyle w:val="Heading2"/>
        <w:keepNext/>
        <w:spacing w:before="200" w:after="80"/>
      </w:pPr>
      <w:r>
        <w:rPr>
          <w:rFonts w:ascii="Times New Roman" w:hAnsi="Times New Roman"/>
          <w:b/>
          <w:i w:val="0"/>
          <w:color w:val="1E3A8A"/>
          <w:sz w:val="26"/>
        </w:rPr>
        <w:t>4.3 Sphere Water Quality, Residual Chlorine, and Container Logistics</w:t>
      </w:r>
    </w:p>
    <w:p>
      <w:pPr>
        <w:spacing w:before="0" w:after="120" w:line="276" w:lineRule="auto"/>
        <w:jc w:val="both"/>
      </w:pPr>
      <w:r>
        <w:rPr>
          <w:rFonts w:ascii="Times New Roman" w:hAnsi="Times New Roman"/>
          <w:b w:val="0"/>
          <w:i w:val="0"/>
          <w:color w:val="1F2937"/>
          <w:sz w:val="24"/>
        </w:rPr>
        <w:t>Sphere Standard 2.1 mandates not merely gross water volume (15 L/person/day), but rigorous microbiological and container guidelines. CloudShield’s demand engine translates gross water liters into container units: standard 10-liter collapsible food-grade jerrycans ($N_{\text{jerrycans}} = \lceil D_{\text{water}} / 10 \rceil$) and water purification tablets (Sodium Dichloroisocyanurate - NaDCC) at 1 tablet per 20 liters. This prevents waterborne cholera and acute diarrheal epidemics in flooded displacement shelters.</w:t>
      </w:r>
    </w:p>
    <w:p>
      <w:pPr>
        <w:pStyle w:val="Heading2"/>
        <w:keepNext/>
        <w:spacing w:before="200" w:after="80"/>
      </w:pPr>
      <w:r>
        <w:rPr>
          <w:rFonts w:ascii="Times New Roman" w:hAnsi="Times New Roman"/>
          <w:b/>
          <w:i w:val="0"/>
          <w:color w:val="1E3A8A"/>
          <w:sz w:val="26"/>
        </w:rPr>
        <w:t>4.4 Nutritional Caloric Baselines &amp; Pediatric Vulnerability Adjustments</w:t>
      </w:r>
    </w:p>
    <w:p>
      <w:pPr>
        <w:spacing w:before="0" w:after="120" w:line="276" w:lineRule="auto"/>
        <w:jc w:val="both"/>
      </w:pPr>
      <w:r>
        <w:rPr>
          <w:rFonts w:ascii="Times New Roman" w:hAnsi="Times New Roman"/>
          <w:b w:val="0"/>
          <w:i w:val="0"/>
          <w:color w:val="1F2937"/>
          <w:sz w:val="24"/>
        </w:rPr>
        <w:t>Standard disaster logistics models treat evacuee populations as uniform caloric consumers. CloudShield introduces a dynamic demographic adjustment factor: while an adult ration pack delivers 2,100 kcal/day, cohorts with high infant ratios ($V_r &gt; 0.35$) automatically trigger a 20% reallocation toward Ready-to-Use Therapeutic Food (RUTF - Plumpy'Nut paste, 500 kcal/sachet) and pediatric electrolyte rehydration salts (ORS), ensuring vulnerable infants avoid acute severe malnutrition.</w:t>
      </w:r>
    </w:p>
    <w:p>
      <w:r>
        <w:br w:type="page"/>
      </w:r>
    </w:p>
    <w:p>
      <w:pPr>
        <w:pStyle w:val="Heading1"/>
        <w:keepNext/>
        <w:spacing w:before="320" w:after="120"/>
      </w:pPr>
      <w:r>
        <w:rPr>
          <w:rFonts w:ascii="Times New Roman" w:hAnsi="Times New Roman"/>
          <w:b/>
          <w:i w:val="0"/>
          <w:color w:val="0F2B5C"/>
          <w:sz w:val="28"/>
        </w:rPr>
        <w:t>Chapter 5: Algorithmic Logistics Optimization: The Multi-Depot Knapsack Engine</w:t>
      </w:r>
    </w:p>
    <w:p>
      <w:pPr>
        <w:pStyle w:val="Heading2"/>
        <w:keepNext/>
        <w:spacing w:before="200" w:after="80"/>
      </w:pPr>
      <w:r>
        <w:rPr>
          <w:rFonts w:ascii="Times New Roman" w:hAnsi="Times New Roman"/>
          <w:b/>
          <w:i w:val="0"/>
          <w:color w:val="1E3A8A"/>
          <w:sz w:val="26"/>
        </w:rPr>
        <w:t>5.1 Formal Problem Formulation: Constrained Multi-Facility Emergency Allocation</w:t>
      </w:r>
    </w:p>
    <w:p>
      <w:pPr>
        <w:spacing w:before="0" w:after="120" w:line="276" w:lineRule="auto"/>
        <w:jc w:val="both"/>
      </w:pPr>
      <w:r>
        <w:rPr>
          <w:rFonts w:ascii="Times New Roman" w:hAnsi="Times New Roman"/>
          <w:b w:val="0"/>
          <w:i w:val="0"/>
          <w:color w:val="1F2937"/>
          <w:sz w:val="24"/>
        </w:rPr>
        <w:t>Once regional survival demands ($D_{r,i}$) and prioritization indexes ($DPRI_r$) are established, CloudShield must solve an NP-hard multi-facility, multi-commodity inventory allocation problem. The operational environment consists of a set of active disaster regions $R$, a set of forward supply depots $D$, and a set of standardized relief commodities $I$. Each depot $d \in D$ maintains a physical inventory stock $S_{d,i}$ for commodity $i \in I$.</w:t>
      </w:r>
    </w:p>
    <w:p>
      <w:pPr>
        <w:spacing w:before="0" w:after="120" w:line="276" w:lineRule="auto"/>
        <w:jc w:val="both"/>
      </w:pPr>
      <w:r>
        <w:rPr>
          <w:rFonts w:ascii="Times New Roman" w:hAnsi="Times New Roman"/>
          <w:b w:val="0"/>
          <w:i w:val="0"/>
          <w:color w:val="1F2937"/>
          <w:sz w:val="24"/>
        </w:rPr>
        <w:t xml:space="preserve">To guarantee long-term operational resilience during protracted storms, depots must not be completely emptied by the first requesting region. CloudShield introduces a mandatory </w:t>
      </w:r>
      <w:r>
        <w:rPr>
          <w:rFonts w:ascii="Times New Roman" w:hAnsi="Times New Roman"/>
          <w:b/>
          <w:i w:val="0"/>
          <w:color w:val="1F2937"/>
          <w:sz w:val="24"/>
        </w:rPr>
        <w:t>Safety Reserve Buffer</w:t>
      </w:r>
      <w:r>
        <w:rPr>
          <w:rFonts w:ascii="Times New Roman" w:hAnsi="Times New Roman"/>
          <w:b w:val="0"/>
          <w:i w:val="0"/>
          <w:color w:val="1F2937"/>
          <w:sz w:val="24"/>
        </w:rPr>
        <w:t xml:space="preserve"> ($B_{d,i} = 0.15 \cdot S_{d,i}$), ensuring that each depot retains at least 15% of its baseline stock for unforeseen local casualties. The available dispatchable stock is thus bounded by $S_{d,i}^{ ext{avail}} = \max(0, S_{d,i} - B_{d,i})$.</w:t>
      </w:r>
    </w:p>
    <w:p>
      <w:pPr>
        <w:pStyle w:val="Heading2"/>
        <w:keepNext/>
        <w:spacing w:before="200" w:after="80"/>
      </w:pPr>
      <w:r>
        <w:rPr>
          <w:rFonts w:ascii="Times New Roman" w:hAnsi="Times New Roman"/>
          <w:b/>
          <w:i w:val="0"/>
          <w:color w:val="1E3A8A"/>
          <w:sz w:val="26"/>
        </w:rPr>
        <w:t>5.2 Distance Decay &amp; Non-Linear Road Impairment Transit Modeling</w:t>
      </w:r>
    </w:p>
    <w:p>
      <w:pPr>
        <w:spacing w:before="0" w:after="120" w:line="276" w:lineRule="auto"/>
        <w:jc w:val="both"/>
      </w:pPr>
      <w:r>
        <w:rPr>
          <w:rFonts w:ascii="Times New Roman" w:hAnsi="Times New Roman"/>
          <w:b w:val="0"/>
          <w:i w:val="0"/>
          <w:color w:val="1F2937"/>
          <w:sz w:val="24"/>
        </w:rPr>
        <w:t>Geographic transit cost between depot $d$ and disaster zone $r$ is formulated using spherical Haversine trigonometry, modified by a non-linear ground impairment penalty reflecting structural road blockages ($I_r$):</w:t>
      </w:r>
    </w:p>
    <w:tbl>
      <w:tblPr>
        <w:tblW w:type="auto" w:w="0"/>
        <w:jc w:val="center"/>
        <w:tblLook w:firstColumn="1" w:firstRow="1" w:lastColumn="0" w:lastRow="0" w:noHBand="0" w:noVBand="1" w:val="04A0"/>
      </w:tblPr>
      <w:tblGrid>
        <w:gridCol w:w="9360"/>
      </w:tblGrid>
      <w:tr>
        <w:tc>
          <w:tcPr>
            <w:tcW w:type="dxa" w:w="9360"/>
            <w:shd w:fill="F8FAFC"/>
            <w:tcBorders>
              <w:top w:val="single" w:sz="6" w:space="0" w:color="CBD5E1"/>
              <w:left w:val="single" w:sz="16" w:space="0" w:color="0F2B5C"/>
              <w:bottom w:val="single" w:sz="6" w:space="0" w:color="CBD5E1"/>
              <w:right w:val="single" w:sz="6" w:space="0" w:color="CBD5E1"/>
            </w:tcBorders>
            <w:tcMar>
              <w:top w:w="120" w:type="dxa"/>
              <w:bottom w:w="120" w:type="dxa"/>
              <w:left w:w="160" w:type="dxa"/>
              <w:right w:w="160" w:type="dxa"/>
            </w:tcMar>
          </w:tcPr>
          <w:p>
            <w:pPr>
              <w:spacing w:after="0" w:line="276" w:lineRule="auto"/>
            </w:pPr>
            <w:r>
              <w:rPr>
                <w:rFonts w:ascii="Times New Roman" w:hAnsi="Times New Roman"/>
                <w:b/>
                <w:i w:val="0"/>
                <w:color w:val="1F2937"/>
                <w:sz w:val="21"/>
              </w:rPr>
              <w:t>d(d, r) = 2 R · arcsin √( sin²(Δφ/2) + cos φ</w:t>
            </w:r>
            <w:r>
              <w:rPr>
                <w:rFonts w:ascii="Times New Roman" w:hAnsi="Times New Roman"/>
                <w:b/>
                <w:i w:val="0"/>
                <w:color w:val="1F2937"/>
                <w:sz w:val="21"/>
                <w:vertAlign w:val="subscript"/>
              </w:rPr>
              <w:t>d</w:t>
            </w:r>
            <w:r>
              <w:rPr>
                <w:rFonts w:ascii="Times New Roman" w:hAnsi="Times New Roman"/>
                <w:b/>
                <w:i w:val="0"/>
                <w:color w:val="1F2937"/>
                <w:sz w:val="21"/>
              </w:rPr>
              <w:t xml:space="preserve"> cos φ</w:t>
            </w:r>
            <w:r>
              <w:rPr>
                <w:rFonts w:ascii="Times New Roman" w:hAnsi="Times New Roman"/>
                <w:b/>
                <w:i w:val="0"/>
                <w:color w:val="1F2937"/>
                <w:sz w:val="21"/>
                <w:vertAlign w:val="subscript"/>
              </w:rPr>
              <w:t>r</w:t>
            </w:r>
            <w:r>
              <w:rPr>
                <w:rFonts w:ascii="Times New Roman" w:hAnsi="Times New Roman"/>
                <w:b/>
                <w:i w:val="0"/>
                <w:color w:val="1F2937"/>
                <w:sz w:val="21"/>
              </w:rPr>
              <w:t xml:space="preserve"> sin²(Δλ/2) )</w:t>
            </w:r>
            <w:r>
              <w:br/>
            </w:r>
            <w:r>
              <w:br/>
            </w:r>
            <w:r>
              <w:rPr>
                <w:rFonts w:ascii="Times New Roman" w:hAnsi="Times New Roman"/>
                <w:b/>
                <w:i w:val="0"/>
                <w:color w:val="1F2937"/>
                <w:sz w:val="21"/>
              </w:rPr>
              <w:t>Effective Transit Duration: T(d, r) = [ d(d, r) / v</w:t>
            </w:r>
            <w:r>
              <w:rPr>
                <w:rFonts w:ascii="Times New Roman" w:hAnsi="Times New Roman"/>
                <w:b/>
                <w:i w:val="0"/>
                <w:color w:val="1F2937"/>
                <w:sz w:val="21"/>
                <w:vertAlign w:val="subscript"/>
              </w:rPr>
              <w:t>base</w:t>
            </w:r>
            <w:r>
              <w:rPr>
                <w:rFonts w:ascii="Times New Roman" w:hAnsi="Times New Roman"/>
                <w:b/>
                <w:i w:val="0"/>
                <w:color w:val="1F2937"/>
                <w:sz w:val="21"/>
              </w:rPr>
              <w:t xml:space="preserve"> ] · [ 1 / ( 1 - 0.7 · I</w:t>
            </w:r>
            <w:r>
              <w:rPr>
                <w:rFonts w:ascii="Times New Roman" w:hAnsi="Times New Roman"/>
                <w:b/>
                <w:i w:val="0"/>
                <w:color w:val="1F2937"/>
                <w:sz w:val="21"/>
                <w:vertAlign w:val="subscript"/>
              </w:rPr>
              <w:t>r</w:t>
            </w:r>
            <w:r>
              <w:rPr>
                <w:rFonts w:ascii="Times New Roman" w:hAnsi="Times New Roman"/>
                <w:b/>
                <w:i w:val="0"/>
                <w:color w:val="1F2937"/>
                <w:sz w:val="21"/>
              </w:rPr>
              <w:t xml:space="preserve"> ) ]</w:t>
            </w:r>
            <w:r>
              <w:br/>
            </w:r>
            <w:r>
              <w:rPr>
                <w:rFonts w:ascii="Times New Roman" w:hAnsi="Times New Roman"/>
                <w:b w:val="0"/>
                <w:i w:val="0"/>
                <w:color w:val="1F2937"/>
                <w:sz w:val="21"/>
              </w:rPr>
              <w:t>Where $R = 6,371$ km (Earth mean radius), $v_{\text{base}} = 45$ km/h (average heavy relief convoy speed on state highways), and $I_r \in [0, 1.0]$ represents regional road impairment. When $I_r \ge 0.75$, the routing penalty asymptotes, triggering the Unserviceable Demand Escrow (UDE) protocol.</w:t>
            </w:r>
          </w:p>
        </w:tc>
      </w:tr>
    </w:tbl>
    <w:p>
      <w:pPr>
        <w:spacing w:before="80" w:after="0"/>
      </w:pPr>
    </w:p>
    <w:p>
      <w:pPr>
        <w:pStyle w:val="Heading2"/>
        <w:keepNext/>
        <w:spacing w:before="200" w:after="80"/>
      </w:pPr>
      <w:r>
        <w:rPr>
          <w:rFonts w:ascii="Times New Roman" w:hAnsi="Times New Roman"/>
          <w:b/>
          <w:i w:val="0"/>
          <w:color w:val="1E3A8A"/>
          <w:sz w:val="26"/>
        </w:rPr>
        <w:t>5.3 Greedy Priority Knapsack Solver: Invariants and Algorithmic Pseudocode</w:t>
      </w:r>
    </w:p>
    <w:p>
      <w:pPr>
        <w:spacing w:before="0" w:after="120" w:line="276" w:lineRule="auto"/>
        <w:jc w:val="both"/>
      </w:pPr>
      <w:r>
        <w:rPr>
          <w:rFonts w:ascii="Times New Roman" w:hAnsi="Times New Roman"/>
          <w:b w:val="0"/>
          <w:i w:val="0"/>
          <w:color w:val="1F2937"/>
          <w:sz w:val="24"/>
        </w:rPr>
        <w:t xml:space="preserve">To guarantee microsecond execution times during intense crisis coordination without incurring the non-deterministic exponential runtime of exact integer solvers, CloudShield implements a </w:t>
      </w:r>
      <w:r>
        <w:rPr>
          <w:rFonts w:ascii="Times New Roman" w:hAnsi="Times New Roman"/>
          <w:b/>
          <w:i w:val="0"/>
          <w:color w:val="1F2937"/>
          <w:sz w:val="24"/>
        </w:rPr>
        <w:t>Greedy Priority Multi-Depot Knapsack</w:t>
      </w:r>
      <w:r>
        <w:rPr>
          <w:rFonts w:ascii="Times New Roman" w:hAnsi="Times New Roman"/>
          <w:b w:val="0"/>
          <w:i w:val="0"/>
          <w:color w:val="1F2937"/>
          <w:sz w:val="24"/>
        </w:rPr>
        <w:t xml:space="preserve"> heuristic. The algorithm enforces the following computational steps:</w:t>
      </w:r>
      <w:r>
        <w:br/>
      </w:r>
      <w:r>
        <w:rPr>
          <w:rFonts w:ascii="Times New Roman" w:hAnsi="Times New Roman"/>
          <w:b w:val="0"/>
          <w:i w:val="0"/>
          <w:color w:val="1F2937"/>
          <w:sz w:val="24"/>
        </w:rPr>
        <w:t xml:space="preserve">1. </w:t>
      </w:r>
      <w:r>
        <w:rPr>
          <w:rFonts w:ascii="Times New Roman" w:hAnsi="Times New Roman"/>
          <w:b/>
          <w:i w:val="0"/>
          <w:color w:val="1F2937"/>
          <w:sz w:val="24"/>
        </w:rPr>
        <w:t>Sorting Phase:</w:t>
      </w:r>
      <w:r>
        <w:rPr>
          <w:rFonts w:ascii="Times New Roman" w:hAnsi="Times New Roman"/>
          <w:b w:val="0"/>
          <w:i w:val="0"/>
          <w:color w:val="1F2937"/>
          <w:sz w:val="24"/>
        </w:rPr>
        <w:t xml:space="preserve"> Rank all disaster regions descending by $DPRI_r$. Regions with higher human peril are strictly evaluated first.</w:t>
      </w:r>
      <w:r>
        <w:br/>
      </w:r>
      <w:r>
        <w:rPr>
          <w:rFonts w:ascii="Times New Roman" w:hAnsi="Times New Roman"/>
          <w:b w:val="0"/>
          <w:i w:val="0"/>
          <w:color w:val="1F2937"/>
          <w:sz w:val="24"/>
        </w:rPr>
        <w:t xml:space="preserve">2. </w:t>
      </w:r>
      <w:r>
        <w:rPr>
          <w:rFonts w:ascii="Times New Roman" w:hAnsi="Times New Roman"/>
          <w:b/>
          <w:i w:val="0"/>
          <w:color w:val="1F2937"/>
          <w:sz w:val="24"/>
        </w:rPr>
        <w:t>Candidate Depots Ranking:</w:t>
      </w:r>
      <w:r>
        <w:rPr>
          <w:rFonts w:ascii="Times New Roman" w:hAnsi="Times New Roman"/>
          <w:b w:val="0"/>
          <w:i w:val="0"/>
          <w:color w:val="1F2937"/>
          <w:sz w:val="24"/>
        </w:rPr>
        <w:t xml:space="preserve"> For each region $r$ and commodity $i$, rank all active depots ascending by effective transit time $T(d, r)$.</w:t>
      </w:r>
      <w:r>
        <w:br/>
      </w:r>
      <w:r>
        <w:rPr>
          <w:rFonts w:ascii="Times New Roman" w:hAnsi="Times New Roman"/>
          <w:b w:val="0"/>
          <w:i w:val="0"/>
          <w:color w:val="1F2937"/>
          <w:sz w:val="24"/>
        </w:rPr>
        <w:t xml:space="preserve">3. </w:t>
      </w:r>
      <w:r>
        <w:rPr>
          <w:rFonts w:ascii="Times New Roman" w:hAnsi="Times New Roman"/>
          <w:b/>
          <w:i w:val="0"/>
          <w:color w:val="1F2937"/>
          <w:sz w:val="24"/>
        </w:rPr>
        <w:t>Proportional Stock Allocation:</w:t>
      </w:r>
      <w:r>
        <w:rPr>
          <w:rFonts w:ascii="Times New Roman" w:hAnsi="Times New Roman"/>
          <w:b w:val="0"/>
          <w:i w:val="0"/>
          <w:color w:val="1F2937"/>
          <w:sz w:val="24"/>
        </w:rPr>
        <w:t xml:space="preserve"> Satisfy demand $D_{r,i}$ by drawing sequentially from the nearest capable depot up to its dispatchable limit $S_{d,i}^{ ext{avail}}$. Decrement temporary in-memory balance.</w:t>
      </w:r>
      <w:r>
        <w:br/>
      </w:r>
      <w:r>
        <w:rPr>
          <w:rFonts w:ascii="Times New Roman" w:hAnsi="Times New Roman"/>
          <w:b w:val="0"/>
          <w:i w:val="0"/>
          <w:color w:val="1F2937"/>
          <w:sz w:val="24"/>
        </w:rPr>
        <w:t xml:space="preserve">4. </w:t>
      </w:r>
      <w:r>
        <w:rPr>
          <w:rFonts w:ascii="Times New Roman" w:hAnsi="Times New Roman"/>
          <w:b/>
          <w:i w:val="0"/>
          <w:color w:val="1F2937"/>
          <w:sz w:val="24"/>
        </w:rPr>
        <w:t>Deficit Accounting:</w:t>
      </w:r>
      <w:r>
        <w:rPr>
          <w:rFonts w:ascii="Times New Roman" w:hAnsi="Times New Roman"/>
          <w:b w:val="0"/>
          <w:i w:val="0"/>
          <w:color w:val="1F2937"/>
          <w:sz w:val="24"/>
        </w:rPr>
        <w:t xml:space="preserve"> If total network stock is insufficient, record the remaining balance as an acute shortage and write an Unserviceable Demand Record.</w:t>
      </w:r>
      <w:r>
        <w:br/>
      </w:r>
      <w:r>
        <w:rPr>
          <w:rFonts w:ascii="Times New Roman" w:hAnsi="Times New Roman"/>
          <w:b w:val="0"/>
          <w:i w:val="0"/>
          <w:color w:val="1F2937"/>
          <w:sz w:val="24"/>
        </w:rPr>
        <w:t xml:space="preserve">The overall computational time complexity is strictly bounded by </w:t>
      </w:r>
      <w:r>
        <w:rPr>
          <w:rFonts w:ascii="Times New Roman" w:hAnsi="Times New Roman"/>
          <w:b/>
          <w:i w:val="0"/>
          <w:color w:val="1F2937"/>
          <w:sz w:val="24"/>
        </w:rPr>
        <w:t>O(|R| · log|R| + |R| · |D| · log|D| · |I|)</w:t>
      </w:r>
      <w:r>
        <w:rPr>
          <w:rFonts w:ascii="Times New Roman" w:hAnsi="Times New Roman"/>
          <w:b w:val="0"/>
          <w:i w:val="0"/>
          <w:color w:val="1F2937"/>
          <w:sz w:val="24"/>
        </w:rPr>
        <w:t>, guaranteeing deterministic sub-50ms execution on standard EC2 compute instances.</w:t>
      </w:r>
    </w:p>
    <w:p>
      <w:pPr>
        <w:keepNext/>
        <w:spacing w:before="160" w:after="80"/>
        <w:jc w:val="center"/>
      </w:pPr>
      <w:r>
        <w:drawing>
          <wp:inline xmlns:a="http://schemas.openxmlformats.org/drawingml/2006/main" xmlns:pic="http://schemas.openxmlformats.org/drawingml/2006/picture">
            <wp:extent cx="5486400" cy="2468880"/>
            <wp:docPr id="5" name="Picture 5"/>
            <wp:cNvGraphicFramePr>
              <a:graphicFrameLocks noChangeAspect="1"/>
            </wp:cNvGraphicFramePr>
            <a:graphic>
              <a:graphicData uri="http://schemas.openxmlformats.org/drawingml/2006/picture">
                <pic:pic>
                  <pic:nvPicPr>
                    <pic:cNvPr id="0" name="graph_3_knapsack_allocation.png"/>
                    <pic:cNvPicPr/>
                  </pic:nvPicPr>
                  <pic:blipFill>
                    <a:blip r:embed="rId15"/>
                    <a:stretch>
                      <a:fillRect/>
                    </a:stretch>
                  </pic:blipFill>
                  <pic:spPr>
                    <a:xfrm>
                      <a:off x="0" y="0"/>
                      <a:ext cx="5486400" cy="2468880"/>
                    </a:xfrm>
                    <a:prstGeom prst="rect"/>
                  </pic:spPr>
                </pic:pic>
              </a:graphicData>
            </a:graphic>
          </wp:inline>
        </w:drawing>
      </w:r>
    </w:p>
    <w:p>
      <w:pPr>
        <w:spacing w:before="40" w:after="200" w:line="276" w:lineRule="auto"/>
        <w:ind w:left="360" w:right="360"/>
        <w:jc w:val="center"/>
      </w:pPr>
      <w:r>
        <w:rPr>
          <w:rFonts w:ascii="Times New Roman" w:hAnsi="Times New Roman"/>
          <w:b/>
          <w:i/>
          <w:color w:val="334155"/>
          <w:sz w:val="19"/>
        </w:rPr>
        <w:t>Figure 5.1: Multi-Depot Knapsack Optimization vs. Naive Greedy Allocation.</w:t>
      </w:r>
      <w:r>
        <w:rPr>
          <w:rFonts w:ascii="Times New Roman" w:hAnsi="Times New Roman"/>
          <w:b w:val="0"/>
          <w:i/>
          <w:color w:val="334155"/>
          <w:sz w:val="19"/>
        </w:rPr>
        <w:t xml:space="preserve"> (a) Depot depletion balancing: naive greedy solvers exhaust Central Depot completely, whereas CloudShield distributes dispatches across East Auxiliary and Coast Guard Depots while preserving the 15% safety buffer. (b) Convoy transit duration under progressive road degradation.</w:t>
      </w:r>
    </w:p>
    <w:p>
      <w:pPr>
        <w:pStyle w:val="Heading2"/>
        <w:keepNext/>
        <w:spacing w:before="200" w:after="80"/>
      </w:pPr>
      <w:r>
        <w:rPr>
          <w:rFonts w:ascii="Times New Roman" w:hAnsi="Times New Roman"/>
          <w:b/>
          <w:i w:val="0"/>
          <w:color w:val="1E3A8A"/>
          <w:sz w:val="26"/>
        </w:rPr>
        <w:t>5.4 Formal Invariant Guarantees &amp; Proof of Buffer Non-Depletion</w:t>
      </w:r>
    </w:p>
    <w:p>
      <w:pPr>
        <w:spacing w:before="0" w:after="120" w:line="276" w:lineRule="auto"/>
        <w:jc w:val="both"/>
      </w:pPr>
      <w:r>
        <w:rPr>
          <w:rFonts w:ascii="Times New Roman" w:hAnsi="Times New Roman"/>
          <w:b/>
          <w:i w:val="0"/>
          <w:color w:val="1F2937"/>
          <w:sz w:val="24"/>
        </w:rPr>
        <w:t>Theorem 1 (Depot Buffer Invariant):</w:t>
      </w:r>
      <w:r>
        <w:rPr>
          <w:rFonts w:ascii="Times New Roman" w:hAnsi="Times New Roman"/>
          <w:b w:val="0"/>
          <w:i w:val="0"/>
          <w:color w:val="1F2937"/>
          <w:sz w:val="24"/>
        </w:rPr>
        <w:t xml:space="preserve"> For any commodity $i$ and depot $d$, the committed allocation $A_{d,i} = \sum_{r} x_{d,r,i}$ guarantees that post-allocation inventory $S'_{d,i} = S_{d,i} - A_{d,i} \ge 0.15 \cdot S_{d,i}$.</w:t>
      </w:r>
      <w:r>
        <w:br/>
      </w:r>
      <w:r>
        <w:rPr>
          <w:rFonts w:ascii="Times New Roman" w:hAnsi="Times New Roman"/>
          <w:b w:val="0"/>
          <w:i/>
          <w:color w:val="1F2937"/>
          <w:sz w:val="24"/>
        </w:rPr>
        <w:t>Proof:</w:t>
      </w:r>
      <w:r>
        <w:rPr>
          <w:rFonts w:ascii="Times New Roman" w:hAnsi="Times New Roman"/>
          <w:b w:val="0"/>
          <w:i w:val="0"/>
          <w:color w:val="1F2937"/>
          <w:sz w:val="24"/>
        </w:rPr>
        <w:t xml:space="preserve"> By construction, the dispatchable upper bound $S_{d,i}^{\text{avail}} = \max(0, S_{d,i} - 0.15 \cdot S_{d,i}) = 0.85 \cdot S_{d,i}$. Since the greedy allocator enforces $\sum_r x_{d,r,i} \le S_{d,i}^{\text{avail}}$, we have $A_{d,i} \le 0.85 \cdot S_{d,i}$. Therefore, $S'_{d,i} = S_{d,i} - A_{d,i} \ge S_{d,i} - 0.85 \cdot S_{d,i} = 0.15 \cdot S_{d,i}$. Hence, the reserve buffer is preserved strictly.</w:t>
      </w:r>
    </w:p>
    <w:p>
      <w:pPr>
        <w:pStyle w:val="Heading2"/>
        <w:keepNext/>
        <w:spacing w:before="200" w:after="80"/>
      </w:pPr>
      <w:r>
        <w:rPr>
          <w:rFonts w:ascii="Times New Roman" w:hAnsi="Times New Roman"/>
          <w:b/>
          <w:i w:val="0"/>
          <w:color w:val="1E3A8A"/>
          <w:sz w:val="26"/>
        </w:rPr>
        <w:t>5.5 Non-Linear Convoy Congestion Modeling via Bureau of Public Roads (BPR) Formulation</w:t>
      </w:r>
    </w:p>
    <w:p>
      <w:pPr>
        <w:spacing w:before="0" w:after="120" w:line="276" w:lineRule="auto"/>
        <w:jc w:val="both"/>
      </w:pPr>
      <w:r>
        <w:rPr>
          <w:rFonts w:ascii="Times New Roman" w:hAnsi="Times New Roman"/>
          <w:b w:val="0"/>
          <w:i w:val="0"/>
          <w:color w:val="1F2937"/>
          <w:sz w:val="24"/>
        </w:rPr>
        <w:t>In actual disaster operations, when primary highways suffer partial inundation, relief convoys converge onto surviving highland bypasses, creating severe bottlenecks. CloudShield models this dynamic congestion delay using the classical Bureau of Public Roads (BPR) link performance function:</w:t>
      </w:r>
      <w:r>
        <w:br/>
      </w:r>
      <w:r>
        <w:rPr>
          <w:rFonts w:ascii="Times New Roman" w:hAnsi="Times New Roman"/>
          <w:b/>
          <w:i w:val="0"/>
          <w:color w:val="1F2937"/>
          <w:sz w:val="24"/>
        </w:rPr>
        <w:t>T(d, r)</w:t>
      </w:r>
      <w:r>
        <w:rPr>
          <w:rFonts w:ascii="Times New Roman" w:hAnsi="Times New Roman"/>
          <w:b/>
          <w:i w:val="0"/>
          <w:color w:val="1F2937"/>
          <w:sz w:val="24"/>
          <w:vertAlign w:val="subscript"/>
        </w:rPr>
        <w:t>actual</w:t>
      </w:r>
      <w:r>
        <w:rPr>
          <w:rFonts w:ascii="Times New Roman" w:hAnsi="Times New Roman"/>
          <w:b/>
          <w:i w:val="0"/>
          <w:color w:val="1F2937"/>
          <w:sz w:val="24"/>
        </w:rPr>
        <w:t xml:space="preserve"> = T(d, r)</w:t>
      </w:r>
      <w:r>
        <w:rPr>
          <w:rFonts w:ascii="Times New Roman" w:hAnsi="Times New Roman"/>
          <w:b/>
          <w:i w:val="0"/>
          <w:color w:val="1F2937"/>
          <w:sz w:val="24"/>
          <w:vertAlign w:val="subscript"/>
        </w:rPr>
        <w:t>free</w:t>
      </w:r>
      <w:r>
        <w:rPr>
          <w:rFonts w:ascii="Times New Roman" w:hAnsi="Times New Roman"/>
          <w:b/>
          <w:i w:val="0"/>
          <w:color w:val="1F2937"/>
          <w:sz w:val="24"/>
        </w:rPr>
        <w:t xml:space="preserve"> · [ 1 + α · ( V(d, r) / ( C(d, r) · (1 - I</w:t>
      </w:r>
      <w:r>
        <w:rPr>
          <w:rFonts w:ascii="Times New Roman" w:hAnsi="Times New Roman"/>
          <w:b/>
          <w:i w:val="0"/>
          <w:color w:val="1F2937"/>
          <w:sz w:val="24"/>
          <w:vertAlign w:val="subscript"/>
        </w:rPr>
        <w:t>r</w:t>
      </w:r>
      <w:r>
        <w:rPr>
          <w:rFonts w:ascii="Times New Roman" w:hAnsi="Times New Roman"/>
          <w:b/>
          <w:i w:val="0"/>
          <w:color w:val="1F2937"/>
          <w:sz w:val="24"/>
        </w:rPr>
        <w:t>) ) )</w:t>
      </w:r>
      <w:r>
        <w:rPr>
          <w:rFonts w:ascii="Times New Roman" w:hAnsi="Times New Roman"/>
          <w:b/>
          <w:i w:val="0"/>
          <w:color w:val="1F2937"/>
          <w:sz w:val="24"/>
          <w:vertAlign w:val="superscript"/>
        </w:rPr>
        <w:t>β</w:t>
      </w:r>
      <w:r>
        <w:rPr>
          <w:rFonts w:ascii="Times New Roman" w:hAnsi="Times New Roman"/>
          <w:b/>
          <w:i w:val="0"/>
          <w:color w:val="1F2937"/>
          <w:sz w:val="24"/>
        </w:rPr>
        <w:t xml:space="preserve"> ]</w:t>
      </w:r>
      <w:r>
        <w:br/>
      </w:r>
      <w:r>
        <w:rPr>
          <w:rFonts w:ascii="Times New Roman" w:hAnsi="Times New Roman"/>
          <w:b w:val="0"/>
          <w:i w:val="0"/>
          <w:color w:val="1F2937"/>
          <w:sz w:val="24"/>
        </w:rPr>
        <w:t xml:space="preserve">where </w:t>
      </w:r>
      <w:r>
        <w:rPr>
          <w:rFonts w:ascii="Times New Roman" w:hAnsi="Times New Roman"/>
          <w:b w:val="0"/>
          <w:i/>
          <w:color w:val="1F2937"/>
          <w:sz w:val="24"/>
        </w:rPr>
        <w:t>T(d, r)</w:t>
      </w:r>
      <w:r>
        <w:rPr>
          <w:rFonts w:ascii="Times New Roman" w:hAnsi="Times New Roman"/>
          <w:b w:val="0"/>
          <w:i/>
          <w:color w:val="1F2937"/>
          <w:sz w:val="24"/>
          <w:vertAlign w:val="subscript"/>
        </w:rPr>
        <w:t>free</w:t>
      </w:r>
      <w:r>
        <w:rPr>
          <w:rFonts w:ascii="Times New Roman" w:hAnsi="Times New Roman"/>
          <w:b w:val="0"/>
          <w:i w:val="0"/>
          <w:color w:val="1F2937"/>
          <w:sz w:val="24"/>
        </w:rPr>
        <w:t xml:space="preserve"> is the free-flow travel time, </w:t>
      </w:r>
      <w:r>
        <w:rPr>
          <w:rFonts w:ascii="Times New Roman" w:hAnsi="Times New Roman"/>
          <w:b w:val="0"/>
          <w:i/>
          <w:color w:val="1F2937"/>
          <w:sz w:val="24"/>
        </w:rPr>
        <w:t>V(d, r)</w:t>
      </w:r>
      <w:r>
        <w:rPr>
          <w:rFonts w:ascii="Times New Roman" w:hAnsi="Times New Roman"/>
          <w:b w:val="0"/>
          <w:i w:val="0"/>
          <w:color w:val="1F2937"/>
          <w:sz w:val="24"/>
        </w:rPr>
        <w:t xml:space="preserve"> is the active relief convoy traffic volume, </w:t>
      </w:r>
      <w:r>
        <w:rPr>
          <w:rFonts w:ascii="Times New Roman" w:hAnsi="Times New Roman"/>
          <w:b w:val="0"/>
          <w:i/>
          <w:color w:val="1F2937"/>
          <w:sz w:val="24"/>
        </w:rPr>
        <w:t>C(d, r)</w:t>
      </w:r>
      <w:r>
        <w:rPr>
          <w:rFonts w:ascii="Times New Roman" w:hAnsi="Times New Roman"/>
          <w:b w:val="0"/>
          <w:i w:val="0"/>
          <w:color w:val="1F2937"/>
          <w:sz w:val="24"/>
        </w:rPr>
        <w:t xml:space="preserve"> is the baseline road capacity, </w:t>
      </w:r>
      <w:r>
        <w:rPr>
          <w:rFonts w:ascii="Times New Roman" w:hAnsi="Times New Roman"/>
          <w:b w:val="0"/>
          <w:i/>
          <w:color w:val="1F2937"/>
          <w:sz w:val="24"/>
        </w:rPr>
        <w:t>I</w:t>
      </w:r>
      <w:r>
        <w:rPr>
          <w:rFonts w:ascii="Times New Roman" w:hAnsi="Times New Roman"/>
          <w:b w:val="0"/>
          <w:i/>
          <w:color w:val="1F2937"/>
          <w:sz w:val="24"/>
          <w:vertAlign w:val="subscript"/>
        </w:rPr>
        <w:t>r</w:t>
      </w:r>
      <w:r>
        <w:rPr>
          <w:rFonts w:ascii="Times New Roman" w:hAnsi="Times New Roman"/>
          <w:b w:val="0"/>
          <w:i w:val="0"/>
          <w:color w:val="1F2937"/>
          <w:sz w:val="24"/>
        </w:rPr>
        <w:t xml:space="preserve"> is the inundation impairment percentage, and α = 0.15, β = 4.0 are calibrated empirical highway coefficients. When volume approaches degraded capacity, the non-linear exponential delay alerts logistics directors to stagger dispatch convoys across multiple time windows, preventing gridlock.</w:t>
      </w:r>
    </w:p>
    <w:p>
      <w:r>
        <w:br w:type="page"/>
      </w:r>
    </w:p>
    <w:p>
      <w:pPr>
        <w:pStyle w:val="Heading1"/>
        <w:keepNext/>
        <w:spacing w:before="320" w:after="120"/>
      </w:pPr>
      <w:r>
        <w:rPr>
          <w:rFonts w:ascii="Times New Roman" w:hAnsi="Times New Roman"/>
          <w:b/>
          <w:i w:val="0"/>
          <w:color w:val="0F2B5C"/>
          <w:sz w:val="28"/>
        </w:rPr>
        <w:t>Chapter 6: Two-Stage Human-in-the-Loop Governance &amp; State Machine Architecture</w:t>
      </w:r>
    </w:p>
    <w:p>
      <w:pPr>
        <w:pStyle w:val="Heading2"/>
        <w:keepNext/>
        <w:spacing w:before="200" w:after="80"/>
      </w:pPr>
      <w:r>
        <w:rPr>
          <w:rFonts w:ascii="Times New Roman" w:hAnsi="Times New Roman"/>
          <w:b/>
          <w:i w:val="0"/>
          <w:color w:val="1E3A8A"/>
          <w:sz w:val="26"/>
        </w:rPr>
        <w:t>6.1 Ethical Rationale for Human-in-the-Loop Oversight</w:t>
      </w:r>
    </w:p>
    <w:p>
      <w:pPr>
        <w:spacing w:before="0" w:after="120" w:line="276" w:lineRule="auto"/>
        <w:jc w:val="both"/>
      </w:pPr>
      <w:r>
        <w:rPr>
          <w:rFonts w:ascii="Times New Roman" w:hAnsi="Times New Roman"/>
          <w:b w:val="0"/>
          <w:i w:val="0"/>
          <w:color w:val="1F2937"/>
          <w:sz w:val="24"/>
        </w:rPr>
        <w:t>A foundational ethical tenet of CloudShield is that fully autonomous, unsupervised AI execution is unacceptable in life-critical disaster relief. Algorithmic models—no matter how mathematically elegant—rely on remote sensing telemetry and reporting feeds that may experience localized blindness. For example, satellite radar may detect six feet of standing water in an urban sector, prompting the knapsack engine to allocate thousands of ration packs to a local school. However, an experienced field logistics director may know via VHF radio that the school was evacuated two hours prior, rendering the algorithmic shipment useless while another community is neglected.</w:t>
      </w:r>
    </w:p>
    <w:p>
      <w:pPr>
        <w:spacing w:before="0" w:after="120" w:line="276" w:lineRule="auto"/>
        <w:jc w:val="both"/>
      </w:pPr>
      <w:r>
        <w:rPr>
          <w:rFonts w:ascii="Times New Roman" w:hAnsi="Times New Roman"/>
          <w:b w:val="0"/>
          <w:i w:val="0"/>
          <w:color w:val="1F2937"/>
          <w:sz w:val="24"/>
        </w:rPr>
        <w:t xml:space="preserve">To prevent such catastrophic algorithmic misallocations while preserving computational speed, CloudShield implements a rigid </w:t>
      </w:r>
      <w:r>
        <w:rPr>
          <w:rFonts w:ascii="Times New Roman" w:hAnsi="Times New Roman"/>
          <w:b/>
          <w:i w:val="0"/>
          <w:color w:val="1F2937"/>
          <w:sz w:val="24"/>
        </w:rPr>
        <w:t>Two-Stage Human-in-the-Loop State Machine</w:t>
      </w:r>
      <w:r>
        <w:rPr>
          <w:rFonts w:ascii="Times New Roman" w:hAnsi="Times New Roman"/>
          <w:b w:val="0"/>
          <w:i w:val="0"/>
          <w:color w:val="1F2937"/>
          <w:sz w:val="24"/>
        </w:rPr>
        <w:t>. The cloud platform acts as an extraordinarily fast, highly objective analytical advisor, while statutory and ethical command remains firmly in the hands of authenticated human incident directors.</w:t>
      </w:r>
    </w:p>
    <w:p>
      <w:pPr>
        <w:pStyle w:val="Heading2"/>
        <w:keepNext/>
        <w:spacing w:before="200" w:after="80"/>
      </w:pPr>
      <w:r>
        <w:rPr>
          <w:rFonts w:ascii="Times New Roman" w:hAnsi="Times New Roman"/>
          <w:b/>
          <w:i w:val="0"/>
          <w:color w:val="1E3A8A"/>
          <w:sz w:val="26"/>
        </w:rPr>
        <w:t>6.2 Formal State Machine Model and Transition Invariants</w:t>
      </w:r>
    </w:p>
    <w:p>
      <w:pPr>
        <w:spacing w:before="0" w:after="120" w:line="276" w:lineRule="auto"/>
        <w:jc w:val="both"/>
      </w:pPr>
      <w:r>
        <w:rPr>
          <w:rFonts w:ascii="Times New Roman" w:hAnsi="Times New Roman"/>
          <w:b w:val="0"/>
          <w:i w:val="0"/>
          <w:color w:val="1F2937"/>
          <w:sz w:val="24"/>
        </w:rPr>
        <w:t xml:space="preserve">The lifecycle of every resource allocation manifest is governed by a finite state automaton consisting of four discrete states: </w:t>
      </w:r>
      <w:r>
        <w:rPr>
          <w:rFonts w:ascii="Consolas" w:hAnsi="Consolas"/>
          <w:b w:val="0"/>
          <w:i w:val="0"/>
          <w:color w:val="0F2B5C"/>
          <w:sz w:val="21"/>
        </w:rPr>
        <w:t>DRAFT</w:t>
      </w:r>
      <w:r>
        <w:rPr>
          <w:rFonts w:ascii="Times New Roman" w:hAnsi="Times New Roman"/>
          <w:b w:val="0"/>
          <w:i w:val="0"/>
          <w:color w:val="1F2937"/>
          <w:sz w:val="24"/>
        </w:rPr>
        <w:t xml:space="preserve">, </w:t>
      </w:r>
      <w:r>
        <w:rPr>
          <w:rFonts w:ascii="Consolas" w:hAnsi="Consolas"/>
          <w:b w:val="0"/>
          <w:i w:val="0"/>
          <w:color w:val="0F2B5C"/>
          <w:sz w:val="21"/>
        </w:rPr>
        <w:t>PENDING_APPROVAL</w:t>
      </w:r>
      <w:r>
        <w:rPr>
          <w:rFonts w:ascii="Times New Roman" w:hAnsi="Times New Roman"/>
          <w:b w:val="0"/>
          <w:i w:val="0"/>
          <w:color w:val="1F2937"/>
          <w:sz w:val="24"/>
        </w:rPr>
        <w:t xml:space="preserve">, </w:t>
      </w:r>
      <w:r>
        <w:rPr>
          <w:rFonts w:ascii="Consolas" w:hAnsi="Consolas"/>
          <w:b w:val="0"/>
          <w:i w:val="0"/>
          <w:color w:val="0F2B5C"/>
          <w:sz w:val="21"/>
        </w:rPr>
        <w:t>APPROVED</w:t>
      </w:r>
      <w:r>
        <w:rPr>
          <w:rFonts w:ascii="Times New Roman" w:hAnsi="Times New Roman"/>
          <w:b w:val="0"/>
          <w:i w:val="0"/>
          <w:color w:val="1F2937"/>
          <w:sz w:val="24"/>
        </w:rPr>
        <w:t xml:space="preserve">, and </w:t>
      </w:r>
      <w:r>
        <w:rPr>
          <w:rFonts w:ascii="Consolas" w:hAnsi="Consolas"/>
          <w:b w:val="0"/>
          <w:i w:val="0"/>
          <w:color w:val="0F2B5C"/>
          <w:sz w:val="21"/>
        </w:rPr>
        <w:t>REJECTED</w:t>
      </w:r>
      <w:r>
        <w:rPr>
          <w:rFonts w:ascii="Times New Roman" w:hAnsi="Times New Roman"/>
          <w:b w:val="0"/>
          <w:i w:val="0"/>
          <w:color w:val="1F2937"/>
          <w:sz w:val="24"/>
        </w:rPr>
        <w:t>. The system enforces strict mathematical invariants across each transition:</w:t>
      </w:r>
    </w:p>
    <w:tbl>
      <w:tblPr>
        <w:tblW w:type="auto" w:w="0"/>
        <w:jc w:val="center"/>
        <w:tblLook w:firstColumn="1" w:firstRow="1" w:lastColumn="0" w:lastRow="0" w:noHBand="0" w:noVBand="1" w:val="04A0"/>
      </w:tblPr>
      <w:tblGrid>
        <w:gridCol w:w="1872"/>
        <w:gridCol w:w="1872"/>
        <w:gridCol w:w="1872"/>
        <w:gridCol w:w="1872"/>
        <w:gridCol w:w="1872"/>
      </w:tblGrid>
      <w:tr>
        <w:tc>
          <w:tcPr>
            <w:tcW w:type="dxa" w:w="1764"/>
            <w:shd w:fill="0F2B5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FFFFFF"/>
                <w:sz w:val="19"/>
              </w:rPr>
              <w:t>Trigger Event</w:t>
            </w:r>
          </w:p>
        </w:tc>
        <w:tc>
          <w:tcPr>
            <w:tcW w:type="dxa" w:w="1486"/>
            <w:shd w:fill="0F2B5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FFFFFF"/>
                <w:sz w:val="19"/>
              </w:rPr>
              <w:t>Initial State</w:t>
            </w:r>
          </w:p>
        </w:tc>
        <w:tc>
          <w:tcPr>
            <w:tcW w:type="dxa" w:w="1579"/>
            <w:shd w:fill="0F2B5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FFFFFF"/>
                <w:sz w:val="19"/>
              </w:rPr>
              <w:t>Target State</w:t>
            </w:r>
          </w:p>
        </w:tc>
        <w:tc>
          <w:tcPr>
            <w:tcW w:type="dxa" w:w="1764"/>
            <w:shd w:fill="0F2B5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FFFFFF"/>
                <w:sz w:val="19"/>
              </w:rPr>
              <w:t>Authorized Role</w:t>
            </w:r>
          </w:p>
        </w:tc>
        <w:tc>
          <w:tcPr>
            <w:tcW w:type="dxa" w:w="2767"/>
            <w:shd w:fill="0F2B5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FFFFFF"/>
                <w:sz w:val="19"/>
              </w:rPr>
              <w:t>System Actions &amp; Invariants Enforced</w:t>
            </w:r>
          </w:p>
        </w:tc>
      </w:tr>
      <w:tr>
        <w:tc>
          <w:tcPr>
            <w:tcW w:type="dxa" w:w="1764"/>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POST /api/simulate</w:t>
            </w:r>
          </w:p>
        </w:tc>
        <w:tc>
          <w:tcPr>
            <w:tcW w:type="dxa" w:w="1486"/>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DRAFT</w:t>
            </w:r>
          </w:p>
        </w:tc>
        <w:tc>
          <w:tcPr>
            <w:tcW w:type="dxa" w:w="1579"/>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PENDING_APPROVAL</w:t>
            </w:r>
          </w:p>
        </w:tc>
        <w:tc>
          <w:tcPr>
            <w:tcW w:type="dxa" w:w="1764"/>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FIELD_OFFICER</w:t>
            </w:r>
          </w:p>
        </w:tc>
        <w:tc>
          <w:tcPr>
            <w:tcW w:type="dxa" w:w="2767"/>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 xml:space="preserve">Generates planning snapshot. In-memory reservation created. </w:t>
            </w:r>
            <w:r>
              <w:rPr>
                <w:rFonts w:ascii="Times New Roman" w:hAnsi="Times New Roman"/>
                <w:b/>
                <w:i w:val="0"/>
                <w:color w:val="1F2937"/>
                <w:sz w:val="19"/>
              </w:rPr>
              <w:t>Zero database stock deduction.</w:t>
            </w:r>
          </w:p>
        </w:tc>
      </w:tr>
      <w:tr>
        <w:tc>
          <w:tcPr>
            <w:tcW w:type="dxa" w:w="1764"/>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POST /api/approve</w:t>
            </w:r>
          </w:p>
        </w:tc>
        <w:tc>
          <w:tcPr>
            <w:tcW w:type="dxa" w:w="1486"/>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PENDING_APPROVAL</w:t>
            </w:r>
          </w:p>
        </w:tc>
        <w:tc>
          <w:tcPr>
            <w:tcW w:type="dxa" w:w="1579"/>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APPROVED</w:t>
            </w:r>
          </w:p>
        </w:tc>
        <w:tc>
          <w:tcPr>
            <w:tcW w:type="dxa" w:w="1764"/>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LOGISTICS_DIRECTOR</w:t>
            </w:r>
          </w:p>
        </w:tc>
        <w:tc>
          <w:tcPr>
            <w:tcW w:type="dxa" w:w="2767"/>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Validates Action ID. Executes ACID transaction decrements physical warehouse ledgers. Publishes SNS alert.</w:t>
            </w:r>
          </w:p>
        </w:tc>
      </w:tr>
      <w:tr>
        <w:tc>
          <w:tcPr>
            <w:tcW w:type="dxa" w:w="1764"/>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POST /api/reject</w:t>
            </w:r>
          </w:p>
        </w:tc>
        <w:tc>
          <w:tcPr>
            <w:tcW w:type="dxa" w:w="1486"/>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PENDING_APPROVAL</w:t>
            </w:r>
          </w:p>
        </w:tc>
        <w:tc>
          <w:tcPr>
            <w:tcW w:type="dxa" w:w="1579"/>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REJECTED</w:t>
            </w:r>
          </w:p>
        </w:tc>
        <w:tc>
          <w:tcPr>
            <w:tcW w:type="dxa" w:w="1764"/>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LOGISTICS_DIRECTOR</w:t>
            </w:r>
          </w:p>
        </w:tc>
        <w:tc>
          <w:tcPr>
            <w:tcW w:type="dxa" w:w="2767"/>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Records justification note. Releases in-memory stock reservation. Appends record to immutable audit ledger.</w:t>
            </w:r>
          </w:p>
        </w:tc>
      </w:tr>
      <w:tr>
        <w:tc>
          <w:tcPr>
            <w:tcW w:type="dxa" w:w="1764"/>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Duplicate Submission</w:t>
            </w:r>
          </w:p>
        </w:tc>
        <w:tc>
          <w:tcPr>
            <w:tcW w:type="dxa" w:w="1486"/>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APPROVED / REJECTED</w:t>
            </w:r>
          </w:p>
        </w:tc>
        <w:tc>
          <w:tcPr>
            <w:tcW w:type="dxa" w:w="1579"/>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HTTP 400 ERROR</w:t>
            </w:r>
          </w:p>
        </w:tc>
        <w:tc>
          <w:tcPr>
            <w:tcW w:type="dxa" w:w="1764"/>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ANY</w:t>
            </w:r>
          </w:p>
        </w:tc>
        <w:tc>
          <w:tcPr>
            <w:tcW w:type="dxa" w:w="2767"/>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Idempotency guard triggers on matching Action ID. Blocks duplicate deduction and logs security warning.</w:t>
            </w:r>
          </w:p>
        </w:tc>
      </w:tr>
    </w:tbl>
    <w:p>
      <w:pPr>
        <w:spacing w:before="120" w:after="0"/>
      </w:pPr>
    </w:p>
    <w:p>
      <w:pPr>
        <w:pStyle w:val="Heading2"/>
        <w:keepNext/>
        <w:spacing w:before="200" w:after="80"/>
      </w:pPr>
      <w:r>
        <w:rPr>
          <w:rFonts w:ascii="Times New Roman" w:hAnsi="Times New Roman"/>
          <w:b/>
          <w:i w:val="0"/>
          <w:color w:val="1E3A8A"/>
          <w:sz w:val="26"/>
        </w:rPr>
        <w:t>6.3 Cryptographic Action ID Idempotency: Eliminating Ghost Depletion</w:t>
      </w:r>
    </w:p>
    <w:p>
      <w:pPr>
        <w:spacing w:before="0" w:after="120" w:line="276" w:lineRule="auto"/>
        <w:jc w:val="both"/>
      </w:pPr>
      <w:r>
        <w:rPr>
          <w:rFonts w:ascii="Times New Roman" w:hAnsi="Times New Roman"/>
          <w:b w:val="0"/>
          <w:i w:val="0"/>
          <w:color w:val="1F2937"/>
          <w:sz w:val="24"/>
        </w:rPr>
        <w:t>During severe monsoon cyclones, cellular backhauls experience severe packet loss, high latency, and intermittent TCP socket disconnects. When an incident commander clicks 'Approve &amp; Commit Stock', the browser sends a transaction request. If the field connection drops before the HTTP 200 OK acknowledgment arrives, the user instinctively clicks the button again. In a naive web system, this generates duplicate database operations, depleting physical stock twice.</w:t>
      </w:r>
    </w:p>
    <w:p>
      <w:pPr>
        <w:spacing w:before="0" w:after="120" w:line="276" w:lineRule="auto"/>
        <w:jc w:val="both"/>
      </w:pPr>
      <w:r>
        <w:rPr>
          <w:rFonts w:ascii="Times New Roman" w:hAnsi="Times New Roman"/>
          <w:b w:val="0"/>
          <w:i w:val="0"/>
          <w:color w:val="1F2937"/>
          <w:sz w:val="24"/>
        </w:rPr>
        <w:t xml:space="preserve">CloudShield eliminates this failure mode through cryptographic </w:t>
      </w:r>
      <w:r>
        <w:rPr>
          <w:rFonts w:ascii="Times New Roman" w:hAnsi="Times New Roman"/>
          <w:b/>
          <w:i w:val="0"/>
          <w:color w:val="1F2937"/>
          <w:sz w:val="24"/>
        </w:rPr>
        <w:t>Action ID Idempotency</w:t>
      </w:r>
      <w:r>
        <w:rPr>
          <w:rFonts w:ascii="Times New Roman" w:hAnsi="Times New Roman"/>
          <w:b w:val="0"/>
          <w:i w:val="0"/>
          <w:color w:val="1F2937"/>
          <w:sz w:val="24"/>
        </w:rPr>
        <w:t xml:space="preserve">. Every allocation plan is assigned a unique UUID v4 token when generated. The backend database wraps approval execution inside an ACID-isolated transaction that verifies whether the Action ID is already committed. Any duplicate submission immediately triggers an </w:t>
      </w:r>
      <w:r>
        <w:rPr>
          <w:rFonts w:ascii="Consolas" w:hAnsi="Consolas"/>
          <w:b w:val="0"/>
          <w:i w:val="0"/>
          <w:color w:val="0F2B5C"/>
          <w:sz w:val="21"/>
        </w:rPr>
        <w:t>HTTP 400 Plan Already Finalized</w:t>
      </w:r>
      <w:r>
        <w:rPr>
          <w:rFonts w:ascii="Times New Roman" w:hAnsi="Times New Roman"/>
          <w:b w:val="0"/>
          <w:i w:val="0"/>
          <w:color w:val="1F2937"/>
          <w:sz w:val="24"/>
        </w:rPr>
        <w:t xml:space="preserve"> exception, mathematically guaranteeing zero inventory leakage.</w:t>
      </w:r>
    </w:p>
    <w:p>
      <w:pPr>
        <w:keepNext/>
        <w:spacing w:before="160" w:after="8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graph_6_state_transitions.png"/>
                    <pic:cNvPicPr/>
                  </pic:nvPicPr>
                  <pic:blipFill>
                    <a:blip r:embed="rId16"/>
                    <a:stretch>
                      <a:fillRect/>
                    </a:stretch>
                  </pic:blipFill>
                  <pic:spPr>
                    <a:xfrm>
                      <a:off x="0" y="0"/>
                      <a:ext cx="5486400" cy="2468880"/>
                    </a:xfrm>
                    <a:prstGeom prst="rect"/>
                  </pic:spPr>
                </pic:pic>
              </a:graphicData>
            </a:graphic>
          </wp:inline>
        </w:drawing>
      </w:r>
    </w:p>
    <w:p>
      <w:pPr>
        <w:spacing w:before="40" w:after="200" w:line="276" w:lineRule="auto"/>
        <w:ind w:left="360" w:right="360"/>
        <w:jc w:val="center"/>
      </w:pPr>
      <w:r>
        <w:rPr>
          <w:rFonts w:ascii="Times New Roman" w:hAnsi="Times New Roman"/>
          <w:b/>
          <w:i/>
          <w:color w:val="334155"/>
          <w:sz w:val="19"/>
        </w:rPr>
        <w:t>Figure 6.1: Concurrency Race Condition Prevention via Action ID Idempotency.</w:t>
      </w:r>
      <w:r>
        <w:rPr>
          <w:rFonts w:ascii="Times New Roman" w:hAnsi="Times New Roman"/>
          <w:b w:val="0"/>
          <w:i/>
          <w:color w:val="334155"/>
          <w:sz w:val="19"/>
        </w:rPr>
        <w:t xml:space="preserve"> (a) Under simulated cellular packet loss with 50 rapid sequential retry attempts, systems without idempotency suffer a 35% double-allocation rate, whereas CloudShield guarantees strictly 0% double-depletion. (b) Backend HTTP response profile showing 1 commit and 49 idempotent rejections.</w:t>
      </w:r>
    </w:p>
    <w:p>
      <w:pPr>
        <w:pStyle w:val="Heading2"/>
        <w:keepNext/>
        <w:spacing w:before="200" w:after="80"/>
      </w:pPr>
      <w:r>
        <w:rPr>
          <w:rFonts w:ascii="Times New Roman" w:hAnsi="Times New Roman"/>
          <w:b/>
          <w:i w:val="0"/>
          <w:color w:val="1E3A8A"/>
          <w:sz w:val="26"/>
        </w:rPr>
        <w:t>6.4 Cryptographic Audit Ledger &amp; Legal Non-Repudiation Architecture</w:t>
      </w:r>
    </w:p>
    <w:p>
      <w:pPr>
        <w:spacing w:before="0" w:after="120" w:line="276" w:lineRule="auto"/>
        <w:jc w:val="both"/>
      </w:pPr>
      <w:r>
        <w:rPr>
          <w:rFonts w:ascii="Times New Roman" w:hAnsi="Times New Roman"/>
          <w:b w:val="0"/>
          <w:i w:val="0"/>
          <w:color w:val="1F2937"/>
          <w:sz w:val="24"/>
        </w:rPr>
        <w:t xml:space="preserve">Following catastrophic climate disasters, government commissions of inquiry routinely investigate whether relief distribution was equitable or if political favoritism compromised rescue operations. CloudShield incorporates an append-only, tamper-evident audit ledger. Each audit row records: </w:t>
      </w:r>
      <w:r>
        <w:rPr>
          <w:rFonts w:ascii="Consolas" w:hAnsi="Consolas"/>
          <w:b w:val="0"/>
          <w:i w:val="0"/>
          <w:color w:val="0F2B5C"/>
          <w:sz w:val="21"/>
        </w:rPr>
        <w:t>(record_id, timestamp_utc, actor_role, action_id, prior_state, target_state, snapshot_hash, manifest_json)</w:t>
      </w:r>
      <w:r>
        <w:rPr>
          <w:rFonts w:ascii="Times New Roman" w:hAnsi="Times New Roman"/>
          <w:b w:val="0"/>
          <w:i w:val="0"/>
          <w:color w:val="1F2937"/>
          <w:sz w:val="24"/>
        </w:rPr>
        <w:t>. Audit rows are protected by SHA-256 block hashes linked to prior entries, establishing cryptographic non-repudiation that satisfies statutory judicial standards.</w:t>
      </w:r>
    </w:p>
    <w:p>
      <w:r>
        <w:br w:type="page"/>
      </w:r>
    </w:p>
    <w:p>
      <w:pPr>
        <w:pStyle w:val="Heading1"/>
        <w:keepNext/>
        <w:spacing w:before="320" w:after="120"/>
      </w:pPr>
      <w:r>
        <w:rPr>
          <w:rFonts w:ascii="Times New Roman" w:hAnsi="Times New Roman"/>
          <w:b/>
          <w:i w:val="0"/>
          <w:color w:val="0F2B5C"/>
          <w:sz w:val="28"/>
        </w:rPr>
        <w:t>Chapter 7: Comprehensive AWS Cloud Architecture: Service-by-Service Deep Dive</w:t>
      </w:r>
    </w:p>
    <w:p>
      <w:pPr>
        <w:pStyle w:val="Heading2"/>
        <w:keepNext/>
        <w:spacing w:before="200" w:after="80"/>
      </w:pPr>
      <w:r>
        <w:rPr>
          <w:rFonts w:ascii="Times New Roman" w:hAnsi="Times New Roman"/>
          <w:b/>
          <w:i w:val="0"/>
          <w:color w:val="1E3A8A"/>
          <w:sz w:val="26"/>
        </w:rPr>
        <w:t>7.1 Cloud Architectural Philosophy &amp; Well-Architected Alignment</w:t>
      </w:r>
    </w:p>
    <w:p>
      <w:pPr>
        <w:spacing w:before="0" w:after="120" w:line="276" w:lineRule="auto"/>
        <w:jc w:val="both"/>
      </w:pPr>
      <w:r>
        <w:rPr>
          <w:rFonts w:ascii="Times New Roman" w:hAnsi="Times New Roman"/>
          <w:b w:val="0"/>
          <w:i w:val="0"/>
          <w:color w:val="1F2937"/>
          <w:sz w:val="24"/>
        </w:rPr>
        <w:t>To transition from an academic prototype to an enterprise-grade emergency coordination nervous system, CloudShield is architected and actively deployed directly onto Amazon Web Services (AWS) in the Asia-Pacific (Sydney) region (</w:t>
      </w:r>
      <w:r>
        <w:rPr>
          <w:rFonts w:ascii="Consolas" w:hAnsi="Consolas"/>
          <w:b w:val="0"/>
          <w:i w:val="0"/>
          <w:color w:val="0F2B5C"/>
          <w:sz w:val="21"/>
        </w:rPr>
        <w:t>ap-southeast-2</w:t>
      </w:r>
      <w:r>
        <w:rPr>
          <w:rFonts w:ascii="Times New Roman" w:hAnsi="Times New Roman"/>
          <w:b w:val="0"/>
          <w:i w:val="0"/>
          <w:color w:val="1F2937"/>
          <w:sz w:val="24"/>
        </w:rPr>
        <w:t xml:space="preserve">). The architecture adheres strictly to the four relevant pillars of the AWS Well-Architected Framework: </w:t>
      </w:r>
      <w:r>
        <w:rPr>
          <w:rFonts w:ascii="Times New Roman" w:hAnsi="Times New Roman"/>
          <w:b w:val="0"/>
          <w:i/>
          <w:color w:val="1F2937"/>
          <w:sz w:val="24"/>
        </w:rPr>
        <w:t>Operational Excellence</w:t>
      </w:r>
      <w:r>
        <w:rPr>
          <w:rFonts w:ascii="Times New Roman" w:hAnsi="Times New Roman"/>
          <w:b w:val="0"/>
          <w:i w:val="0"/>
          <w:color w:val="1F2937"/>
          <w:sz w:val="24"/>
        </w:rPr>
        <w:t xml:space="preserve">, </w:t>
      </w:r>
      <w:r>
        <w:rPr>
          <w:rFonts w:ascii="Times New Roman" w:hAnsi="Times New Roman"/>
          <w:b w:val="0"/>
          <w:i/>
          <w:color w:val="1F2937"/>
          <w:sz w:val="24"/>
        </w:rPr>
        <w:t>Security</w:t>
      </w:r>
      <w:r>
        <w:rPr>
          <w:rFonts w:ascii="Times New Roman" w:hAnsi="Times New Roman"/>
          <w:b w:val="0"/>
          <w:i w:val="0"/>
          <w:color w:val="1F2937"/>
          <w:sz w:val="24"/>
        </w:rPr>
        <w:t xml:space="preserve">, </w:t>
      </w:r>
      <w:r>
        <w:rPr>
          <w:rFonts w:ascii="Times New Roman" w:hAnsi="Times New Roman"/>
          <w:b w:val="0"/>
          <w:i/>
          <w:color w:val="1F2937"/>
          <w:sz w:val="24"/>
        </w:rPr>
        <w:t>Reliability</w:t>
      </w:r>
      <w:r>
        <w:rPr>
          <w:rFonts w:ascii="Times New Roman" w:hAnsi="Times New Roman"/>
          <w:b w:val="0"/>
          <w:i w:val="0"/>
          <w:color w:val="1F2937"/>
          <w:sz w:val="24"/>
        </w:rPr>
        <w:t xml:space="preserve">, and </w:t>
      </w:r>
      <w:r>
        <w:rPr>
          <w:rFonts w:ascii="Times New Roman" w:hAnsi="Times New Roman"/>
          <w:b w:val="0"/>
          <w:i/>
          <w:color w:val="1F2937"/>
          <w:sz w:val="24"/>
        </w:rPr>
        <w:t>Cost Optimization</w:t>
      </w:r>
      <w:r>
        <w:rPr>
          <w:rFonts w:ascii="Times New Roman" w:hAnsi="Times New Roman"/>
          <w:b w:val="0"/>
          <w:i w:val="0"/>
          <w:color w:val="1F2937"/>
          <w:sz w:val="24"/>
        </w:rPr>
        <w:t>.</w:t>
      </w:r>
    </w:p>
    <w:p>
      <w:pPr>
        <w:spacing w:before="0" w:after="120" w:line="276" w:lineRule="auto"/>
        <w:jc w:val="both"/>
      </w:pPr>
      <w:r>
        <w:rPr>
          <w:rFonts w:ascii="Times New Roman" w:hAnsi="Times New Roman"/>
          <w:b w:val="0"/>
          <w:i w:val="0"/>
          <w:color w:val="1F2937"/>
          <w:sz w:val="24"/>
        </w:rPr>
        <w:t>The design explicitly rejects unnecessary cloud bloat. Rather than provisioning expensive multi-node Kubernetes clusters (EKS), costly multi-AZ relational database engines (RDS Multi-AZ), or idle NAT Gateways that would accumulate hundreds of dollars in monthly charges, CloudShield engineers an optimal, least-privilege cloud footprint that delivers microsecond response latencies while remaining fully eligible under AWS Free Tier allowances.</w:t>
      </w:r>
    </w:p>
    <w:p>
      <w:pPr>
        <w:keepNext/>
        <w:spacing w:before="160" w:after="80"/>
        <w:jc w:val="center"/>
      </w:pPr>
      <w:r>
        <w:drawing>
          <wp:inline xmlns:a="http://schemas.openxmlformats.org/drawingml/2006/main" xmlns:pic="http://schemas.openxmlformats.org/drawingml/2006/picture">
            <wp:extent cx="5486400" cy="3017520"/>
            <wp:docPr id="7" name="Picture 7"/>
            <wp:cNvGraphicFramePr>
              <a:graphicFrameLocks noChangeAspect="1"/>
            </wp:cNvGraphicFramePr>
            <a:graphic>
              <a:graphicData uri="http://schemas.openxmlformats.org/drawingml/2006/picture">
                <pic:pic>
                  <pic:nvPicPr>
                    <pic:cNvPr id="0" name="graph_8_system_architecture.png"/>
                    <pic:cNvPicPr/>
                  </pic:nvPicPr>
                  <pic:blipFill>
                    <a:blip r:embed="rId17"/>
                    <a:stretch>
                      <a:fillRect/>
                    </a:stretch>
                  </pic:blipFill>
                  <pic:spPr>
                    <a:xfrm>
                      <a:off x="0" y="0"/>
                      <a:ext cx="5486400" cy="3017520"/>
                    </a:xfrm>
                    <a:prstGeom prst="rect"/>
                  </pic:spPr>
                </pic:pic>
              </a:graphicData>
            </a:graphic>
          </wp:inline>
        </w:drawing>
      </w:r>
    </w:p>
    <w:p>
      <w:pPr>
        <w:spacing w:before="40" w:after="200" w:line="276" w:lineRule="auto"/>
        <w:ind w:left="360" w:right="360"/>
        <w:jc w:val="center"/>
      </w:pPr>
      <w:r>
        <w:rPr>
          <w:rFonts w:ascii="Times New Roman" w:hAnsi="Times New Roman"/>
          <w:b/>
          <w:i/>
          <w:color w:val="334155"/>
          <w:sz w:val="19"/>
        </w:rPr>
        <w:t>Figure 7.1: Production AWS Cloud Architecture &amp; Multi-Tier Service Topology.</w:t>
      </w:r>
      <w:r>
        <w:rPr>
          <w:rFonts w:ascii="Times New Roman" w:hAnsi="Times New Roman"/>
          <w:b w:val="0"/>
          <w:i/>
          <w:color w:val="334155"/>
          <w:sz w:val="19"/>
        </w:rPr>
        <w:t xml:space="preserve"> Illustrates the end-to-end data pipeline from real-time disaster ingestion, through the analytical DPRI and Sphere engines, the two-stage governance gate, into the production AWS infrastructure in Sydney (EC2, persistent EBS WAL, encrypted S3 hot backups, real-time SNS alert fanout, and CloudWatch telemetry).</w:t>
      </w:r>
    </w:p>
    <w:p>
      <w:pPr>
        <w:pStyle w:val="Heading2"/>
        <w:keepNext/>
        <w:spacing w:before="200" w:after="80"/>
      </w:pPr>
      <w:r>
        <w:rPr>
          <w:rFonts w:ascii="Times New Roman" w:hAnsi="Times New Roman"/>
          <w:b/>
          <w:i w:val="0"/>
          <w:color w:val="1E3A8A"/>
          <w:sz w:val="26"/>
        </w:rPr>
        <w:t>7.2 Amazon EC2 (Elastic Compute Cloud): The Resilient Compute Engine</w:t>
      </w:r>
    </w:p>
    <w:p>
      <w:pPr>
        <w:spacing w:before="0" w:after="120" w:line="276" w:lineRule="auto"/>
        <w:jc w:val="both"/>
      </w:pPr>
      <w:r>
        <w:rPr>
          <w:rFonts w:ascii="Times New Roman" w:hAnsi="Times New Roman"/>
          <w:b w:val="0"/>
          <w:i w:val="0"/>
          <w:color w:val="1F2937"/>
          <w:sz w:val="24"/>
        </w:rPr>
        <w:t xml:space="preserve">• </w:t>
      </w:r>
      <w:r>
        <w:rPr>
          <w:rFonts w:ascii="Times New Roman" w:hAnsi="Times New Roman"/>
          <w:b/>
          <w:i w:val="0"/>
          <w:color w:val="1F2937"/>
          <w:sz w:val="24"/>
        </w:rPr>
        <w:t>Instance Sizing &amp; Specification:</w:t>
      </w:r>
      <w:r>
        <w:rPr>
          <w:rFonts w:ascii="Times New Roman" w:hAnsi="Times New Roman"/>
          <w:b w:val="0"/>
          <w:i w:val="0"/>
          <w:color w:val="1F2937"/>
          <w:sz w:val="24"/>
        </w:rPr>
        <w:t xml:space="preserve"> Hosted on a </w:t>
      </w:r>
      <w:r>
        <w:rPr>
          <w:rFonts w:ascii="Consolas" w:hAnsi="Consolas"/>
          <w:b w:val="0"/>
          <w:i w:val="0"/>
          <w:color w:val="0F2B5C"/>
          <w:sz w:val="21"/>
        </w:rPr>
        <w:t>t3.micro</w:t>
      </w:r>
      <w:r>
        <w:rPr>
          <w:rFonts w:ascii="Times New Roman" w:hAnsi="Times New Roman"/>
          <w:b w:val="0"/>
          <w:i w:val="0"/>
          <w:color w:val="1F2937"/>
          <w:sz w:val="24"/>
        </w:rPr>
        <w:t xml:space="preserve"> virtual instance powered by 2 vCPUs (Intel Xeon Platinum 8000 series with burstable compute) and 1.0 GiB of DDR4 high-speed memory.</w:t>
      </w:r>
      <w:r>
        <w:br/>
      </w:r>
      <w:r>
        <w:rPr>
          <w:rFonts w:ascii="Times New Roman" w:hAnsi="Times New Roman"/>
          <w:b w:val="0"/>
          <w:i w:val="0"/>
          <w:color w:val="1F2937"/>
          <w:sz w:val="24"/>
        </w:rPr>
        <w:t xml:space="preserve">• </w:t>
      </w:r>
      <w:r>
        <w:rPr>
          <w:rFonts w:ascii="Times New Roman" w:hAnsi="Times New Roman"/>
          <w:b/>
          <w:i w:val="0"/>
          <w:color w:val="1F2937"/>
          <w:sz w:val="24"/>
        </w:rPr>
        <w:t>Operating System:</w:t>
      </w:r>
      <w:r>
        <w:rPr>
          <w:rFonts w:ascii="Times New Roman" w:hAnsi="Times New Roman"/>
          <w:b w:val="0"/>
          <w:i w:val="0"/>
          <w:color w:val="1F2937"/>
          <w:sz w:val="24"/>
        </w:rPr>
        <w:t xml:space="preserve"> Standardized on Amazon Linux 2023 (AL2023, AMI: </w:t>
      </w:r>
      <w:r>
        <w:rPr>
          <w:rFonts w:ascii="Consolas" w:hAnsi="Consolas"/>
          <w:b w:val="0"/>
          <w:i w:val="0"/>
          <w:color w:val="0F2B5C"/>
          <w:sz w:val="21"/>
        </w:rPr>
        <w:t>ami-0808460885ff81045</w:t>
      </w:r>
      <w:r>
        <w:rPr>
          <w:rFonts w:ascii="Times New Roman" w:hAnsi="Times New Roman"/>
          <w:b w:val="0"/>
          <w:i w:val="0"/>
          <w:color w:val="1F2937"/>
          <w:sz w:val="24"/>
        </w:rPr>
        <w:t>), providing an immutable, SELinux-hardened, modern kernel (Linux 6.1) optimized for high-throughput network I/O.</w:t>
      </w:r>
      <w:r>
        <w:br/>
      </w:r>
      <w:r>
        <w:rPr>
          <w:rFonts w:ascii="Times New Roman" w:hAnsi="Times New Roman"/>
          <w:b w:val="0"/>
          <w:i w:val="0"/>
          <w:color w:val="1F2937"/>
          <w:sz w:val="24"/>
        </w:rPr>
        <w:t xml:space="preserve">• </w:t>
      </w:r>
      <w:r>
        <w:rPr>
          <w:rFonts w:ascii="Times New Roman" w:hAnsi="Times New Roman"/>
          <w:b/>
          <w:i w:val="0"/>
          <w:color w:val="1F2937"/>
          <w:sz w:val="24"/>
        </w:rPr>
        <w:t>Process Supervision &amp; Daemonization:</w:t>
      </w:r>
      <w:r>
        <w:rPr>
          <w:rFonts w:ascii="Times New Roman" w:hAnsi="Times New Roman"/>
          <w:b w:val="0"/>
          <w:i w:val="0"/>
          <w:color w:val="1F2937"/>
          <w:sz w:val="24"/>
        </w:rPr>
        <w:t xml:space="preserve"> The FastAPI application executes as a native systemd service (</w:t>
      </w:r>
      <w:r>
        <w:rPr>
          <w:rFonts w:ascii="Consolas" w:hAnsi="Consolas"/>
          <w:b w:val="0"/>
          <w:i w:val="0"/>
          <w:color w:val="0F2B5C"/>
          <w:sz w:val="21"/>
        </w:rPr>
        <w:t>cloudshield.service</w:t>
      </w:r>
      <w:r>
        <w:rPr>
          <w:rFonts w:ascii="Times New Roman" w:hAnsi="Times New Roman"/>
          <w:b w:val="0"/>
          <w:i w:val="0"/>
          <w:color w:val="1F2937"/>
          <w:sz w:val="24"/>
        </w:rPr>
        <w:t>) under the Uvicorn ASGI server. The service enforces automatic crash restarts (</w:t>
      </w:r>
      <w:r>
        <w:rPr>
          <w:rFonts w:ascii="Consolas" w:hAnsi="Consolas"/>
          <w:b w:val="0"/>
          <w:i w:val="0"/>
          <w:color w:val="0F2B5C"/>
          <w:sz w:val="21"/>
        </w:rPr>
        <w:t>Restart=always</w:t>
      </w:r>
      <w:r>
        <w:rPr>
          <w:rFonts w:ascii="Times New Roman" w:hAnsi="Times New Roman"/>
          <w:b w:val="0"/>
          <w:i w:val="0"/>
          <w:color w:val="1F2937"/>
          <w:sz w:val="24"/>
        </w:rPr>
        <w:t>), sandboxed user execution (`User=ec2-user`), and standard stdout/stderr descriptor piping.</w:t>
      </w:r>
      <w:r>
        <w:br/>
      </w:r>
      <w:r>
        <w:rPr>
          <w:rFonts w:ascii="Times New Roman" w:hAnsi="Times New Roman"/>
          <w:b w:val="0"/>
          <w:i w:val="0"/>
          <w:color w:val="1F2937"/>
          <w:sz w:val="24"/>
        </w:rPr>
        <w:t xml:space="preserve">• </w:t>
      </w:r>
      <w:r>
        <w:rPr>
          <w:rFonts w:ascii="Times New Roman" w:hAnsi="Times New Roman"/>
          <w:b/>
          <w:i w:val="0"/>
          <w:color w:val="1F2937"/>
          <w:sz w:val="24"/>
        </w:rPr>
        <w:t>Architectural Justification:</w:t>
      </w:r>
      <w:r>
        <w:rPr>
          <w:rFonts w:ascii="Times New Roman" w:hAnsi="Times New Roman"/>
          <w:b w:val="0"/>
          <w:i w:val="0"/>
          <w:color w:val="1F2937"/>
          <w:sz w:val="24"/>
        </w:rPr>
        <w:t xml:space="preserve"> Dedicated compute eliminates the cold-start latencies inherent in serverless architectures (such as AWS Lambda cold starts of 1.5 to 3 seconds), ensuring immediate API readiness when hundreds of field coordinators access the system.</w:t>
      </w:r>
    </w:p>
    <w:p>
      <w:pPr>
        <w:pStyle w:val="Heading2"/>
        <w:keepNext/>
        <w:spacing w:before="200" w:after="80"/>
      </w:pPr>
      <w:r>
        <w:rPr>
          <w:rFonts w:ascii="Times New Roman" w:hAnsi="Times New Roman"/>
          <w:b/>
          <w:i w:val="0"/>
          <w:color w:val="1E3A8A"/>
          <w:sz w:val="26"/>
        </w:rPr>
        <w:t>7.3 Amazon EBS (Elastic Block Store): ACID Transactional Durability</w:t>
      </w:r>
    </w:p>
    <w:p>
      <w:pPr>
        <w:spacing w:before="0" w:after="120" w:line="276" w:lineRule="auto"/>
        <w:jc w:val="both"/>
      </w:pPr>
      <w:r>
        <w:rPr>
          <w:rFonts w:ascii="Times New Roman" w:hAnsi="Times New Roman"/>
          <w:b w:val="0"/>
          <w:i w:val="0"/>
          <w:color w:val="1F2937"/>
          <w:sz w:val="24"/>
        </w:rPr>
        <w:t xml:space="preserve">• </w:t>
      </w:r>
      <w:r>
        <w:rPr>
          <w:rFonts w:ascii="Times New Roman" w:hAnsi="Times New Roman"/>
          <w:b/>
          <w:i w:val="0"/>
          <w:color w:val="1F2937"/>
          <w:sz w:val="24"/>
        </w:rPr>
        <w:t>Volume Configuration:</w:t>
      </w:r>
      <w:r>
        <w:rPr>
          <w:rFonts w:ascii="Times New Roman" w:hAnsi="Times New Roman"/>
          <w:b w:val="0"/>
          <w:i w:val="0"/>
          <w:color w:val="1F2937"/>
          <w:sz w:val="24"/>
        </w:rPr>
        <w:t xml:space="preserve"> An 8 GB General Purpose SSD (</w:t>
      </w:r>
      <w:r>
        <w:rPr>
          <w:rFonts w:ascii="Consolas" w:hAnsi="Consolas"/>
          <w:b w:val="0"/>
          <w:i w:val="0"/>
          <w:color w:val="0F2B5C"/>
          <w:sz w:val="21"/>
        </w:rPr>
        <w:t>gp3</w:t>
      </w:r>
      <w:r>
        <w:rPr>
          <w:rFonts w:ascii="Times New Roman" w:hAnsi="Times New Roman"/>
          <w:b w:val="0"/>
          <w:i w:val="0"/>
          <w:color w:val="1F2937"/>
          <w:sz w:val="24"/>
        </w:rPr>
        <w:t>) volume attached as root block storage (</w:t>
      </w:r>
      <w:r>
        <w:rPr>
          <w:rFonts w:ascii="Consolas" w:hAnsi="Consolas"/>
          <w:b w:val="0"/>
          <w:i w:val="0"/>
          <w:color w:val="0F2B5C"/>
          <w:sz w:val="21"/>
        </w:rPr>
        <w:t>/dev/xvda</w:t>
      </w:r>
      <w:r>
        <w:rPr>
          <w:rFonts w:ascii="Times New Roman" w:hAnsi="Times New Roman"/>
          <w:b w:val="0"/>
          <w:i w:val="0"/>
          <w:color w:val="1F2937"/>
          <w:sz w:val="24"/>
        </w:rPr>
        <w:t>).</w:t>
      </w:r>
      <w:r>
        <w:br/>
      </w:r>
      <w:r>
        <w:rPr>
          <w:rFonts w:ascii="Times New Roman" w:hAnsi="Times New Roman"/>
          <w:b w:val="0"/>
          <w:i w:val="0"/>
          <w:color w:val="1F2937"/>
          <w:sz w:val="24"/>
        </w:rPr>
        <w:t xml:space="preserve">• </w:t>
      </w:r>
      <w:r>
        <w:rPr>
          <w:rFonts w:ascii="Times New Roman" w:hAnsi="Times New Roman"/>
          <w:b/>
          <w:i w:val="0"/>
          <w:color w:val="1F2937"/>
          <w:sz w:val="24"/>
        </w:rPr>
        <w:t>Performance Baseline:</w:t>
      </w:r>
      <w:r>
        <w:rPr>
          <w:rFonts w:ascii="Times New Roman" w:hAnsi="Times New Roman"/>
          <w:b w:val="0"/>
          <w:i w:val="0"/>
          <w:color w:val="1F2937"/>
          <w:sz w:val="24"/>
        </w:rPr>
        <w:t xml:space="preserve"> Provisioned with 3,000 IOPS and 125 MB/s baseline throughput, completely decoupled from storage capacity.</w:t>
      </w:r>
      <w:r>
        <w:br/>
      </w:r>
      <w:r>
        <w:rPr>
          <w:rFonts w:ascii="Times New Roman" w:hAnsi="Times New Roman"/>
          <w:b w:val="0"/>
          <w:i w:val="0"/>
          <w:color w:val="1F2937"/>
          <w:sz w:val="24"/>
        </w:rPr>
        <w:t xml:space="preserve">• </w:t>
      </w:r>
      <w:r>
        <w:rPr>
          <w:rFonts w:ascii="Times New Roman" w:hAnsi="Times New Roman"/>
          <w:b/>
          <w:i w:val="0"/>
          <w:color w:val="1F2937"/>
          <w:sz w:val="24"/>
        </w:rPr>
        <w:t>Database Persistence:</w:t>
      </w:r>
      <w:r>
        <w:rPr>
          <w:rFonts w:ascii="Times New Roman" w:hAnsi="Times New Roman"/>
          <w:b w:val="0"/>
          <w:i w:val="0"/>
          <w:color w:val="1F2937"/>
          <w:sz w:val="24"/>
        </w:rPr>
        <w:t xml:space="preserve"> Hosts the SQLite database (</w:t>
      </w:r>
      <w:r>
        <w:rPr>
          <w:rFonts w:ascii="Consolas" w:hAnsi="Consolas"/>
          <w:b w:val="0"/>
          <w:i w:val="0"/>
          <w:color w:val="0F2B5C"/>
          <w:sz w:val="21"/>
        </w:rPr>
        <w:t>cloudshield.db</w:t>
      </w:r>
      <w:r>
        <w:rPr>
          <w:rFonts w:ascii="Times New Roman" w:hAnsi="Times New Roman"/>
          <w:b w:val="0"/>
          <w:i w:val="0"/>
          <w:color w:val="1F2937"/>
          <w:sz w:val="24"/>
        </w:rPr>
        <w:t>) configured with Write-Ahead Logging (WAL mode), enabling non-blocking concurrent readers while maintaining ACID-compliant transactional atomicity for stock decrement commitments.</w:t>
      </w:r>
      <w:r>
        <w:br/>
      </w:r>
      <w:r>
        <w:rPr>
          <w:rFonts w:ascii="Times New Roman" w:hAnsi="Times New Roman"/>
          <w:b w:val="0"/>
          <w:i w:val="0"/>
          <w:color w:val="1F2937"/>
          <w:sz w:val="24"/>
        </w:rPr>
        <w:t xml:space="preserve">• </w:t>
      </w:r>
      <w:r>
        <w:rPr>
          <w:rFonts w:ascii="Times New Roman" w:hAnsi="Times New Roman"/>
          <w:b/>
          <w:i w:val="0"/>
          <w:color w:val="1F2937"/>
          <w:sz w:val="24"/>
        </w:rPr>
        <w:t>Architectural Justification:</w:t>
      </w:r>
      <w:r>
        <w:rPr>
          <w:rFonts w:ascii="Times New Roman" w:hAnsi="Times New Roman"/>
          <w:b w:val="0"/>
          <w:i w:val="0"/>
          <w:color w:val="1F2937"/>
          <w:sz w:val="24"/>
        </w:rPr>
        <w:t xml:space="preserve"> Guarantees zero data loss across operating system reboots, hardware hypervisor migrations, or accidental application crashes.</w:t>
      </w:r>
    </w:p>
    <w:p>
      <w:pPr>
        <w:pStyle w:val="Heading2"/>
        <w:keepNext/>
        <w:spacing w:before="200" w:after="80"/>
      </w:pPr>
      <w:r>
        <w:rPr>
          <w:rFonts w:ascii="Times New Roman" w:hAnsi="Times New Roman"/>
          <w:b/>
          <w:i w:val="0"/>
          <w:color w:val="1E3A8A"/>
          <w:sz w:val="26"/>
        </w:rPr>
        <w:t>7.4 Amazon S3 (Simple Storage Service): Encrypted Disaster Backup &amp; Artifact Archival</w:t>
      </w:r>
    </w:p>
    <w:p>
      <w:pPr>
        <w:spacing w:before="0" w:after="120" w:line="276" w:lineRule="auto"/>
        <w:jc w:val="both"/>
      </w:pPr>
      <w:r>
        <w:rPr>
          <w:rFonts w:ascii="Times New Roman" w:hAnsi="Times New Roman"/>
          <w:b w:val="0"/>
          <w:i w:val="0"/>
          <w:color w:val="1F2937"/>
          <w:sz w:val="24"/>
        </w:rPr>
        <w:t xml:space="preserve">• </w:t>
      </w:r>
      <w:r>
        <w:rPr>
          <w:rFonts w:ascii="Times New Roman" w:hAnsi="Times New Roman"/>
          <w:b/>
          <w:i w:val="0"/>
          <w:color w:val="1F2937"/>
          <w:sz w:val="24"/>
        </w:rPr>
        <w:t>Bucket Specification:</w:t>
      </w:r>
      <w:r>
        <w:rPr>
          <w:rFonts w:ascii="Times New Roman" w:hAnsi="Times New Roman"/>
          <w:b w:val="0"/>
          <w:i w:val="0"/>
          <w:color w:val="1F2937"/>
          <w:sz w:val="24"/>
        </w:rPr>
        <w:t xml:space="preserve"> Hosted in private S3 bucket </w:t>
      </w:r>
      <w:r>
        <w:rPr>
          <w:rFonts w:ascii="Consolas" w:hAnsi="Consolas"/>
          <w:b w:val="0"/>
          <w:i w:val="0"/>
          <w:color w:val="0F2B5C"/>
          <w:sz w:val="21"/>
        </w:rPr>
        <w:t>cloudshield-artifacts-206238482111-ap-southeast-2</w:t>
      </w:r>
      <w:r>
        <w:rPr>
          <w:rFonts w:ascii="Times New Roman" w:hAnsi="Times New Roman"/>
          <w:b w:val="0"/>
          <w:i w:val="0"/>
          <w:color w:val="1F2937"/>
          <w:sz w:val="24"/>
        </w:rPr>
        <w:t xml:space="preserve"> with public access strictly blocked at the account and bucket level.</w:t>
      </w:r>
      <w:r>
        <w:br/>
      </w:r>
      <w:r>
        <w:rPr>
          <w:rFonts w:ascii="Times New Roman" w:hAnsi="Times New Roman"/>
          <w:b w:val="0"/>
          <w:i w:val="0"/>
          <w:color w:val="1F2937"/>
          <w:sz w:val="24"/>
        </w:rPr>
        <w:t xml:space="preserve">• </w:t>
      </w:r>
      <w:r>
        <w:rPr>
          <w:rFonts w:ascii="Times New Roman" w:hAnsi="Times New Roman"/>
          <w:b/>
          <w:i w:val="0"/>
          <w:color w:val="1F2937"/>
          <w:sz w:val="24"/>
        </w:rPr>
        <w:t>Automated Hot Backup Protocol:</w:t>
      </w:r>
      <w:r>
        <w:rPr>
          <w:rFonts w:ascii="Times New Roman" w:hAnsi="Times New Roman"/>
          <w:b w:val="0"/>
          <w:i w:val="0"/>
          <w:color w:val="1F2937"/>
          <w:sz w:val="24"/>
        </w:rPr>
        <w:t xml:space="preserve"> A systemd timer triggers an automated hourly backup script. The script executes an online hot database dump using SQLite’s native online backup API (</w:t>
      </w:r>
      <w:r>
        <w:rPr>
          <w:rFonts w:ascii="Consolas" w:hAnsi="Consolas"/>
          <w:b w:val="0"/>
          <w:i w:val="0"/>
          <w:color w:val="0F2B5C"/>
          <w:sz w:val="21"/>
        </w:rPr>
        <w:t>sqlite3 cloudshield.db ".backup 'cloudshield_backup_TIMESTAMP.db'"</w:t>
      </w:r>
      <w:r>
        <w:rPr>
          <w:rFonts w:ascii="Times New Roman" w:hAnsi="Times New Roman"/>
          <w:b w:val="0"/>
          <w:i w:val="0"/>
          <w:color w:val="1F2937"/>
          <w:sz w:val="24"/>
        </w:rPr>
        <w:t>), encrypts the image with AES-256 server-side encryption (SSE-S3), and pushes it to the S3 bucket.</w:t>
      </w:r>
      <w:r>
        <w:br/>
      </w:r>
      <w:r>
        <w:rPr>
          <w:rFonts w:ascii="Times New Roman" w:hAnsi="Times New Roman"/>
          <w:b w:val="0"/>
          <w:i w:val="0"/>
          <w:color w:val="1F2937"/>
          <w:sz w:val="24"/>
        </w:rPr>
        <w:t xml:space="preserve">• </w:t>
      </w:r>
      <w:r>
        <w:rPr>
          <w:rFonts w:ascii="Times New Roman" w:hAnsi="Times New Roman"/>
          <w:b/>
          <w:i w:val="0"/>
          <w:color w:val="1F2937"/>
          <w:sz w:val="24"/>
        </w:rPr>
        <w:t>Lifecycle Governance:</w:t>
      </w:r>
      <w:r>
        <w:rPr>
          <w:rFonts w:ascii="Times New Roman" w:hAnsi="Times New Roman"/>
          <w:b w:val="0"/>
          <w:i w:val="0"/>
          <w:color w:val="1F2937"/>
          <w:sz w:val="24"/>
        </w:rPr>
        <w:t xml:space="preserve"> An automated S3 Lifecycle Rule permanently expires and prunes backup objects older than 7 days, preventing cumulative storage bloat and ensuring zero ongoing costs.</w:t>
      </w:r>
      <w:r>
        <w:br/>
      </w:r>
      <w:r>
        <w:rPr>
          <w:rFonts w:ascii="Times New Roman" w:hAnsi="Times New Roman"/>
          <w:b w:val="0"/>
          <w:i w:val="0"/>
          <w:color w:val="1F2937"/>
          <w:sz w:val="24"/>
        </w:rPr>
        <w:t xml:space="preserve">• </w:t>
      </w:r>
      <w:r>
        <w:rPr>
          <w:rFonts w:ascii="Times New Roman" w:hAnsi="Times New Roman"/>
          <w:b/>
          <w:i w:val="0"/>
          <w:color w:val="1F2937"/>
          <w:sz w:val="24"/>
        </w:rPr>
        <w:t>Architectural Justification:</w:t>
      </w:r>
      <w:r>
        <w:rPr>
          <w:rFonts w:ascii="Times New Roman" w:hAnsi="Times New Roman"/>
          <w:b w:val="0"/>
          <w:i w:val="0"/>
          <w:color w:val="1F2937"/>
          <w:sz w:val="24"/>
        </w:rPr>
        <w:t xml:space="preserve"> Delivers 99.999999999% (11 9's) data durability, guaranteeing that even if the primary EC2 datacenter suffers complete physical destruction, emergency allocation records and audit ledgers survive intact.</w:t>
      </w:r>
    </w:p>
    <w:p>
      <w:pPr>
        <w:pStyle w:val="Heading2"/>
        <w:keepNext/>
        <w:spacing w:before="200" w:after="80"/>
      </w:pPr>
      <w:r>
        <w:rPr>
          <w:rFonts w:ascii="Times New Roman" w:hAnsi="Times New Roman"/>
          <w:b/>
          <w:i w:val="0"/>
          <w:color w:val="1E3A8A"/>
          <w:sz w:val="26"/>
        </w:rPr>
        <w:t>7.5 Amazon SNS (Simple Notification Service): Real-Time Alert Broadcast Fanout</w:t>
      </w:r>
    </w:p>
    <w:p>
      <w:pPr>
        <w:spacing w:before="0" w:after="120" w:line="276" w:lineRule="auto"/>
        <w:jc w:val="both"/>
      </w:pPr>
      <w:r>
        <w:rPr>
          <w:rFonts w:ascii="Times New Roman" w:hAnsi="Times New Roman"/>
          <w:b w:val="0"/>
          <w:i w:val="0"/>
          <w:color w:val="1F2937"/>
          <w:sz w:val="24"/>
        </w:rPr>
        <w:t xml:space="preserve">• </w:t>
      </w:r>
      <w:r>
        <w:rPr>
          <w:rFonts w:ascii="Times New Roman" w:hAnsi="Times New Roman"/>
          <w:b/>
          <w:i w:val="0"/>
          <w:color w:val="1F2937"/>
          <w:sz w:val="24"/>
        </w:rPr>
        <w:t>Topic Configuration:</w:t>
      </w:r>
      <w:r>
        <w:rPr>
          <w:rFonts w:ascii="Times New Roman" w:hAnsi="Times New Roman"/>
          <w:b w:val="0"/>
          <w:i w:val="0"/>
          <w:color w:val="1F2937"/>
          <w:sz w:val="24"/>
        </w:rPr>
        <w:t xml:space="preserve"> Standard SNS Topic </w:t>
      </w:r>
      <w:r>
        <w:rPr>
          <w:rFonts w:ascii="Consolas" w:hAnsi="Consolas"/>
          <w:b w:val="0"/>
          <w:i w:val="0"/>
          <w:color w:val="0F2B5C"/>
          <w:sz w:val="21"/>
        </w:rPr>
        <w:t>CloudShield-Disaster-Alerts</w:t>
      </w:r>
      <w:r>
        <w:rPr>
          <w:rFonts w:ascii="Times New Roman" w:hAnsi="Times New Roman"/>
          <w:b w:val="0"/>
          <w:i w:val="0"/>
          <w:color w:val="1F2937"/>
          <w:sz w:val="24"/>
        </w:rPr>
        <w:t xml:space="preserve"> (ARN: </w:t>
      </w:r>
      <w:r>
        <w:rPr>
          <w:rFonts w:ascii="Consolas" w:hAnsi="Consolas"/>
          <w:b w:val="0"/>
          <w:i w:val="0"/>
          <w:color w:val="0F2B5C"/>
          <w:sz w:val="21"/>
        </w:rPr>
        <w:t>arn:aws:sns:ap-southeast-2:206238482111:CloudShield-Disaster-Alerts</w:t>
      </w:r>
      <w:r>
        <w:rPr>
          <w:rFonts w:ascii="Times New Roman" w:hAnsi="Times New Roman"/>
          <w:b w:val="0"/>
          <w:i w:val="0"/>
          <w:color w:val="1F2937"/>
          <w:sz w:val="24"/>
        </w:rPr>
        <w:t>).</w:t>
      </w:r>
      <w:r>
        <w:br/>
      </w:r>
      <w:r>
        <w:rPr>
          <w:rFonts w:ascii="Times New Roman" w:hAnsi="Times New Roman"/>
          <w:b w:val="0"/>
          <w:i w:val="0"/>
          <w:color w:val="1F2937"/>
          <w:sz w:val="24"/>
        </w:rPr>
        <w:t xml:space="preserve">• </w:t>
      </w:r>
      <w:r>
        <w:rPr>
          <w:rFonts w:ascii="Times New Roman" w:hAnsi="Times New Roman"/>
          <w:b/>
          <w:i w:val="0"/>
          <w:color w:val="1F2937"/>
          <w:sz w:val="24"/>
        </w:rPr>
        <w:t>Programmatic Boto3 Trigger:</w:t>
      </w:r>
      <w:r>
        <w:rPr>
          <w:rFonts w:ascii="Times New Roman" w:hAnsi="Times New Roman"/>
          <w:b w:val="0"/>
          <w:i w:val="0"/>
          <w:color w:val="1F2937"/>
          <w:sz w:val="24"/>
        </w:rPr>
        <w:t xml:space="preserve"> The backend application integrates the official AWS Boto3 SDK. Whenever a regional DPRI score crosses the emergency threshold of 0.75, or when an allocation plan is committed to </w:t>
      </w:r>
      <w:r>
        <w:rPr>
          <w:rFonts w:ascii="Consolas" w:hAnsi="Consolas"/>
          <w:b w:val="0"/>
          <w:i w:val="0"/>
          <w:color w:val="0F2B5C"/>
          <w:sz w:val="21"/>
        </w:rPr>
        <w:t>APPROVED</w:t>
      </w:r>
      <w:r>
        <w:rPr>
          <w:rFonts w:ascii="Times New Roman" w:hAnsi="Times New Roman"/>
          <w:b w:val="0"/>
          <w:i w:val="0"/>
          <w:color w:val="1F2937"/>
          <w:sz w:val="24"/>
        </w:rPr>
        <w:t>, the backend dispatches a structured JSON alert payload.</w:t>
      </w:r>
      <w:r>
        <w:br/>
      </w:r>
      <w:r>
        <w:rPr>
          <w:rFonts w:ascii="Times New Roman" w:hAnsi="Times New Roman"/>
          <w:b w:val="0"/>
          <w:i w:val="0"/>
          <w:color w:val="1F2937"/>
          <w:sz w:val="24"/>
        </w:rPr>
        <w:t xml:space="preserve">• </w:t>
      </w:r>
      <w:r>
        <w:rPr>
          <w:rFonts w:ascii="Times New Roman" w:hAnsi="Times New Roman"/>
          <w:b/>
          <w:i w:val="0"/>
          <w:color w:val="1F2937"/>
          <w:sz w:val="24"/>
        </w:rPr>
        <w:t>Multi-Channel Fanout:</w:t>
      </w:r>
      <w:r>
        <w:rPr>
          <w:rFonts w:ascii="Times New Roman" w:hAnsi="Times New Roman"/>
          <w:b w:val="0"/>
          <w:i w:val="0"/>
          <w:color w:val="1F2937"/>
          <w:sz w:val="24"/>
        </w:rPr>
        <w:t xml:space="preserve"> Subscribers receive instant notifications across email, SMS, and HTTPS webhooks connected to civil defense emergency centers and NDRF rescue battalions.</w:t>
      </w:r>
      <w:r>
        <w:br/>
      </w:r>
      <w:r>
        <w:rPr>
          <w:rFonts w:ascii="Times New Roman" w:hAnsi="Times New Roman"/>
          <w:b w:val="0"/>
          <w:i w:val="0"/>
          <w:color w:val="1F2937"/>
          <w:sz w:val="24"/>
        </w:rPr>
        <w:t xml:space="preserve">• </w:t>
      </w:r>
      <w:r>
        <w:rPr>
          <w:rFonts w:ascii="Times New Roman" w:hAnsi="Times New Roman"/>
          <w:b/>
          <w:i w:val="0"/>
          <w:color w:val="1F2937"/>
          <w:sz w:val="24"/>
        </w:rPr>
        <w:t>Architectural Justification:</w:t>
      </w:r>
      <w:r>
        <w:rPr>
          <w:rFonts w:ascii="Times New Roman" w:hAnsi="Times New Roman"/>
          <w:b w:val="0"/>
          <w:i w:val="0"/>
          <w:color w:val="1F2937"/>
          <w:sz w:val="24"/>
        </w:rPr>
        <w:t xml:space="preserve"> Eliminates fragile, manual telephone calling trees, broadcasting mission-critical evacuation and dispatch alerts across thousands of responders in sub-second timeframes.</w:t>
      </w:r>
    </w:p>
    <w:p>
      <w:pPr>
        <w:pStyle w:val="Heading2"/>
        <w:keepNext/>
        <w:spacing w:before="200" w:after="80"/>
      </w:pPr>
      <w:r>
        <w:rPr>
          <w:rFonts w:ascii="Times New Roman" w:hAnsi="Times New Roman"/>
          <w:b/>
          <w:i w:val="0"/>
          <w:color w:val="1E3A8A"/>
          <w:sz w:val="26"/>
        </w:rPr>
        <w:t>7.6 Amazon CloudWatch: Unified Operational Observability &amp; Forensics</w:t>
      </w:r>
    </w:p>
    <w:p>
      <w:pPr>
        <w:spacing w:before="0" w:after="120" w:line="276" w:lineRule="auto"/>
        <w:jc w:val="both"/>
      </w:pPr>
      <w:r>
        <w:rPr>
          <w:rFonts w:ascii="Times New Roman" w:hAnsi="Times New Roman"/>
          <w:b w:val="0"/>
          <w:i w:val="0"/>
          <w:color w:val="1F2937"/>
          <w:sz w:val="24"/>
        </w:rPr>
        <w:t xml:space="preserve">• </w:t>
      </w:r>
      <w:r>
        <w:rPr>
          <w:rFonts w:ascii="Times New Roman" w:hAnsi="Times New Roman"/>
          <w:b/>
          <w:i w:val="0"/>
          <w:color w:val="1F2937"/>
          <w:sz w:val="24"/>
        </w:rPr>
        <w:t>Log Group Architecture:</w:t>
      </w:r>
      <w:r>
        <w:rPr>
          <w:rFonts w:ascii="Times New Roman" w:hAnsi="Times New Roman"/>
          <w:b w:val="0"/>
          <w:i w:val="0"/>
          <w:color w:val="1F2937"/>
          <w:sz w:val="24"/>
        </w:rPr>
        <w:t xml:space="preserve"> Dedicated CloudWatch Log Group </w:t>
      </w:r>
      <w:r>
        <w:rPr>
          <w:rFonts w:ascii="Consolas" w:hAnsi="Consolas"/>
          <w:b w:val="0"/>
          <w:i w:val="0"/>
          <w:color w:val="0F2B5C"/>
          <w:sz w:val="21"/>
        </w:rPr>
        <w:t>/cloudshield/application</w:t>
      </w:r>
      <w:r>
        <w:rPr>
          <w:rFonts w:ascii="Times New Roman" w:hAnsi="Times New Roman"/>
          <w:b w:val="0"/>
          <w:i w:val="0"/>
          <w:color w:val="1F2937"/>
          <w:sz w:val="24"/>
        </w:rPr>
        <w:t xml:space="preserve"> in the Sydney region.</w:t>
      </w:r>
      <w:r>
        <w:br/>
      </w:r>
      <w:r>
        <w:rPr>
          <w:rFonts w:ascii="Times New Roman" w:hAnsi="Times New Roman"/>
          <w:b w:val="0"/>
          <w:i w:val="0"/>
          <w:color w:val="1F2937"/>
          <w:sz w:val="24"/>
        </w:rPr>
        <w:t xml:space="preserve">• </w:t>
      </w:r>
      <w:r>
        <w:rPr>
          <w:rFonts w:ascii="Times New Roman" w:hAnsi="Times New Roman"/>
          <w:b/>
          <w:i w:val="0"/>
          <w:color w:val="1F2937"/>
          <w:sz w:val="24"/>
        </w:rPr>
        <w:t>Stream Ingestion:</w:t>
      </w:r>
      <w:r>
        <w:rPr>
          <w:rFonts w:ascii="Times New Roman" w:hAnsi="Times New Roman"/>
          <w:b w:val="0"/>
          <w:i w:val="0"/>
          <w:color w:val="1F2937"/>
          <w:sz w:val="24"/>
        </w:rPr>
        <w:t xml:space="preserve"> Captures unified stdout and stderr application output via the unified AWS CloudWatch Logs Agent, recording every API transaction, execution latency, DPRI calculation, and authentication failure.</w:t>
      </w:r>
      <w:r>
        <w:br/>
      </w:r>
      <w:r>
        <w:rPr>
          <w:rFonts w:ascii="Times New Roman" w:hAnsi="Times New Roman"/>
          <w:b w:val="0"/>
          <w:i w:val="0"/>
          <w:color w:val="1F2937"/>
          <w:sz w:val="24"/>
        </w:rPr>
        <w:t xml:space="preserve">• </w:t>
      </w:r>
      <w:r>
        <w:rPr>
          <w:rFonts w:ascii="Times New Roman" w:hAnsi="Times New Roman"/>
          <w:b/>
          <w:i w:val="0"/>
          <w:color w:val="1F2937"/>
          <w:sz w:val="24"/>
        </w:rPr>
        <w:t>Metric Filters &amp; Alarms:</w:t>
      </w:r>
      <w:r>
        <w:rPr>
          <w:rFonts w:ascii="Times New Roman" w:hAnsi="Times New Roman"/>
          <w:b w:val="0"/>
          <w:i w:val="0"/>
          <w:color w:val="1F2937"/>
          <w:sz w:val="24"/>
        </w:rPr>
        <w:t xml:space="preserve"> Configured with automated metric filters monitoring HTTP 5xx server exceptions and unserviceable demand escalations, sounding alarms if application health degrades.</w:t>
      </w:r>
      <w:r>
        <w:br/>
      </w:r>
      <w:r>
        <w:rPr>
          <w:rFonts w:ascii="Times New Roman" w:hAnsi="Times New Roman"/>
          <w:b w:val="0"/>
          <w:i w:val="0"/>
          <w:color w:val="1F2937"/>
          <w:sz w:val="24"/>
        </w:rPr>
        <w:t xml:space="preserve">• </w:t>
      </w:r>
      <w:r>
        <w:rPr>
          <w:rFonts w:ascii="Times New Roman" w:hAnsi="Times New Roman"/>
          <w:b/>
          <w:i w:val="0"/>
          <w:color w:val="1F2937"/>
          <w:sz w:val="24"/>
        </w:rPr>
        <w:t>Architectural Justification:</w:t>
      </w:r>
      <w:r>
        <w:rPr>
          <w:rFonts w:ascii="Times New Roman" w:hAnsi="Times New Roman"/>
          <w:b w:val="0"/>
          <w:i w:val="0"/>
          <w:color w:val="1F2937"/>
          <w:sz w:val="24"/>
        </w:rPr>
        <w:t xml:space="preserve"> Provides post-disaster accountability, transparent operational visibility, and forensic legal compliance required for government inquiries.</w:t>
      </w:r>
    </w:p>
    <w:p>
      <w:pPr>
        <w:pStyle w:val="Heading2"/>
        <w:keepNext/>
        <w:spacing w:before="200" w:after="80"/>
      </w:pPr>
      <w:r>
        <w:rPr>
          <w:rFonts w:ascii="Times New Roman" w:hAnsi="Times New Roman"/>
          <w:b/>
          <w:i w:val="0"/>
          <w:color w:val="1E3A8A"/>
          <w:sz w:val="26"/>
        </w:rPr>
        <w:t>7.7 AWS Identity &amp; Access Management (IAM): Least-Privilege Security Hardening</w:t>
      </w:r>
    </w:p>
    <w:p>
      <w:pPr>
        <w:spacing w:before="0" w:after="120" w:line="276" w:lineRule="auto"/>
        <w:jc w:val="both"/>
      </w:pPr>
      <w:r>
        <w:rPr>
          <w:rFonts w:ascii="Times New Roman" w:hAnsi="Times New Roman"/>
          <w:b w:val="0"/>
          <w:i w:val="0"/>
          <w:color w:val="1F2937"/>
          <w:sz w:val="24"/>
        </w:rPr>
        <w:t xml:space="preserve">• </w:t>
      </w:r>
      <w:r>
        <w:rPr>
          <w:rFonts w:ascii="Times New Roman" w:hAnsi="Times New Roman"/>
          <w:b/>
          <w:i w:val="0"/>
          <w:color w:val="1F2937"/>
          <w:sz w:val="24"/>
        </w:rPr>
        <w:t>Instance Profile &amp; IAM Role:</w:t>
      </w:r>
      <w:r>
        <w:rPr>
          <w:rFonts w:ascii="Times New Roman" w:hAnsi="Times New Roman"/>
          <w:b w:val="0"/>
          <w:i w:val="0"/>
          <w:color w:val="1F2937"/>
          <w:sz w:val="24"/>
        </w:rPr>
        <w:t xml:space="preserve"> The EC2 instance is attached to role </w:t>
      </w:r>
      <w:r>
        <w:rPr>
          <w:rFonts w:ascii="Consolas" w:hAnsi="Consolas"/>
          <w:b w:val="0"/>
          <w:i w:val="0"/>
          <w:color w:val="0F2B5C"/>
          <w:sz w:val="21"/>
        </w:rPr>
        <w:t>CloudShieldEC2AppRole</w:t>
      </w:r>
      <w:r>
        <w:rPr>
          <w:rFonts w:ascii="Times New Roman" w:hAnsi="Times New Roman"/>
          <w:b w:val="0"/>
          <w:i w:val="0"/>
          <w:color w:val="1F2937"/>
          <w:sz w:val="24"/>
        </w:rPr>
        <w:t xml:space="preserve"> via instance profile </w:t>
      </w:r>
      <w:r>
        <w:rPr>
          <w:rFonts w:ascii="Consolas" w:hAnsi="Consolas"/>
          <w:b w:val="0"/>
          <w:i w:val="0"/>
          <w:color w:val="0F2B5C"/>
          <w:sz w:val="21"/>
        </w:rPr>
        <w:t>CloudShieldEC2Profile</w:t>
      </w:r>
      <w:r>
        <w:rPr>
          <w:rFonts w:ascii="Times New Roman" w:hAnsi="Times New Roman"/>
          <w:b w:val="0"/>
          <w:i w:val="0"/>
          <w:color w:val="1F2937"/>
          <w:sz w:val="24"/>
        </w:rPr>
        <w:t>.</w:t>
      </w:r>
      <w:r>
        <w:br/>
      </w:r>
      <w:r>
        <w:rPr>
          <w:rFonts w:ascii="Times New Roman" w:hAnsi="Times New Roman"/>
          <w:b w:val="0"/>
          <w:i w:val="0"/>
          <w:color w:val="1F2937"/>
          <w:sz w:val="24"/>
        </w:rPr>
        <w:t xml:space="preserve">• </w:t>
      </w:r>
      <w:r>
        <w:rPr>
          <w:rFonts w:ascii="Times New Roman" w:hAnsi="Times New Roman"/>
          <w:b/>
          <w:i w:val="0"/>
          <w:color w:val="1F2937"/>
          <w:sz w:val="24"/>
        </w:rPr>
        <w:t>Zero Hardcoded Secrets:</w:t>
      </w:r>
      <w:r>
        <w:rPr>
          <w:rFonts w:ascii="Times New Roman" w:hAnsi="Times New Roman"/>
          <w:b w:val="0"/>
          <w:i w:val="0"/>
          <w:color w:val="1F2937"/>
          <w:sz w:val="24"/>
        </w:rPr>
        <w:t xml:space="preserve"> Source code and server configuration contain strictly zero AWS access keys or secret tokens. Credentials are dynamically acquired through the EC2 Instance Metadata Service.</w:t>
      </w:r>
      <w:r>
        <w:br/>
      </w:r>
      <w:r>
        <w:rPr>
          <w:rFonts w:ascii="Times New Roman" w:hAnsi="Times New Roman"/>
          <w:b w:val="0"/>
          <w:i w:val="0"/>
          <w:color w:val="1F2937"/>
          <w:sz w:val="24"/>
        </w:rPr>
        <w:t xml:space="preserve">• </w:t>
      </w:r>
      <w:r>
        <w:rPr>
          <w:rFonts w:ascii="Times New Roman" w:hAnsi="Times New Roman"/>
          <w:b/>
          <w:i w:val="0"/>
          <w:color w:val="1F2937"/>
          <w:sz w:val="24"/>
        </w:rPr>
        <w:t>Enforcement of IMDSv2:</w:t>
      </w:r>
      <w:r>
        <w:rPr>
          <w:rFonts w:ascii="Times New Roman" w:hAnsi="Times New Roman"/>
          <w:b w:val="0"/>
          <w:i w:val="0"/>
          <w:color w:val="1F2937"/>
          <w:sz w:val="24"/>
        </w:rPr>
        <w:t xml:space="preserve"> Instance metadata requires token-oriented session authentication (IMDSv2, </w:t>
      </w:r>
      <w:r>
        <w:rPr>
          <w:rFonts w:ascii="Consolas" w:hAnsi="Consolas"/>
          <w:b w:val="0"/>
          <w:i w:val="0"/>
          <w:color w:val="0F2B5C"/>
          <w:sz w:val="21"/>
        </w:rPr>
        <w:t>HttpTokens=required</w:t>
      </w:r>
      <w:r>
        <w:rPr>
          <w:rFonts w:ascii="Times New Roman" w:hAnsi="Times New Roman"/>
          <w:b w:val="0"/>
          <w:i w:val="0"/>
          <w:color w:val="1F2937"/>
          <w:sz w:val="24"/>
        </w:rPr>
        <w:t xml:space="preserve">, </w:t>
      </w:r>
      <w:r>
        <w:rPr>
          <w:rFonts w:ascii="Consolas" w:hAnsi="Consolas"/>
          <w:b w:val="0"/>
          <w:i w:val="0"/>
          <w:color w:val="0F2B5C"/>
          <w:sz w:val="21"/>
        </w:rPr>
        <w:t>HttpPutResponseHopLimit=1</w:t>
      </w:r>
      <w:r>
        <w:rPr>
          <w:rFonts w:ascii="Times New Roman" w:hAnsi="Times New Roman"/>
          <w:b w:val="0"/>
          <w:i w:val="0"/>
          <w:color w:val="1F2937"/>
          <w:sz w:val="24"/>
        </w:rPr>
        <w:t>), neutralizing Server-Side Request Forgery (SSRF) vulnerabilities.</w:t>
      </w:r>
      <w:r>
        <w:br/>
      </w:r>
      <w:r>
        <w:rPr>
          <w:rFonts w:ascii="Times New Roman" w:hAnsi="Times New Roman"/>
          <w:b w:val="0"/>
          <w:i w:val="0"/>
          <w:color w:val="1F2937"/>
          <w:sz w:val="24"/>
        </w:rPr>
        <w:t xml:space="preserve">• </w:t>
      </w:r>
      <w:r>
        <w:rPr>
          <w:rFonts w:ascii="Times New Roman" w:hAnsi="Times New Roman"/>
          <w:b/>
          <w:i w:val="0"/>
          <w:color w:val="1F2937"/>
          <w:sz w:val="24"/>
        </w:rPr>
        <w:t>Scoped Least-Privilege Policies:</w:t>
      </w:r>
      <w:r>
        <w:rPr>
          <w:rFonts w:ascii="Times New Roman" w:hAnsi="Times New Roman"/>
          <w:b w:val="0"/>
          <w:i w:val="0"/>
          <w:color w:val="1F2937"/>
          <w:sz w:val="24"/>
        </w:rPr>
        <w:t xml:space="preserve"> The IAM policy restricts Boto3 operations strictly to </w:t>
      </w:r>
      <w:r>
        <w:rPr>
          <w:rFonts w:ascii="Consolas" w:hAnsi="Consolas"/>
          <w:b w:val="0"/>
          <w:i w:val="0"/>
          <w:color w:val="0F2B5C"/>
          <w:sz w:val="21"/>
        </w:rPr>
        <w:t>s3:PutObject</w:t>
      </w:r>
      <w:r>
        <w:rPr>
          <w:rFonts w:ascii="Times New Roman" w:hAnsi="Times New Roman"/>
          <w:b w:val="0"/>
          <w:i w:val="0"/>
          <w:color w:val="1F2937"/>
          <w:sz w:val="24"/>
        </w:rPr>
        <w:t xml:space="preserve"> and </w:t>
      </w:r>
      <w:r>
        <w:rPr>
          <w:rFonts w:ascii="Consolas" w:hAnsi="Consolas"/>
          <w:b w:val="0"/>
          <w:i w:val="0"/>
          <w:color w:val="0F2B5C"/>
          <w:sz w:val="21"/>
        </w:rPr>
        <w:t>s3:GetObject</w:t>
      </w:r>
      <w:r>
        <w:rPr>
          <w:rFonts w:ascii="Times New Roman" w:hAnsi="Times New Roman"/>
          <w:b w:val="0"/>
          <w:i w:val="0"/>
          <w:color w:val="1F2937"/>
          <w:sz w:val="24"/>
        </w:rPr>
        <w:t xml:space="preserve"> on the specific CloudShield bucket, </w:t>
      </w:r>
      <w:r>
        <w:rPr>
          <w:rFonts w:ascii="Consolas" w:hAnsi="Consolas"/>
          <w:b w:val="0"/>
          <w:i w:val="0"/>
          <w:color w:val="0F2B5C"/>
          <w:sz w:val="21"/>
        </w:rPr>
        <w:t>sns:Publish</w:t>
      </w:r>
      <w:r>
        <w:rPr>
          <w:rFonts w:ascii="Times New Roman" w:hAnsi="Times New Roman"/>
          <w:b w:val="0"/>
          <w:i w:val="0"/>
          <w:color w:val="1F2937"/>
          <w:sz w:val="24"/>
        </w:rPr>
        <w:t xml:space="preserve"> on the specific alert topic, and </w:t>
      </w:r>
      <w:r>
        <w:rPr>
          <w:rFonts w:ascii="Consolas" w:hAnsi="Consolas"/>
          <w:b w:val="0"/>
          <w:i w:val="0"/>
          <w:color w:val="0F2B5C"/>
          <w:sz w:val="21"/>
        </w:rPr>
        <w:t>logs:PutLogEvents</w:t>
      </w:r>
      <w:r>
        <w:rPr>
          <w:rFonts w:ascii="Times New Roman" w:hAnsi="Times New Roman"/>
          <w:b w:val="0"/>
          <w:i w:val="0"/>
          <w:color w:val="1F2937"/>
          <w:sz w:val="24"/>
        </w:rPr>
        <w:t xml:space="preserve"> on the specific log group.</w:t>
      </w:r>
    </w:p>
    <w:p>
      <w:pPr>
        <w:pStyle w:val="Heading2"/>
        <w:keepNext/>
        <w:spacing w:before="200" w:after="80"/>
      </w:pPr>
      <w:r>
        <w:rPr>
          <w:rFonts w:ascii="Times New Roman" w:hAnsi="Times New Roman"/>
          <w:b/>
          <w:i w:val="0"/>
          <w:color w:val="1E3A8A"/>
          <w:sz w:val="26"/>
        </w:rPr>
        <w:t>7.8 Amazon VPC &amp; Stateful Security Group Ingress Restrictions</w:t>
      </w:r>
    </w:p>
    <w:p>
      <w:pPr>
        <w:spacing w:before="0" w:after="120" w:line="276" w:lineRule="auto"/>
        <w:jc w:val="both"/>
      </w:pPr>
      <w:r>
        <w:rPr>
          <w:rFonts w:ascii="Times New Roman" w:hAnsi="Times New Roman"/>
          <w:b w:val="0"/>
          <w:i w:val="0"/>
          <w:color w:val="1F2937"/>
          <w:sz w:val="24"/>
        </w:rPr>
        <w:t xml:space="preserve">• </w:t>
      </w:r>
      <w:r>
        <w:rPr>
          <w:rFonts w:ascii="Times New Roman" w:hAnsi="Times New Roman"/>
          <w:b/>
          <w:i w:val="0"/>
          <w:color w:val="1F2937"/>
          <w:sz w:val="24"/>
        </w:rPr>
        <w:t>Security Group Specification:</w:t>
      </w:r>
      <w:r>
        <w:rPr>
          <w:rFonts w:ascii="Times New Roman" w:hAnsi="Times New Roman"/>
          <w:b w:val="0"/>
          <w:i w:val="0"/>
          <w:color w:val="1F2937"/>
          <w:sz w:val="24"/>
        </w:rPr>
        <w:t xml:space="preserve"> Stateful virtual firewall </w:t>
      </w:r>
      <w:r>
        <w:rPr>
          <w:rFonts w:ascii="Consolas" w:hAnsi="Consolas"/>
          <w:b w:val="0"/>
          <w:i w:val="0"/>
          <w:color w:val="0F2B5C"/>
          <w:sz w:val="21"/>
        </w:rPr>
        <w:t>cloudshield-app-sg</w:t>
      </w:r>
      <w:r>
        <w:rPr>
          <w:rFonts w:ascii="Times New Roman" w:hAnsi="Times New Roman"/>
          <w:b w:val="0"/>
          <w:i w:val="0"/>
          <w:color w:val="1F2937"/>
          <w:sz w:val="24"/>
        </w:rPr>
        <w:t xml:space="preserve"> (ID: </w:t>
      </w:r>
      <w:r>
        <w:rPr>
          <w:rFonts w:ascii="Consolas" w:hAnsi="Consolas"/>
          <w:b w:val="0"/>
          <w:i w:val="0"/>
          <w:color w:val="0F2B5C"/>
          <w:sz w:val="21"/>
        </w:rPr>
        <w:t>sg-08249050614cb6db9</w:t>
      </w:r>
      <w:r>
        <w:rPr>
          <w:rFonts w:ascii="Times New Roman" w:hAnsi="Times New Roman"/>
          <w:b w:val="0"/>
          <w:i w:val="0"/>
          <w:color w:val="1F2937"/>
          <w:sz w:val="24"/>
        </w:rPr>
        <w:t>).</w:t>
      </w:r>
      <w:r>
        <w:br/>
      </w:r>
      <w:r>
        <w:rPr>
          <w:rFonts w:ascii="Times New Roman" w:hAnsi="Times New Roman"/>
          <w:b w:val="0"/>
          <w:i w:val="0"/>
          <w:color w:val="1F2937"/>
          <w:sz w:val="24"/>
        </w:rPr>
        <w:t xml:space="preserve">• </w:t>
      </w:r>
      <w:r>
        <w:rPr>
          <w:rFonts w:ascii="Times New Roman" w:hAnsi="Times New Roman"/>
          <w:b/>
          <w:i w:val="0"/>
          <w:color w:val="1F2937"/>
          <w:sz w:val="24"/>
        </w:rPr>
        <w:t>Ingress Rule Scoping:</w:t>
      </w:r>
      <w:r>
        <w:rPr>
          <w:rFonts w:ascii="Times New Roman" w:hAnsi="Times New Roman"/>
          <w:b w:val="0"/>
          <w:i w:val="0"/>
          <w:color w:val="1F2937"/>
          <w:sz w:val="24"/>
        </w:rPr>
        <w:t xml:space="preserve"> Inbound TCP port 8000 is restricted strictly to the verified administrative CIDR (</w:t>
      </w:r>
      <w:r>
        <w:rPr>
          <w:rFonts w:ascii="Consolas" w:hAnsi="Consolas"/>
          <w:b w:val="0"/>
          <w:i w:val="0"/>
          <w:color w:val="0F2B5C"/>
          <w:sz w:val="21"/>
        </w:rPr>
        <w:t>182.66.218.113/32</w:t>
      </w:r>
      <w:r>
        <w:rPr>
          <w:rFonts w:ascii="Times New Roman" w:hAnsi="Times New Roman"/>
          <w:b w:val="0"/>
          <w:i w:val="0"/>
          <w:color w:val="1F2937"/>
          <w:sz w:val="24"/>
        </w:rPr>
        <w:t>), completely blocking unauthorized public Internet reconnaissance and automated botnet scrapers.</w:t>
      </w:r>
      <w:r>
        <w:br/>
      </w:r>
      <w:r>
        <w:rPr>
          <w:rFonts w:ascii="Times New Roman" w:hAnsi="Times New Roman"/>
          <w:b w:val="0"/>
          <w:i w:val="0"/>
          <w:color w:val="1F2937"/>
          <w:sz w:val="24"/>
        </w:rPr>
        <w:t xml:space="preserve">• </w:t>
      </w:r>
      <w:r>
        <w:rPr>
          <w:rFonts w:ascii="Times New Roman" w:hAnsi="Times New Roman"/>
          <w:b/>
          <w:i w:val="0"/>
          <w:color w:val="1F2937"/>
          <w:sz w:val="24"/>
        </w:rPr>
        <w:t>Outbound Egress Rules:</w:t>
      </w:r>
      <w:r>
        <w:rPr>
          <w:rFonts w:ascii="Times New Roman" w:hAnsi="Times New Roman"/>
          <w:b w:val="0"/>
          <w:i w:val="0"/>
          <w:color w:val="1F2937"/>
          <w:sz w:val="24"/>
        </w:rPr>
        <w:t xml:space="preserve"> Outbound traffic is restricted to HTTPS (TCP port 443) for AWS API endpoint communication (S3, SNS, CloudWatch) and HTTP/HTTPS for external weather API ingestion.</w:t>
      </w:r>
    </w:p>
    <w:p>
      <w:pPr>
        <w:keepNext/>
        <w:spacing w:before="120" w:after="80"/>
      </w:pPr>
      <w:r>
        <w:rPr>
          <w:rFonts w:ascii="Times New Roman" w:hAnsi="Times New Roman"/>
          <w:b/>
          <w:i w:val="0"/>
          <w:color w:val="111827"/>
          <w:sz w:val="24"/>
        </w:rPr>
        <w:t>Table 7.1: Comprehensive AWS Service Implementation Matrix</w:t>
      </w:r>
    </w:p>
    <w:tbl>
      <w:tblPr>
        <w:tblW w:type="auto" w:w="0"/>
        <w:jc w:val="center"/>
        <w:tblLook w:firstColumn="1" w:firstRow="1" w:lastColumn="0" w:lastRow="0" w:noHBand="0" w:noVBand="1" w:val="04A0"/>
      </w:tblPr>
      <w:tblGrid>
        <w:gridCol w:w="2340"/>
        <w:gridCol w:w="2340"/>
        <w:gridCol w:w="2340"/>
        <w:gridCol w:w="2340"/>
      </w:tblGrid>
      <w:tr>
        <w:tc>
          <w:tcPr>
            <w:tcW w:type="dxa" w:w="1671"/>
            <w:shd w:fill="0F2B5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FFFFFF"/>
                <w:sz w:val="19"/>
              </w:rPr>
              <w:t>AWS Service</w:t>
            </w:r>
          </w:p>
        </w:tc>
        <w:tc>
          <w:tcPr>
            <w:tcW w:type="dxa" w:w="2043"/>
            <w:shd w:fill="0F2B5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FFFFFF"/>
                <w:sz w:val="19"/>
              </w:rPr>
              <w:t>Where Implemented</w:t>
            </w:r>
          </w:p>
        </w:tc>
        <w:tc>
          <w:tcPr>
            <w:tcW w:type="dxa" w:w="2860"/>
            <w:shd w:fill="0F2B5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FFFFFF"/>
                <w:sz w:val="19"/>
              </w:rPr>
              <w:t>How It Operates in Backend</w:t>
            </w:r>
          </w:p>
        </w:tc>
        <w:tc>
          <w:tcPr>
            <w:tcW w:type="dxa" w:w="2786"/>
            <w:shd w:fill="0F2B5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FFFFFF"/>
                <w:sz w:val="19"/>
              </w:rPr>
              <w:t>Architectural Justification (Why)</w:t>
            </w:r>
          </w:p>
        </w:tc>
      </w:tr>
      <w:tr>
        <w:tc>
          <w:tcPr>
            <w:tcW w:type="dxa" w:w="1671"/>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1F2937"/>
                <w:sz w:val="19"/>
              </w:rPr>
              <w:t>Amazon EC2</w:t>
            </w:r>
            <w:r>
              <w:br/>
            </w:r>
            <w:r>
              <w:rPr>
                <w:rFonts w:ascii="Times New Roman" w:hAnsi="Times New Roman"/>
                <w:b w:val="0"/>
                <w:i w:val="0"/>
                <w:color w:val="1F2937"/>
                <w:sz w:val="19"/>
              </w:rPr>
              <w:t>(t3.micro, AL2023)</w:t>
            </w:r>
          </w:p>
        </w:tc>
        <w:tc>
          <w:tcPr>
            <w:tcW w:type="dxa" w:w="2043"/>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ap-southeast-2 Public Subnet</w:t>
            </w:r>
          </w:p>
        </w:tc>
        <w:tc>
          <w:tcPr>
            <w:tcW w:type="dxa" w:w="2860"/>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Runs FastAPI application under systemd-managed Uvicorn ASGI server with automated process supervision.</w:t>
            </w:r>
          </w:p>
        </w:tc>
        <w:tc>
          <w:tcPr>
            <w:tcW w:type="dxa" w:w="2786"/>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Provides dedicated, deterministic compute without serverless cold-start delays during acute disaster intake.</w:t>
            </w:r>
          </w:p>
        </w:tc>
      </w:tr>
      <w:tr>
        <w:tc>
          <w:tcPr>
            <w:tcW w:type="dxa" w:w="1671"/>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1F2937"/>
                <w:sz w:val="19"/>
              </w:rPr>
              <w:t>Amazon EBS</w:t>
            </w:r>
            <w:r>
              <w:br/>
            </w:r>
            <w:r>
              <w:rPr>
                <w:rFonts w:ascii="Times New Roman" w:hAnsi="Times New Roman"/>
                <w:b w:val="0"/>
                <w:i w:val="0"/>
                <w:color w:val="1F2937"/>
                <w:sz w:val="19"/>
              </w:rPr>
              <w:t>(8GB gp3)</w:t>
            </w:r>
          </w:p>
        </w:tc>
        <w:tc>
          <w:tcPr>
            <w:tcW w:type="dxa" w:w="2043"/>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Attached Root Volume (/dev/xvda)</w:t>
            </w:r>
          </w:p>
        </w:tc>
        <w:tc>
          <w:tcPr>
            <w:tcW w:type="dxa" w:w="2860"/>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Persistent NVMe block storage hosting the transactional SQLite database and application logs.</w:t>
            </w:r>
          </w:p>
        </w:tc>
        <w:tc>
          <w:tcPr>
            <w:tcW w:type="dxa" w:w="2786"/>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Guarantees ACID crash durability across instance reboots; baseline 3,000 IOPS and 125 MB/s throughput.</w:t>
            </w:r>
          </w:p>
        </w:tc>
      </w:tr>
      <w:tr>
        <w:tc>
          <w:tcPr>
            <w:tcW w:type="dxa" w:w="1671"/>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1F2937"/>
                <w:sz w:val="19"/>
              </w:rPr>
              <w:t>Amazon S3</w:t>
            </w:r>
            <w:r>
              <w:br/>
            </w:r>
            <w:r>
              <w:rPr>
                <w:rFonts w:ascii="Times New Roman" w:hAnsi="Times New Roman"/>
                <w:b w:val="0"/>
                <w:i w:val="0"/>
                <w:color w:val="1F2937"/>
                <w:sz w:val="19"/>
              </w:rPr>
              <w:t>(Private Bucket)</w:t>
            </w:r>
          </w:p>
        </w:tc>
        <w:tc>
          <w:tcPr>
            <w:tcW w:type="dxa" w:w="2043"/>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cloudshield-artifacts-206238482111-ap-southeast-2</w:t>
            </w:r>
          </w:p>
        </w:tc>
        <w:tc>
          <w:tcPr>
            <w:tcW w:type="dxa" w:w="2860"/>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Automated cron scripts upload encrypted hourly database dumps (cloudshield_backup_*.db) with AES-256.</w:t>
            </w:r>
          </w:p>
        </w:tc>
        <w:tc>
          <w:tcPr>
            <w:tcW w:type="dxa" w:w="2786"/>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Provides 11 9's durability for forensic audit logs; 7-day lifecycle rule prunes old backups to prevent cost creep.</w:t>
            </w:r>
          </w:p>
        </w:tc>
      </w:tr>
      <w:tr>
        <w:tc>
          <w:tcPr>
            <w:tcW w:type="dxa" w:w="1671"/>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1F2937"/>
                <w:sz w:val="19"/>
              </w:rPr>
              <w:t>Amazon SNS</w:t>
            </w:r>
            <w:r>
              <w:br/>
            </w:r>
            <w:r>
              <w:rPr>
                <w:rFonts w:ascii="Times New Roman" w:hAnsi="Times New Roman"/>
                <w:b w:val="0"/>
                <w:i w:val="0"/>
                <w:color w:val="1F2937"/>
                <w:sz w:val="19"/>
              </w:rPr>
              <w:t>(Standard Topic)</w:t>
            </w:r>
          </w:p>
        </w:tc>
        <w:tc>
          <w:tcPr>
            <w:tcW w:type="dxa" w:w="2043"/>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CloudShield-Disaster-Alerts</w:t>
            </w:r>
          </w:p>
        </w:tc>
        <w:tc>
          <w:tcPr>
            <w:tcW w:type="dxa" w:w="2860"/>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Boto3 client triggers JSON publish events when DPRI exceeds 0.75 or when allocation plans are committed.</w:t>
            </w:r>
          </w:p>
        </w:tc>
        <w:tc>
          <w:tcPr>
            <w:tcW w:type="dxa" w:w="2786"/>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Replaces slow manual phone calls with instantaneous multi-channel fanout to district command and NDRF units.</w:t>
            </w:r>
          </w:p>
        </w:tc>
      </w:tr>
      <w:tr>
        <w:tc>
          <w:tcPr>
            <w:tcW w:type="dxa" w:w="1671"/>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1F2937"/>
                <w:sz w:val="19"/>
              </w:rPr>
              <w:t>Amazon CloudWatch</w:t>
            </w:r>
            <w:r>
              <w:br/>
            </w:r>
            <w:r>
              <w:rPr>
                <w:rFonts w:ascii="Times New Roman" w:hAnsi="Times New Roman"/>
                <w:b w:val="0"/>
                <w:i w:val="0"/>
                <w:color w:val="1F2937"/>
                <w:sz w:val="19"/>
              </w:rPr>
              <w:t>(Logs Group)</w:t>
            </w:r>
          </w:p>
        </w:tc>
        <w:tc>
          <w:tcPr>
            <w:tcW w:type="dxa" w:w="2043"/>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/cloudshield/application (ap-southeast-2)</w:t>
            </w:r>
          </w:p>
        </w:tc>
        <w:tc>
          <w:tcPr>
            <w:tcW w:type="dxa" w:w="2860"/>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Captures unified stdout/stderr log streams via CloudWatch agent, logging API latencies and allocation commits.</w:t>
            </w:r>
          </w:p>
        </w:tc>
        <w:tc>
          <w:tcPr>
            <w:tcW w:type="dxa" w:w="2786"/>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Enables centralized operational visibility, post-disaster accountability audits, and immediate error alerting.</w:t>
            </w:r>
          </w:p>
        </w:tc>
      </w:tr>
      <w:tr>
        <w:tc>
          <w:tcPr>
            <w:tcW w:type="dxa" w:w="1671"/>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1F2937"/>
                <w:sz w:val="19"/>
              </w:rPr>
              <w:t>AWS IAM</w:t>
            </w:r>
            <w:r>
              <w:br/>
            </w:r>
            <w:r>
              <w:rPr>
                <w:rFonts w:ascii="Times New Roman" w:hAnsi="Times New Roman"/>
                <w:b w:val="0"/>
                <w:i w:val="0"/>
                <w:color w:val="1F2937"/>
                <w:sz w:val="19"/>
              </w:rPr>
              <w:t>(Least Privilege)</w:t>
            </w:r>
          </w:p>
        </w:tc>
        <w:tc>
          <w:tcPr>
            <w:tcW w:type="dxa" w:w="2043"/>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CloudShieldEC2AppRole / Instance Profile</w:t>
            </w:r>
          </w:p>
        </w:tc>
        <w:tc>
          <w:tcPr>
            <w:tcW w:type="dxa" w:w="2860"/>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Grants scoped S3 put/get, SNS publish, and CloudWatch log permissions via IMDSv2 token authentication.</w:t>
            </w:r>
          </w:p>
        </w:tc>
        <w:tc>
          <w:tcPr>
            <w:tcW w:type="dxa" w:w="2786"/>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Zero hardcoded secrets or API access keys on the server, mitigating credential exfiltration risks.</w:t>
            </w:r>
          </w:p>
        </w:tc>
      </w:tr>
      <w:tr>
        <w:tc>
          <w:tcPr>
            <w:tcW w:type="dxa" w:w="1671"/>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1F2937"/>
                <w:sz w:val="19"/>
              </w:rPr>
              <w:t>AWS VPC / SG</w:t>
            </w:r>
            <w:r>
              <w:br/>
            </w:r>
            <w:r>
              <w:rPr>
                <w:rFonts w:ascii="Times New Roman" w:hAnsi="Times New Roman"/>
                <w:b w:val="0"/>
                <w:i w:val="0"/>
                <w:color w:val="1F2937"/>
                <w:sz w:val="19"/>
              </w:rPr>
              <w:t>(Security Group)</w:t>
            </w:r>
          </w:p>
        </w:tc>
        <w:tc>
          <w:tcPr>
            <w:tcW w:type="dxa" w:w="2043"/>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cloudshield-app-sg (sg-08249050614cb6db9)</w:t>
            </w:r>
          </w:p>
        </w:tc>
        <w:tc>
          <w:tcPr>
            <w:tcW w:type="dxa" w:w="2860"/>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Stateful firewall restricting inbound TCP traffic on port 8000 strictly to verified admin CIDR.</w:t>
            </w:r>
          </w:p>
        </w:tc>
        <w:tc>
          <w:tcPr>
            <w:tcW w:type="dxa" w:w="2786"/>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Protects critical disaster allocation data from automated internet scrapers and unauthorized tampering.</w:t>
            </w:r>
          </w:p>
        </w:tc>
      </w:tr>
    </w:tbl>
    <w:p>
      <w:pPr>
        <w:spacing w:before="120" w:after="0"/>
      </w:pPr>
    </w:p>
    <w:p>
      <w:r>
        <w:br w:type="page"/>
      </w:r>
    </w:p>
    <w:p>
      <w:pPr>
        <w:pStyle w:val="Heading1"/>
        <w:keepNext/>
        <w:spacing w:before="320" w:after="120"/>
      </w:pPr>
      <w:r>
        <w:rPr>
          <w:rFonts w:ascii="Times New Roman" w:hAnsi="Times New Roman"/>
          <w:b/>
          <w:i w:val="0"/>
          <w:color w:val="0F2B5C"/>
          <w:sz w:val="28"/>
        </w:rPr>
        <w:t>Chapter 8: AWS Production Deployment, Operational Hardening &amp; Rigorous Cost Audit</w:t>
      </w:r>
    </w:p>
    <w:p>
      <w:pPr>
        <w:pStyle w:val="Heading2"/>
        <w:keepNext/>
        <w:spacing w:before="200" w:after="80"/>
      </w:pPr>
      <w:r>
        <w:rPr>
          <w:rFonts w:ascii="Times New Roman" w:hAnsi="Times New Roman"/>
          <w:b/>
          <w:i w:val="0"/>
          <w:color w:val="1E3A8A"/>
          <w:sz w:val="26"/>
        </w:rPr>
        <w:t>8.1 Sydney Region (ap-southeast-2) Production Deployment Topology</w:t>
      </w:r>
    </w:p>
    <w:p>
      <w:pPr>
        <w:spacing w:before="0" w:after="120" w:line="276" w:lineRule="auto"/>
        <w:jc w:val="both"/>
      </w:pPr>
      <w:r>
        <w:rPr>
          <w:rFonts w:ascii="Times New Roman" w:hAnsi="Times New Roman"/>
          <w:b w:val="0"/>
          <w:i w:val="0"/>
          <w:color w:val="1F2937"/>
          <w:sz w:val="24"/>
        </w:rPr>
        <w:t>The production deployment was executed in AWS Asia-Pacific (Sydney) region (</w:t>
      </w:r>
      <w:r>
        <w:rPr>
          <w:rFonts w:ascii="Consolas" w:hAnsi="Consolas"/>
          <w:b w:val="0"/>
          <w:i w:val="0"/>
          <w:color w:val="0F2B5C"/>
          <w:sz w:val="21"/>
        </w:rPr>
        <w:t>ap-southeast-2</w:t>
      </w:r>
      <w:r>
        <w:rPr>
          <w:rFonts w:ascii="Times New Roman" w:hAnsi="Times New Roman"/>
          <w:b w:val="0"/>
          <w:i w:val="0"/>
          <w:color w:val="1F2937"/>
          <w:sz w:val="24"/>
        </w:rPr>
        <w:t xml:space="preserve">), chosen for its high availability of modern Amazon Linux 2023 AMIs, complete feature parity across all required services (EC2, S3, SNS, CloudWatch), and low network latency. The live environment is accessible under strict IP whitelisting at: </w:t>
      </w:r>
      <w:r>
        <w:rPr>
          <w:rFonts w:ascii="Consolas" w:hAnsi="Consolas"/>
          <w:b w:val="0"/>
          <w:i w:val="0"/>
          <w:color w:val="0F2B5C"/>
          <w:sz w:val="21"/>
        </w:rPr>
        <w:t>http://32.236.173.240:8000/</w:t>
      </w:r>
      <w:r>
        <w:rPr>
          <w:rFonts w:ascii="Times New Roman" w:hAnsi="Times New Roman"/>
          <w:b w:val="0"/>
          <w:i w:val="0"/>
          <w:color w:val="1F2937"/>
          <w:sz w:val="24"/>
        </w:rPr>
        <w:t>.</w:t>
      </w:r>
    </w:p>
    <w:p>
      <w:pPr>
        <w:spacing w:before="0" w:after="120" w:line="276" w:lineRule="auto"/>
        <w:jc w:val="both"/>
      </w:pPr>
      <w:r>
        <w:rPr>
          <w:rFonts w:ascii="Times New Roman" w:hAnsi="Times New Roman"/>
          <w:b w:val="0"/>
          <w:i w:val="0"/>
          <w:color w:val="1F2937"/>
          <w:sz w:val="24"/>
        </w:rPr>
        <w:t>The deployment bootstrap procedure was automated via a unified shell script that executes the following idempotent steps:</w:t>
      </w:r>
      <w:r>
        <w:br/>
      </w:r>
      <w:r>
        <w:rPr>
          <w:rFonts w:ascii="Times New Roman" w:hAnsi="Times New Roman"/>
          <w:b w:val="0"/>
          <w:i w:val="0"/>
          <w:color w:val="1F2937"/>
          <w:sz w:val="24"/>
        </w:rPr>
        <w:t xml:space="preserve">1. Updates the underlying operating system packages via </w:t>
      </w:r>
      <w:r>
        <w:rPr>
          <w:rFonts w:ascii="Consolas" w:hAnsi="Consolas"/>
          <w:b w:val="0"/>
          <w:i w:val="0"/>
          <w:color w:val="0F2B5C"/>
          <w:sz w:val="21"/>
        </w:rPr>
        <w:t>dnf upgrade -y</w:t>
      </w:r>
      <w:r>
        <w:rPr>
          <w:rFonts w:ascii="Times New Roman" w:hAnsi="Times New Roman"/>
          <w:b w:val="0"/>
          <w:i w:val="0"/>
          <w:color w:val="1F2937"/>
          <w:sz w:val="24"/>
        </w:rPr>
        <w:t>.</w:t>
      </w:r>
      <w:r>
        <w:br/>
      </w:r>
      <w:r>
        <w:rPr>
          <w:rFonts w:ascii="Times New Roman" w:hAnsi="Times New Roman"/>
          <w:b w:val="0"/>
          <w:i w:val="0"/>
          <w:color w:val="1F2937"/>
          <w:sz w:val="24"/>
        </w:rPr>
        <w:t>2. Installs Python 3.11, pip, and Git.</w:t>
      </w:r>
      <w:r>
        <w:br/>
      </w:r>
      <w:r>
        <w:rPr>
          <w:rFonts w:ascii="Times New Roman" w:hAnsi="Times New Roman"/>
          <w:b w:val="0"/>
          <w:i w:val="0"/>
          <w:color w:val="1F2937"/>
          <w:sz w:val="24"/>
        </w:rPr>
        <w:t>3. Clones the verified CloudShield repository from GitHub.</w:t>
      </w:r>
      <w:r>
        <w:br/>
      </w:r>
      <w:r>
        <w:rPr>
          <w:rFonts w:ascii="Times New Roman" w:hAnsi="Times New Roman"/>
          <w:b w:val="0"/>
          <w:i w:val="0"/>
          <w:color w:val="1F2937"/>
          <w:sz w:val="24"/>
        </w:rPr>
        <w:t>4. Creates an isolated Python virtual environment (</w:t>
      </w:r>
      <w:r>
        <w:rPr>
          <w:rFonts w:ascii="Consolas" w:hAnsi="Consolas"/>
          <w:b w:val="0"/>
          <w:i w:val="0"/>
          <w:color w:val="0F2B5C"/>
          <w:sz w:val="21"/>
        </w:rPr>
        <w:t>/opt/cloudshield/venv</w:t>
      </w:r>
      <w:r>
        <w:rPr>
          <w:rFonts w:ascii="Times New Roman" w:hAnsi="Times New Roman"/>
          <w:b w:val="0"/>
          <w:i w:val="0"/>
          <w:color w:val="1F2937"/>
          <w:sz w:val="24"/>
        </w:rPr>
        <w:t>) and installs dependencies (FastAPI, Uvicorn, SQLAlchemy, Boto3).</w:t>
      </w:r>
      <w:r>
        <w:br/>
      </w:r>
      <w:r>
        <w:rPr>
          <w:rFonts w:ascii="Times New Roman" w:hAnsi="Times New Roman"/>
          <w:b w:val="0"/>
          <w:i w:val="0"/>
          <w:color w:val="1F2937"/>
          <w:sz w:val="24"/>
        </w:rPr>
        <w:t xml:space="preserve">5. Configures the systemd service unit </w:t>
      </w:r>
      <w:r>
        <w:rPr>
          <w:rFonts w:ascii="Consolas" w:hAnsi="Consolas"/>
          <w:b w:val="0"/>
          <w:i w:val="0"/>
          <w:color w:val="0F2B5C"/>
          <w:sz w:val="21"/>
        </w:rPr>
        <w:t>/etc/systemd/system/cloudshield.service</w:t>
      </w:r>
      <w:r>
        <w:rPr>
          <w:rFonts w:ascii="Times New Roman" w:hAnsi="Times New Roman"/>
          <w:b w:val="0"/>
          <w:i w:val="0"/>
          <w:color w:val="1F2937"/>
          <w:sz w:val="24"/>
        </w:rPr>
        <w:t>.</w:t>
      </w:r>
      <w:r>
        <w:br/>
      </w:r>
      <w:r>
        <w:rPr>
          <w:rFonts w:ascii="Times New Roman" w:hAnsi="Times New Roman"/>
          <w:b w:val="0"/>
          <w:i w:val="0"/>
          <w:color w:val="1F2937"/>
          <w:sz w:val="24"/>
        </w:rPr>
        <w:t>6. Configures the hourly database backup cron job and attaches the CloudWatch log streaming daemon.</w:t>
      </w:r>
    </w:p>
    <w:p>
      <w:pPr>
        <w:pStyle w:val="Heading2"/>
        <w:keepNext/>
        <w:spacing w:before="200" w:after="80"/>
      </w:pPr>
      <w:r>
        <w:rPr>
          <w:rFonts w:ascii="Times New Roman" w:hAnsi="Times New Roman"/>
          <w:b/>
          <w:i w:val="0"/>
          <w:color w:val="1E3A8A"/>
          <w:sz w:val="26"/>
        </w:rPr>
        <w:t>8.2 Rigorous AWS Cost-Safety Audit: Free-Tier Entitlements vs. Chargeable Tariffs</w:t>
      </w:r>
    </w:p>
    <w:p>
      <w:pPr>
        <w:spacing w:before="0" w:after="120" w:line="276" w:lineRule="auto"/>
        <w:jc w:val="both"/>
      </w:pPr>
      <w:r>
        <w:rPr>
          <w:rFonts w:ascii="Times New Roman" w:hAnsi="Times New Roman"/>
          <w:b w:val="0"/>
          <w:i w:val="0"/>
          <w:color w:val="1F2937"/>
          <w:sz w:val="24"/>
        </w:rPr>
        <w:t xml:space="preserve">A common hazard in collegiate cloud architecture projects is runaway financial expenditure caused by provisioning unmonitored resources (such as continuous NAT Gateways, idle Load Balancers, or provisioned IOPS SSDs). CloudShield was specifically architected with strict cost-safety controls. Below is the audited breakdown based on verified AWS pricing in </w:t>
      </w:r>
      <w:r>
        <w:rPr>
          <w:rFonts w:ascii="Consolas" w:hAnsi="Consolas"/>
          <w:b w:val="0"/>
          <w:i w:val="0"/>
          <w:color w:val="0F2B5C"/>
          <w:sz w:val="21"/>
        </w:rPr>
        <w:t>ap-southeast-2</w:t>
      </w:r>
      <w:r>
        <w:rPr>
          <w:rFonts w:ascii="Times New Roman" w:hAnsi="Times New Roman"/>
          <w:b w:val="0"/>
          <w:i w:val="0"/>
          <w:color w:val="1F2937"/>
          <w:sz w:val="24"/>
        </w:rPr>
        <w:t>:</w:t>
      </w:r>
    </w:p>
    <w:p>
      <w:pPr>
        <w:spacing w:before="0" w:after="120" w:line="276" w:lineRule="auto"/>
        <w:jc w:val="both"/>
      </w:pPr>
      <w:r>
        <w:rPr>
          <w:rFonts w:ascii="Times New Roman" w:hAnsi="Times New Roman"/>
          <w:b w:val="0"/>
          <w:i w:val="0"/>
          <w:color w:val="1F2937"/>
          <w:sz w:val="24"/>
        </w:rPr>
        <w:t xml:space="preserve">• </w:t>
      </w:r>
      <w:r>
        <w:rPr>
          <w:rFonts w:ascii="Times New Roman" w:hAnsi="Times New Roman"/>
          <w:b/>
          <w:i w:val="0"/>
          <w:color w:val="1F2937"/>
          <w:sz w:val="24"/>
        </w:rPr>
        <w:t>EC2 Compute (t3.micro):</w:t>
      </w:r>
      <w:r>
        <w:rPr>
          <w:rFonts w:ascii="Times New Roman" w:hAnsi="Times New Roman"/>
          <w:b w:val="0"/>
          <w:i w:val="0"/>
          <w:color w:val="1F2937"/>
          <w:sz w:val="24"/>
        </w:rPr>
        <w:t xml:space="preserve"> Eligible for 750 hours/month of free compute under the AWS 12-Month Free Tier. For a live 2-hour demonstration window, compute charge is strictly </w:t>
      </w:r>
      <w:r>
        <w:rPr>
          <w:rFonts w:ascii="Times New Roman" w:hAnsi="Times New Roman"/>
          <w:b/>
          <w:i w:val="0"/>
          <w:color w:val="1F2937"/>
          <w:sz w:val="24"/>
        </w:rPr>
        <w:t>$0.00</w:t>
      </w:r>
      <w:r>
        <w:rPr>
          <w:rFonts w:ascii="Times New Roman" w:hAnsi="Times New Roman"/>
          <w:b w:val="0"/>
          <w:i w:val="0"/>
          <w:color w:val="1F2937"/>
          <w:sz w:val="24"/>
        </w:rPr>
        <w:t xml:space="preserve"> (chargeable rate thereafter: $0.0132/hr).</w:t>
      </w:r>
      <w:r>
        <w:br/>
      </w:r>
      <w:r>
        <w:rPr>
          <w:rFonts w:ascii="Times New Roman" w:hAnsi="Times New Roman"/>
          <w:b w:val="0"/>
          <w:i w:val="0"/>
          <w:color w:val="1F2937"/>
          <w:sz w:val="24"/>
        </w:rPr>
        <w:t xml:space="preserve">• </w:t>
      </w:r>
      <w:r>
        <w:rPr>
          <w:rFonts w:ascii="Times New Roman" w:hAnsi="Times New Roman"/>
          <w:b/>
          <w:i w:val="0"/>
          <w:color w:val="1F2937"/>
          <w:sz w:val="24"/>
        </w:rPr>
        <w:t>EBS Storage (8 GB gp3):</w:t>
      </w:r>
      <w:r>
        <w:rPr>
          <w:rFonts w:ascii="Times New Roman" w:hAnsi="Times New Roman"/>
          <w:b w:val="0"/>
          <w:i w:val="0"/>
          <w:color w:val="1F2937"/>
          <w:sz w:val="24"/>
        </w:rPr>
        <w:t xml:space="preserve"> Fully covered under the 30 GB/month Free Tier block storage allowance (charge: </w:t>
      </w:r>
      <w:r>
        <w:rPr>
          <w:rFonts w:ascii="Times New Roman" w:hAnsi="Times New Roman"/>
          <w:b/>
          <w:i w:val="0"/>
          <w:color w:val="1F2937"/>
          <w:sz w:val="24"/>
        </w:rPr>
        <w:t>$0.00</w:t>
      </w:r>
      <w:r>
        <w:rPr>
          <w:rFonts w:ascii="Times New Roman" w:hAnsi="Times New Roman"/>
          <w:b w:val="0"/>
          <w:i w:val="0"/>
          <w:color w:val="1F2937"/>
          <w:sz w:val="24"/>
        </w:rPr>
        <w:t>; chargeable rate thereafter: $0.096/GB-month).</w:t>
      </w:r>
      <w:r>
        <w:br/>
      </w:r>
      <w:r>
        <w:rPr>
          <w:rFonts w:ascii="Times New Roman" w:hAnsi="Times New Roman"/>
          <w:b w:val="0"/>
          <w:i w:val="0"/>
          <w:color w:val="1F2937"/>
          <w:sz w:val="24"/>
        </w:rPr>
        <w:t xml:space="preserve">• </w:t>
      </w:r>
      <w:r>
        <w:rPr>
          <w:rFonts w:ascii="Times New Roman" w:hAnsi="Times New Roman"/>
          <w:b/>
          <w:i w:val="0"/>
          <w:color w:val="1F2937"/>
          <w:sz w:val="24"/>
        </w:rPr>
        <w:t>S3 Artifact Storage:</w:t>
      </w:r>
      <w:r>
        <w:rPr>
          <w:rFonts w:ascii="Times New Roman" w:hAnsi="Times New Roman"/>
          <w:b w:val="0"/>
          <w:i w:val="0"/>
          <w:color w:val="1F2937"/>
          <w:sz w:val="24"/>
        </w:rPr>
        <w:t xml:space="preserve"> Consumes less than 50 MB across all test backups, well within the 5 GB Standard S3 Free Tier allowance (charge: </w:t>
      </w:r>
      <w:r>
        <w:rPr>
          <w:rFonts w:ascii="Times New Roman" w:hAnsi="Times New Roman"/>
          <w:b/>
          <w:i w:val="0"/>
          <w:color w:val="1F2937"/>
          <w:sz w:val="24"/>
        </w:rPr>
        <w:t>$0.00</w:t>
      </w:r>
      <w:r>
        <w:rPr>
          <w:rFonts w:ascii="Times New Roman" w:hAnsi="Times New Roman"/>
          <w:b w:val="0"/>
          <w:i w:val="0"/>
          <w:color w:val="1F2937"/>
          <w:sz w:val="24"/>
        </w:rPr>
        <w:t>).</w:t>
      </w:r>
      <w:r>
        <w:br/>
      </w:r>
      <w:r>
        <w:rPr>
          <w:rFonts w:ascii="Times New Roman" w:hAnsi="Times New Roman"/>
          <w:b w:val="0"/>
          <w:i w:val="0"/>
          <w:color w:val="1F2937"/>
          <w:sz w:val="24"/>
        </w:rPr>
        <w:t xml:space="preserve">• </w:t>
      </w:r>
      <w:r>
        <w:rPr>
          <w:rFonts w:ascii="Times New Roman" w:hAnsi="Times New Roman"/>
          <w:b/>
          <w:i w:val="0"/>
          <w:color w:val="1F2937"/>
          <w:sz w:val="24"/>
        </w:rPr>
        <w:t>CloudWatch Logs &amp; SNS Alerts:</w:t>
      </w:r>
      <w:r>
        <w:rPr>
          <w:rFonts w:ascii="Times New Roman" w:hAnsi="Times New Roman"/>
          <w:b w:val="0"/>
          <w:i w:val="0"/>
          <w:color w:val="1F2937"/>
          <w:sz w:val="24"/>
        </w:rPr>
        <w:t xml:space="preserve"> Free Tier grants 5,000,000 log event ingests and 1,000,000 notification requests per month (charge: </w:t>
      </w:r>
      <w:r>
        <w:rPr>
          <w:rFonts w:ascii="Times New Roman" w:hAnsi="Times New Roman"/>
          <w:b/>
          <w:i w:val="0"/>
          <w:color w:val="1F2937"/>
          <w:sz w:val="24"/>
        </w:rPr>
        <w:t>$0.00</w:t>
      </w:r>
      <w:r>
        <w:rPr>
          <w:rFonts w:ascii="Times New Roman" w:hAnsi="Times New Roman"/>
          <w:b w:val="0"/>
          <w:i w:val="0"/>
          <w:color w:val="1F2937"/>
          <w:sz w:val="24"/>
        </w:rPr>
        <w:t>).</w:t>
      </w:r>
      <w:r>
        <w:br/>
      </w:r>
      <w:r>
        <w:rPr>
          <w:rFonts w:ascii="Times New Roman" w:hAnsi="Times New Roman"/>
          <w:b w:val="0"/>
          <w:i w:val="0"/>
          <w:color w:val="1F2937"/>
          <w:sz w:val="24"/>
        </w:rPr>
        <w:t xml:space="preserve">• </w:t>
      </w:r>
      <w:r>
        <w:rPr>
          <w:rFonts w:ascii="Times New Roman" w:hAnsi="Times New Roman"/>
          <w:b/>
          <w:i w:val="0"/>
          <w:color w:val="1F2937"/>
          <w:sz w:val="24"/>
        </w:rPr>
        <w:t>Public IPv4 Address:</w:t>
      </w:r>
      <w:r>
        <w:rPr>
          <w:rFonts w:ascii="Times New Roman" w:hAnsi="Times New Roman"/>
          <w:b w:val="0"/>
          <w:i w:val="0"/>
          <w:color w:val="1F2937"/>
          <w:sz w:val="24"/>
        </w:rPr>
        <w:t xml:space="preserve"> In accordance with AWS global networking pricing implemented in February 2024, in-use public IPv4 addresses incur a nominal charge of $0.005 per hour. For our 2-hour demonstration window, the exact chargeable cost was verified at </w:t>
      </w:r>
      <w:r>
        <w:rPr>
          <w:rFonts w:ascii="Times New Roman" w:hAnsi="Times New Roman"/>
          <w:b/>
          <w:i w:val="0"/>
          <w:color w:val="1F2937"/>
          <w:sz w:val="24"/>
        </w:rPr>
        <w:t>$0.010 to $0.030 USD</w:t>
      </w:r>
      <w:r>
        <w:rPr>
          <w:rFonts w:ascii="Times New Roman" w:hAnsi="Times New Roman"/>
          <w:b w:val="0"/>
          <w:i w:val="0"/>
          <w:color w:val="1F2937"/>
          <w:sz w:val="24"/>
        </w:rPr>
        <w:t xml:space="preserve"> (equivalent to approximately 2.50 Indian Rupees). Continuous running for 30 days costs approximately $3.60 USD.</w:t>
      </w:r>
    </w:p>
    <w:p>
      <w:pPr>
        <w:keepNext/>
        <w:spacing w:before="160" w:after="80"/>
        <w:jc w:val="center"/>
      </w:pPr>
      <w:r>
        <w:drawing>
          <wp:inline xmlns:a="http://schemas.openxmlformats.org/drawingml/2006/main" xmlns:pic="http://schemas.openxmlformats.org/drawingml/2006/picture">
            <wp:extent cx="5486400" cy="2468880"/>
            <wp:docPr id="8" name="Picture 8"/>
            <wp:cNvGraphicFramePr>
              <a:graphicFrameLocks noChangeAspect="1"/>
            </wp:cNvGraphicFramePr>
            <a:graphic>
              <a:graphicData uri="http://schemas.openxmlformats.org/drawingml/2006/picture">
                <pic:pic>
                  <pic:nvPicPr>
                    <pic:cNvPr id="0" name="graph_5_aws_cost_profile.png"/>
                    <pic:cNvPicPr/>
                  </pic:nvPicPr>
                  <pic:blipFill>
                    <a:blip r:embed="rId18"/>
                    <a:stretch>
                      <a:fillRect/>
                    </a:stretch>
                  </pic:blipFill>
                  <pic:spPr>
                    <a:xfrm>
                      <a:off x="0" y="0"/>
                      <a:ext cx="5486400" cy="2468880"/>
                    </a:xfrm>
                    <a:prstGeom prst="rect"/>
                  </pic:spPr>
                </pic:pic>
              </a:graphicData>
            </a:graphic>
          </wp:inline>
        </w:drawing>
      </w:r>
    </w:p>
    <w:p>
      <w:pPr>
        <w:spacing w:before="40" w:after="200" w:line="276" w:lineRule="auto"/>
        <w:ind w:left="360" w:right="360"/>
        <w:jc w:val="center"/>
      </w:pPr>
      <w:r>
        <w:rPr>
          <w:rFonts w:ascii="Times New Roman" w:hAnsi="Times New Roman"/>
          <w:b/>
          <w:i/>
          <w:color w:val="334155"/>
          <w:sz w:val="19"/>
        </w:rPr>
        <w:t>Figure 8.1: AWS Operational Cost Profile and Enterprise Scaling Model.</w:t>
      </w:r>
      <w:r>
        <w:rPr>
          <w:rFonts w:ascii="Times New Roman" w:hAnsi="Times New Roman"/>
          <w:b w:val="0"/>
          <w:i/>
          <w:color w:val="334155"/>
          <w:sz w:val="19"/>
        </w:rPr>
        <w:t xml:space="preserve"> (a) Academic cost audit confirming zero charges for EC2, EBS, S3, and CloudWatch under Free Tier, with only $0.03 total expenditure for public IPv4. (b) Projected enterprise expenditure scaling linearly across active disaster zones coordinated under a resilient Multi-AZ disaster mesh.</w:t>
      </w:r>
    </w:p>
    <w:p>
      <w:pPr>
        <w:pStyle w:val="Heading2"/>
        <w:keepNext/>
        <w:spacing w:before="200" w:after="80"/>
      </w:pPr>
      <w:r>
        <w:rPr>
          <w:rFonts w:ascii="Times New Roman" w:hAnsi="Times New Roman"/>
          <w:b/>
          <w:i w:val="0"/>
          <w:color w:val="1E3A8A"/>
          <w:sz w:val="26"/>
        </w:rPr>
        <w:t>8.3 Safe Resource Teardown and Deprovisioning Protocol</w:t>
      </w:r>
    </w:p>
    <w:p>
      <w:pPr>
        <w:spacing w:before="0" w:after="120" w:line="276" w:lineRule="auto"/>
        <w:jc w:val="both"/>
      </w:pPr>
      <w:r>
        <w:rPr>
          <w:rFonts w:ascii="Times New Roman" w:hAnsi="Times New Roman"/>
          <w:b w:val="0"/>
          <w:i w:val="0"/>
          <w:color w:val="1F2937"/>
          <w:sz w:val="24"/>
        </w:rPr>
        <w:t>To guarantee that zero residual charges accumulate after the evaluation viva, CloudShield provides an automated teardown script (</w:t>
      </w:r>
      <w:r>
        <w:rPr>
          <w:rFonts w:ascii="Consolas" w:hAnsi="Consolas"/>
          <w:b w:val="0"/>
          <w:i w:val="0"/>
          <w:color w:val="0F2B5C"/>
          <w:sz w:val="21"/>
        </w:rPr>
        <w:t>teardown_aws_deployment.ps1</w:t>
      </w:r>
      <w:r>
        <w:rPr>
          <w:rFonts w:ascii="Times New Roman" w:hAnsi="Times New Roman"/>
          <w:b w:val="0"/>
          <w:i w:val="0"/>
          <w:color w:val="1F2937"/>
          <w:sz w:val="24"/>
        </w:rPr>
        <w:t>). The script terminates resources in strict dependency order:</w:t>
      </w:r>
      <w:r>
        <w:br/>
      </w:r>
      <w:r>
        <w:rPr>
          <w:rFonts w:ascii="Times New Roman" w:hAnsi="Times New Roman"/>
          <w:b w:val="0"/>
          <w:i w:val="0"/>
          <w:color w:val="1F2937"/>
          <w:sz w:val="24"/>
        </w:rPr>
        <w:t>1. Empties the S3 bucket objects and versions before deleting the bucket container.</w:t>
      </w:r>
      <w:r>
        <w:br/>
      </w:r>
      <w:r>
        <w:rPr>
          <w:rFonts w:ascii="Times New Roman" w:hAnsi="Times New Roman"/>
          <w:b w:val="0"/>
          <w:i w:val="0"/>
          <w:color w:val="1F2937"/>
          <w:sz w:val="24"/>
        </w:rPr>
        <w:t>2. Terminates the EC2 instance, which automatically deallocates the public IPv4 address and triggers EBS volume deletion.</w:t>
      </w:r>
      <w:r>
        <w:br/>
      </w:r>
      <w:r>
        <w:rPr>
          <w:rFonts w:ascii="Times New Roman" w:hAnsi="Times New Roman"/>
          <w:b w:val="0"/>
          <w:i w:val="0"/>
          <w:color w:val="1F2937"/>
          <w:sz w:val="24"/>
        </w:rPr>
        <w:t>3. Deletes the CloudWatch Log Group and un-subscribes the SNS topic.</w:t>
      </w:r>
      <w:r>
        <w:br/>
      </w:r>
      <w:r>
        <w:rPr>
          <w:rFonts w:ascii="Times New Roman" w:hAnsi="Times New Roman"/>
          <w:b w:val="0"/>
          <w:i w:val="0"/>
          <w:color w:val="1F2937"/>
          <w:sz w:val="24"/>
        </w:rPr>
        <w:t>4. Removes the IAM instance profile, role, and Security Group.</w:t>
      </w:r>
      <w:r>
        <w:br/>
      </w:r>
      <w:r>
        <w:rPr>
          <w:rFonts w:ascii="Times New Roman" w:hAnsi="Times New Roman"/>
          <w:b w:val="0"/>
          <w:i w:val="0"/>
          <w:color w:val="1F2937"/>
          <w:sz w:val="24"/>
        </w:rPr>
        <w:t>5. Executes a final read-only audit verifying that zero billable resources remain active in the account.</w:t>
      </w:r>
    </w:p>
    <w:p>
      <w:pPr>
        <w:pStyle w:val="Heading2"/>
        <w:keepNext/>
        <w:spacing w:before="200" w:after="80"/>
      </w:pPr>
      <w:r>
        <w:rPr>
          <w:rFonts w:ascii="Times New Roman" w:hAnsi="Times New Roman"/>
          <w:b/>
          <w:i w:val="0"/>
          <w:color w:val="1E3A8A"/>
          <w:sz w:val="26"/>
        </w:rPr>
        <w:t>8.4 Multi-Cloud Disaster Standby Comparison &amp; Service Level Agreement (SLA) Math</w:t>
      </w:r>
    </w:p>
    <w:p>
      <w:pPr>
        <w:spacing w:before="0" w:after="120" w:line="276" w:lineRule="auto"/>
        <w:jc w:val="both"/>
      </w:pPr>
      <w:r>
        <w:rPr>
          <w:rFonts w:ascii="Times New Roman" w:hAnsi="Times New Roman"/>
          <w:b w:val="0"/>
          <w:i w:val="0"/>
          <w:color w:val="1F2937"/>
          <w:sz w:val="24"/>
        </w:rPr>
        <w:t>To evaluate enterprise cloud resilience beyond a single cloud provider, CloudShield’s operational footprint was analyzed across AWS, Microsoft Azure, and Google Cloud Platform (GCP). For single-node compute instances, AWS EC2 provides a 99.5% availability SLA, corresponding to a maximum allowable downtime of 3.65 hours per month. For life-critical disaster relief, this downtime budget is unacceptable. By provisioning a cross-region hot standby across AWS Sydney (</w:t>
      </w:r>
      <w:r>
        <w:rPr>
          <w:rFonts w:ascii="Consolas" w:hAnsi="Consolas"/>
          <w:b w:val="0"/>
          <w:i w:val="0"/>
          <w:color w:val="0F2B5C"/>
          <w:sz w:val="21"/>
        </w:rPr>
        <w:t>ap-southeast-2</w:t>
      </w:r>
      <w:r>
        <w:rPr>
          <w:rFonts w:ascii="Times New Roman" w:hAnsi="Times New Roman"/>
          <w:b w:val="0"/>
          <w:i w:val="0"/>
          <w:color w:val="1F2937"/>
          <w:sz w:val="24"/>
        </w:rPr>
        <w:t>) and AWS Singapore (</w:t>
      </w:r>
      <w:r>
        <w:rPr>
          <w:rFonts w:ascii="Consolas" w:hAnsi="Consolas"/>
          <w:b w:val="0"/>
          <w:i w:val="0"/>
          <w:color w:val="0F2B5C"/>
          <w:sz w:val="21"/>
        </w:rPr>
        <w:t>ap-southeast-1</w:t>
      </w:r>
      <w:r>
        <w:rPr>
          <w:rFonts w:ascii="Times New Roman" w:hAnsi="Times New Roman"/>
          <w:b w:val="0"/>
          <w:i w:val="0"/>
          <w:color w:val="1F2937"/>
          <w:sz w:val="24"/>
        </w:rPr>
        <w:t xml:space="preserve">) coupled with Route 53 health-check DNS failover, the composite availability reaches </w:t>
      </w:r>
      <w:r>
        <w:rPr>
          <w:rFonts w:ascii="Times New Roman" w:hAnsi="Times New Roman"/>
          <w:b/>
          <w:i w:val="0"/>
          <w:color w:val="1F2937"/>
          <w:sz w:val="24"/>
        </w:rPr>
        <w:t>99.9975%</w:t>
      </w:r>
      <w:r>
        <w:rPr>
          <w:rFonts w:ascii="Times New Roman" w:hAnsi="Times New Roman"/>
          <w:b w:val="0"/>
          <w:i w:val="0"/>
          <w:color w:val="1F2937"/>
          <w:sz w:val="24"/>
        </w:rPr>
        <w:t>, slashing annual downtime risk to under 13 minutes.</w:t>
      </w:r>
    </w:p>
    <w:p>
      <w:r>
        <w:br w:type="page"/>
      </w:r>
    </w:p>
    <w:p>
      <w:pPr>
        <w:pStyle w:val="Heading1"/>
        <w:keepNext/>
        <w:spacing w:before="320" w:after="120"/>
      </w:pPr>
      <w:r>
        <w:rPr>
          <w:rFonts w:ascii="Times New Roman" w:hAnsi="Times New Roman"/>
          <w:b/>
          <w:i w:val="0"/>
          <w:color w:val="0F2B5C"/>
          <w:sz w:val="28"/>
        </w:rPr>
        <w:t>Chapter 9: End-to-End Frontend Interface &amp; Live Operational Demonstration</w:t>
      </w:r>
    </w:p>
    <w:p>
      <w:pPr>
        <w:pStyle w:val="Heading2"/>
        <w:keepNext/>
        <w:spacing w:before="200" w:after="80"/>
      </w:pPr>
      <w:r>
        <w:rPr>
          <w:rFonts w:ascii="Times New Roman" w:hAnsi="Times New Roman"/>
          <w:b/>
          <w:i w:val="0"/>
          <w:color w:val="1E3A8A"/>
          <w:sz w:val="26"/>
        </w:rPr>
        <w:t>9.1 High-Contrast Human-Centric UI Engineering for Crisis Command</w:t>
      </w:r>
    </w:p>
    <w:p>
      <w:pPr>
        <w:spacing w:before="0" w:after="120" w:line="276" w:lineRule="auto"/>
        <w:jc w:val="both"/>
      </w:pPr>
      <w:r>
        <w:rPr>
          <w:rFonts w:ascii="Times New Roman" w:hAnsi="Times New Roman"/>
          <w:b w:val="0"/>
          <w:i w:val="0"/>
          <w:color w:val="1F2937"/>
          <w:sz w:val="24"/>
        </w:rPr>
        <w:t>Emergency operations centers during active cyclones and deluges are chaotic, high-stress environments. Incident managers, revenue officers, and military liaisons operate under severe physical exhaustion and sensory overload. Under such cognitive strain, dense, low-contrast software interfaces with multi-nested menus lead to fatal operator errors.</w:t>
      </w:r>
    </w:p>
    <w:p>
      <w:pPr>
        <w:spacing w:before="0" w:after="120" w:line="276" w:lineRule="auto"/>
        <w:jc w:val="both"/>
      </w:pPr>
      <w:r>
        <w:rPr>
          <w:rFonts w:ascii="Times New Roman" w:hAnsi="Times New Roman"/>
          <w:b w:val="0"/>
          <w:i w:val="0"/>
          <w:color w:val="1F2937"/>
          <w:sz w:val="24"/>
        </w:rPr>
        <w:t>CloudShield’s frontend interface is engineered according to mission-critical human factors principles: high-contrast card hierarchies, color-coded hazard meters (green $ ightarrow$ amber $ ightarrow$ crimson), instant slider-driven scenario simulations, and a single-pane-of-glass operational dashboard. Below are complete, full-resolution captures from the active deployed production system.</w:t>
      </w:r>
    </w:p>
    <w:p>
      <w:pPr>
        <w:keepNext/>
        <w:spacing w:before="160" w:after="80"/>
        <w:jc w:val="center"/>
      </w:pPr>
      <w:r>
        <w:drawing>
          <wp:inline xmlns:a="http://schemas.openxmlformats.org/drawingml/2006/main" xmlns:pic="http://schemas.openxmlformats.org/drawingml/2006/picture">
            <wp:extent cx="5486400" cy="3214688"/>
            <wp:docPr id="9" name="Picture 9"/>
            <wp:cNvGraphicFramePr>
              <a:graphicFrameLocks noChangeAspect="1"/>
            </wp:cNvGraphicFramePr>
            <a:graphic>
              <a:graphicData uri="http://schemas.openxmlformats.org/drawingml/2006/picture">
                <pic:pic>
                  <pic:nvPicPr>
                    <pic:cNvPr id="0" name="ui_1_intake_and_dpri.png"/>
                    <pic:cNvPicPr/>
                  </pic:nvPicPr>
                  <pic:blipFill>
                    <a:blip r:embed="rId19"/>
                    <a:stretch>
                      <a:fillRect/>
                    </a:stretch>
                  </pic:blipFill>
                  <pic:spPr>
                    <a:xfrm>
                      <a:off x="0" y="0"/>
                      <a:ext cx="5486400" cy="3214688"/>
                    </a:xfrm>
                    <a:prstGeom prst="rect"/>
                  </pic:spPr>
                </pic:pic>
              </a:graphicData>
            </a:graphic>
          </wp:inline>
        </w:drawing>
      </w:r>
    </w:p>
    <w:p>
      <w:pPr>
        <w:spacing w:before="40" w:after="200" w:line="276" w:lineRule="auto"/>
        <w:ind w:left="360" w:right="360"/>
        <w:jc w:val="center"/>
      </w:pPr>
      <w:r>
        <w:rPr>
          <w:rFonts w:ascii="Times New Roman" w:hAnsi="Times New Roman"/>
          <w:b/>
          <w:i/>
          <w:color w:val="334155"/>
          <w:sz w:val="19"/>
        </w:rPr>
        <w:t>Figure 9.1: Real-Time Disaster Intake Sliders, Rapid Presets &amp; Regional DPRI Urgency Heatmap.</w:t>
      </w:r>
      <w:r>
        <w:br/>
      </w:r>
      <w:r>
        <w:rPr>
          <w:rFonts w:ascii="Times New Roman" w:hAnsi="Times New Roman"/>
          <w:b w:val="0"/>
          <w:i/>
          <w:color w:val="334155"/>
          <w:sz w:val="19"/>
        </w:rPr>
        <w:t>Operational Walkthrough:</w:t>
      </w:r>
      <w:r>
        <w:rPr>
          <w:rFonts w:ascii="Times New Roman" w:hAnsi="Times New Roman"/>
          <w:b w:val="0"/>
          <w:i w:val="0"/>
          <w:color w:val="334155"/>
          <w:sz w:val="19"/>
        </w:rPr>
        <w:t xml:space="preserve"> In this opening panel, the emergency coordinator configures live hazard telemetry either manually using real-time sliders or by selecting predefined historical scenario presets (e.g., 'Severe Cyclone Landfall', 'Flash Flood Deluge'). Parameters include flood water depth (meters), access road blockage severity (0–100%), displaced population count, and the vulnerable demographic ratio. As sliders move, the client updates the DPRI urgency meter in real time without page reloads. In the displayed state, Region Delta has reached an acute DPRI score of 0.82, visually flagged in vibrant crimson to immediately focus command center attention where lives are most severely threatened.</w:t>
      </w:r>
    </w:p>
    <w:p>
      <w:r>
        <w:br w:type="page"/>
      </w:r>
    </w:p>
    <w:p>
      <w:pPr>
        <w:keepNext/>
        <w:spacing w:before="160" w:after="80"/>
        <w:jc w:val="center"/>
      </w:pPr>
      <w:r>
        <w:drawing>
          <wp:inline xmlns:a="http://schemas.openxmlformats.org/drawingml/2006/main" xmlns:pic="http://schemas.openxmlformats.org/drawingml/2006/picture">
            <wp:extent cx="5486400" cy="3214688"/>
            <wp:docPr id="10" name="Picture 10"/>
            <wp:cNvGraphicFramePr>
              <a:graphicFrameLocks noChangeAspect="1"/>
            </wp:cNvGraphicFramePr>
            <a:graphic>
              <a:graphicData uri="http://schemas.openxmlformats.org/drawingml/2006/picture">
                <pic:pic>
                  <pic:nvPicPr>
                    <pic:cNvPr id="0" name="ui_2_shortage_and_manifest.png"/>
                    <pic:cNvPicPr/>
                  </pic:nvPicPr>
                  <pic:blipFill>
                    <a:blip r:embed="rId20"/>
                    <a:stretch>
                      <a:fillRect/>
                    </a:stretch>
                  </pic:blipFill>
                  <pic:spPr>
                    <a:xfrm>
                      <a:off x="0" y="0"/>
                      <a:ext cx="5486400" cy="3214688"/>
                    </a:xfrm>
                    <a:prstGeom prst="rect"/>
                  </pic:spPr>
                </pic:pic>
              </a:graphicData>
            </a:graphic>
          </wp:inline>
        </w:drawing>
      </w:r>
    </w:p>
    <w:p>
      <w:pPr>
        <w:spacing w:before="40" w:after="200" w:line="276" w:lineRule="auto"/>
        <w:ind w:left="360" w:right="360"/>
        <w:jc w:val="center"/>
      </w:pPr>
      <w:r>
        <w:rPr>
          <w:rFonts w:ascii="Times New Roman" w:hAnsi="Times New Roman"/>
          <w:b/>
          <w:i/>
          <w:color w:val="334155"/>
          <w:sz w:val="19"/>
        </w:rPr>
        <w:t>Figure 9.2: Sphere Standards Demand Prediction, Critical Shortage Ledger &amp; Multi-Depot Allocation Manifest.</w:t>
      </w:r>
      <w:r>
        <w:br/>
      </w:r>
      <w:r>
        <w:rPr>
          <w:rFonts w:ascii="Times New Roman" w:hAnsi="Times New Roman"/>
          <w:b w:val="0"/>
          <w:i/>
          <w:color w:val="334155"/>
          <w:sz w:val="19"/>
        </w:rPr>
        <w:t>Operational Walkthrough:</w:t>
      </w:r>
      <w:r>
        <w:rPr>
          <w:rFonts w:ascii="Times New Roman" w:hAnsi="Times New Roman"/>
          <w:b w:val="0"/>
          <w:i w:val="0"/>
          <w:color w:val="334155"/>
          <w:sz w:val="19"/>
        </w:rPr>
        <w:t xml:space="preserve"> This central console translates abstract disaster hazard into precise human survival requirements. The upper table applies Sphere Humanitarian Standard formulas across all affected zones, contrasting predicted demand against available stock to calculate acute shortages (e.g., highlighting an immediate 2,500 L drinking water shortage and a 40-tent deficit in Region Delta). The lower table displays the multi-depot allocation manifest generated by the knapsack optimization engine. Supplies are dynamically pooled from Central Depot and East Auxiliary Depot, optimizing transit distances while strictly reserving baseline emergency buffer stocks.</w:t>
      </w:r>
    </w:p>
    <w:p>
      <w:r>
        <w:br w:type="page"/>
      </w:r>
    </w:p>
    <w:p>
      <w:pPr>
        <w:keepNext/>
        <w:spacing w:before="160" w:after="80"/>
        <w:jc w:val="center"/>
      </w:pPr>
      <w:r>
        <w:drawing>
          <wp:inline xmlns:a="http://schemas.openxmlformats.org/drawingml/2006/main" xmlns:pic="http://schemas.openxmlformats.org/drawingml/2006/picture">
            <wp:extent cx="5486400" cy="3857625"/>
            <wp:docPr id="11" name="Picture 11"/>
            <wp:cNvGraphicFramePr>
              <a:graphicFrameLocks noChangeAspect="1"/>
            </wp:cNvGraphicFramePr>
            <a:graphic>
              <a:graphicData uri="http://schemas.openxmlformats.org/drawingml/2006/picture">
                <pic:pic>
                  <pic:nvPicPr>
                    <pic:cNvPr id="0" name="screenshot_dashboard_overview.png"/>
                    <pic:cNvPicPr/>
                  </pic:nvPicPr>
                  <pic:blipFill>
                    <a:blip r:embed="rId21"/>
                    <a:stretch>
                      <a:fillRect/>
                    </a:stretch>
                  </pic:blipFill>
                  <pic:spPr>
                    <a:xfrm>
                      <a:off x="0" y="0"/>
                      <a:ext cx="5486400" cy="3857625"/>
                    </a:xfrm>
                    <a:prstGeom prst="rect"/>
                  </pic:spPr>
                </pic:pic>
              </a:graphicData>
            </a:graphic>
          </wp:inline>
        </w:drawing>
      </w:r>
    </w:p>
    <w:p>
      <w:pPr>
        <w:spacing w:before="40" w:after="200" w:line="276" w:lineRule="auto"/>
        <w:ind w:left="360" w:right="360"/>
        <w:jc w:val="center"/>
      </w:pPr>
      <w:r>
        <w:rPr>
          <w:rFonts w:ascii="Times New Roman" w:hAnsi="Times New Roman"/>
          <w:b/>
          <w:i/>
          <w:color w:val="334155"/>
          <w:sz w:val="19"/>
        </w:rPr>
        <w:t>Figure 9.3: Single-Pane-of-Glass Command Overview &amp; Inter-Warehouse Stock Balancing.</w:t>
      </w:r>
      <w:r>
        <w:br/>
      </w:r>
      <w:r>
        <w:rPr>
          <w:rFonts w:ascii="Times New Roman" w:hAnsi="Times New Roman"/>
          <w:b w:val="0"/>
          <w:i/>
          <w:color w:val="334155"/>
          <w:sz w:val="19"/>
        </w:rPr>
        <w:t>Operational Walkthrough:</w:t>
      </w:r>
      <w:r>
        <w:rPr>
          <w:rFonts w:ascii="Times New Roman" w:hAnsi="Times New Roman"/>
          <w:b w:val="0"/>
          <w:i w:val="0"/>
          <w:color w:val="334155"/>
          <w:sz w:val="19"/>
        </w:rPr>
        <w:t xml:space="preserve"> This panoramic dashboard view provides incident commanders with an end-to-end operational summary. The left rail displays real-time telemetry inputs, active scenario presets, and the regional DPRI ranking ledger. The center area synthesizes gross survival demand across water, rations, and triage kits, while the right panel displays depot inventory health, depicting stock drawdown levels across Central Depot, East Auxiliary, and Coast Guard Reserve to prevent depot exhaustion.</w:t>
      </w:r>
    </w:p>
    <w:p>
      <w:r>
        <w:br w:type="page"/>
      </w:r>
    </w:p>
    <w:p>
      <w:pPr>
        <w:keepNext/>
        <w:spacing w:before="160" w:after="80"/>
        <w:jc w:val="center"/>
      </w:pPr>
      <w:r>
        <w:drawing>
          <wp:inline xmlns:a="http://schemas.openxmlformats.org/drawingml/2006/main" xmlns:pic="http://schemas.openxmlformats.org/drawingml/2006/picture">
            <wp:extent cx="5486400" cy="3429000"/>
            <wp:docPr id="12" name="Picture 12"/>
            <wp:cNvGraphicFramePr>
              <a:graphicFrameLocks noChangeAspect="1"/>
            </wp:cNvGraphicFramePr>
            <a:graphic>
              <a:graphicData uri="http://schemas.openxmlformats.org/drawingml/2006/picture">
                <pic:pic>
                  <pic:nvPicPr>
                    <pic:cNvPr id="0" name="ui_3_approval_and_audit.png"/>
                    <pic:cNvPicPr/>
                  </pic:nvPicPr>
                  <pic:blipFill>
                    <a:blip r:embed="rId22"/>
                    <a:stretch>
                      <a:fillRect/>
                    </a:stretch>
                  </pic:blipFill>
                  <pic:spPr>
                    <a:xfrm>
                      <a:off x="0" y="0"/>
                      <a:ext cx="5486400" cy="3429000"/>
                    </a:xfrm>
                    <a:prstGeom prst="rect"/>
                  </pic:spPr>
                </pic:pic>
              </a:graphicData>
            </a:graphic>
          </wp:inline>
        </w:drawing>
      </w:r>
    </w:p>
    <w:p>
      <w:pPr>
        <w:spacing w:before="40" w:after="200" w:line="276" w:lineRule="auto"/>
        <w:ind w:left="360" w:right="360"/>
        <w:jc w:val="center"/>
      </w:pPr>
      <w:r>
        <w:rPr>
          <w:rFonts w:ascii="Times New Roman" w:hAnsi="Times New Roman"/>
          <w:b/>
          <w:i/>
          <w:color w:val="334155"/>
          <w:sz w:val="19"/>
        </w:rPr>
        <w:t>Figure 9.4: Human Governance Action Card, Real-Time Amazon SNS Incident Alert &amp; Immutable Audit Trail.</w:t>
      </w:r>
      <w:r>
        <w:br/>
      </w:r>
      <w:r>
        <w:rPr>
          <w:rFonts w:ascii="Times New Roman" w:hAnsi="Times New Roman"/>
          <w:b w:val="0"/>
          <w:i/>
          <w:color w:val="334155"/>
          <w:sz w:val="19"/>
        </w:rPr>
        <w:t>Operational Walkthrough:</w:t>
      </w:r>
      <w:r>
        <w:rPr>
          <w:rFonts w:ascii="Times New Roman" w:hAnsi="Times New Roman"/>
          <w:b w:val="0"/>
          <w:i w:val="0"/>
          <w:color w:val="334155"/>
          <w:sz w:val="19"/>
        </w:rPr>
        <w:t xml:space="preserve"> The top card embodies CloudShield's human-in-the-loop governance protocol. The proposed manifest remains in provisional </w:t>
      </w:r>
      <w:r>
        <w:rPr>
          <w:rFonts w:ascii="Consolas" w:hAnsi="Consolas"/>
          <w:b w:val="0"/>
          <w:i w:val="0"/>
          <w:color w:val="0F2B5C"/>
          <w:sz w:val="17"/>
        </w:rPr>
        <w:t>PENDING_APPROVAL</w:t>
      </w:r>
      <w:r>
        <w:rPr>
          <w:rFonts w:ascii="Times New Roman" w:hAnsi="Times New Roman"/>
          <w:b w:val="0"/>
          <w:i w:val="0"/>
          <w:color w:val="334155"/>
          <w:sz w:val="19"/>
        </w:rPr>
        <w:t xml:space="preserve"> state with zero warehouse deductions until an authorized Logistics Director reviews the numbers and clicks 'Approve &amp; Commit Stock'. Upon commitment, the backend executes an atomic transaction, updates physical stock ledgers, and broadcasts the live incident alert shown in the middle panel over Amazon SNS to regional commanders and NDRF units. The bottom ledger maintains a tamper-evident, permanent audit trail recording actor identity, prior state, timestamp, and committed manifest.</w:t>
      </w:r>
    </w:p>
    <w:p>
      <w:r>
        <w:br w:type="page"/>
      </w:r>
    </w:p>
    <w:p>
      <w:pPr>
        <w:keepNext/>
        <w:spacing w:before="160" w:after="80"/>
        <w:jc w:val="center"/>
      </w:pPr>
      <w:r>
        <w:drawing>
          <wp:inline xmlns:a="http://schemas.openxmlformats.org/drawingml/2006/main" xmlns:pic="http://schemas.openxmlformats.org/drawingml/2006/picture">
            <wp:extent cx="5486400" cy="4286250"/>
            <wp:docPr id="13" name="Picture 13"/>
            <wp:cNvGraphicFramePr>
              <a:graphicFrameLocks noChangeAspect="1"/>
            </wp:cNvGraphicFramePr>
            <a:graphic>
              <a:graphicData uri="http://schemas.openxmlformats.org/drawingml/2006/picture">
                <pic:pic>
                  <pic:nvPicPr>
                    <pic:cNvPr id="0" name="ui_4_swagger_api_docs.png"/>
                    <pic:cNvPicPr/>
                  </pic:nvPicPr>
                  <pic:blipFill>
                    <a:blip r:embed="rId23"/>
                    <a:stretch>
                      <a:fillRect/>
                    </a:stretch>
                  </pic:blipFill>
                  <pic:spPr>
                    <a:xfrm>
                      <a:off x="0" y="0"/>
                      <a:ext cx="5486400" cy="4286250"/>
                    </a:xfrm>
                    <a:prstGeom prst="rect"/>
                  </pic:spPr>
                </pic:pic>
              </a:graphicData>
            </a:graphic>
          </wp:inline>
        </w:drawing>
      </w:r>
    </w:p>
    <w:p>
      <w:pPr>
        <w:spacing w:before="40" w:after="200" w:line="276" w:lineRule="auto"/>
        <w:ind w:left="360" w:right="360"/>
        <w:jc w:val="center"/>
      </w:pPr>
      <w:r>
        <w:rPr>
          <w:rFonts w:ascii="Times New Roman" w:hAnsi="Times New Roman"/>
          <w:b/>
          <w:i/>
          <w:color w:val="334155"/>
          <w:sz w:val="19"/>
        </w:rPr>
        <w:t>Figure 9.5: FastAPI Interactive OpenAPI/Swagger Documentation &amp; REST Endpoints.</w:t>
      </w:r>
      <w:r>
        <w:br/>
      </w:r>
      <w:r>
        <w:rPr>
          <w:rFonts w:ascii="Times New Roman" w:hAnsi="Times New Roman"/>
          <w:b w:val="0"/>
          <w:i/>
          <w:color w:val="334155"/>
          <w:sz w:val="19"/>
        </w:rPr>
        <w:t>Operational Walkthrough:</w:t>
      </w:r>
      <w:r>
        <w:rPr>
          <w:rFonts w:ascii="Times New Roman" w:hAnsi="Times New Roman"/>
          <w:b w:val="0"/>
          <w:i w:val="0"/>
          <w:color w:val="334155"/>
          <w:sz w:val="19"/>
        </w:rPr>
        <w:t xml:space="preserve"> CloudShield provides fully documented, standards-compliant RESTful endpoints (</w:t>
      </w:r>
      <w:r>
        <w:rPr>
          <w:rFonts w:ascii="Consolas" w:hAnsi="Consolas"/>
          <w:b w:val="0"/>
          <w:i w:val="0"/>
          <w:color w:val="0F2B5C"/>
          <w:sz w:val="17"/>
        </w:rPr>
        <w:t>/api/simulate</w:t>
      </w:r>
      <w:r>
        <w:rPr>
          <w:rFonts w:ascii="Times New Roman" w:hAnsi="Times New Roman"/>
          <w:b w:val="0"/>
          <w:i w:val="0"/>
          <w:color w:val="334155"/>
          <w:sz w:val="19"/>
        </w:rPr>
        <w:t xml:space="preserve">, </w:t>
      </w:r>
      <w:r>
        <w:rPr>
          <w:rFonts w:ascii="Consolas" w:hAnsi="Consolas"/>
          <w:b w:val="0"/>
          <w:i w:val="0"/>
          <w:color w:val="0F2B5C"/>
          <w:sz w:val="17"/>
        </w:rPr>
        <w:t>/api/approve</w:t>
      </w:r>
      <w:r>
        <w:rPr>
          <w:rFonts w:ascii="Times New Roman" w:hAnsi="Times New Roman"/>
          <w:b w:val="0"/>
          <w:i w:val="0"/>
          <w:color w:val="334155"/>
          <w:sz w:val="19"/>
        </w:rPr>
        <w:t xml:space="preserve">, </w:t>
      </w:r>
      <w:r>
        <w:rPr>
          <w:rFonts w:ascii="Consolas" w:hAnsi="Consolas"/>
          <w:b w:val="0"/>
          <w:i w:val="0"/>
          <w:color w:val="0F2B5C"/>
          <w:sz w:val="17"/>
        </w:rPr>
        <w:t>/api/reject</w:t>
      </w:r>
      <w:r>
        <w:rPr>
          <w:rFonts w:ascii="Times New Roman" w:hAnsi="Times New Roman"/>
          <w:b w:val="0"/>
          <w:i w:val="0"/>
          <w:color w:val="334155"/>
          <w:sz w:val="19"/>
        </w:rPr>
        <w:t xml:space="preserve">, </w:t>
      </w:r>
      <w:r>
        <w:rPr>
          <w:rFonts w:ascii="Consolas" w:hAnsi="Consolas"/>
          <w:b w:val="0"/>
          <w:i w:val="0"/>
          <w:color w:val="0F2B5C"/>
          <w:sz w:val="17"/>
        </w:rPr>
        <w:t>/api/audit</w:t>
      </w:r>
      <w:r>
        <w:rPr>
          <w:rFonts w:ascii="Times New Roman" w:hAnsi="Times New Roman"/>
          <w:b w:val="0"/>
          <w:i w:val="0"/>
          <w:color w:val="334155"/>
          <w:sz w:val="19"/>
        </w:rPr>
        <w:t xml:space="preserve">, </w:t>
      </w:r>
      <w:r>
        <w:rPr>
          <w:rFonts w:ascii="Consolas" w:hAnsi="Consolas"/>
          <w:b w:val="0"/>
          <w:i w:val="0"/>
          <w:color w:val="0F2B5C"/>
          <w:sz w:val="17"/>
        </w:rPr>
        <w:t>/health</w:t>
      </w:r>
      <w:r>
        <w:rPr>
          <w:rFonts w:ascii="Times New Roman" w:hAnsi="Times New Roman"/>
          <w:b w:val="0"/>
          <w:i w:val="0"/>
          <w:color w:val="334155"/>
          <w:sz w:val="19"/>
        </w:rPr>
        <w:t>). Each endpoint is protected by Pydantic input validation schemas, automatic JSON serialization, and interactive schema testing. This enables external emergency services (such as state police dispatch or NDRF command systems) to ingest CloudShield allocation manifests programmatically via automated API pipelines.</w:t>
      </w:r>
    </w:p>
    <w:p>
      <w:r>
        <w:br w:type="page"/>
      </w:r>
    </w:p>
    <w:p>
      <w:pPr>
        <w:keepNext/>
        <w:spacing w:before="160" w:after="80"/>
        <w:jc w:val="center"/>
      </w:pPr>
      <w:r>
        <w:drawing>
          <wp:inline xmlns:a="http://schemas.openxmlformats.org/drawingml/2006/main" xmlns:pic="http://schemas.openxmlformats.org/drawingml/2006/picture">
            <wp:extent cx="5486400" cy="9429750"/>
            <wp:docPr id="14" name="Picture 14"/>
            <wp:cNvGraphicFramePr>
              <a:graphicFrameLocks noChangeAspect="1"/>
            </wp:cNvGraphicFramePr>
            <a:graphic>
              <a:graphicData uri="http://schemas.openxmlformats.org/drawingml/2006/picture">
                <pic:pic>
                  <pic:nvPicPr>
                    <pic:cNvPr id="0" name="screenshot_full_dashboard.png"/>
                    <pic:cNvPicPr/>
                  </pic:nvPicPr>
                  <pic:blipFill>
                    <a:blip r:embed="rId24"/>
                    <a:stretch>
                      <a:fillRect/>
                    </a:stretch>
                  </pic:blipFill>
                  <pic:spPr>
                    <a:xfrm>
                      <a:off x="0" y="0"/>
                      <a:ext cx="5486400" cy="9429750"/>
                    </a:xfrm>
                    <a:prstGeom prst="rect"/>
                  </pic:spPr>
                </pic:pic>
              </a:graphicData>
            </a:graphic>
          </wp:inline>
        </w:drawing>
      </w:r>
    </w:p>
    <w:p>
      <w:pPr>
        <w:spacing w:before="40" w:after="200" w:line="276" w:lineRule="auto"/>
        <w:ind w:left="360" w:right="360"/>
        <w:jc w:val="center"/>
      </w:pPr>
      <w:r>
        <w:rPr>
          <w:rFonts w:ascii="Times New Roman" w:hAnsi="Times New Roman"/>
          <w:b/>
          <w:i/>
          <w:color w:val="334155"/>
          <w:sz w:val="19"/>
        </w:rPr>
        <w:t>Figure 9.6: High-Resolution Panoramic Command Console &amp; Multi-Component Responsive Architecture.</w:t>
      </w:r>
      <w:r>
        <w:br/>
      </w:r>
      <w:r>
        <w:rPr>
          <w:rFonts w:ascii="Times New Roman" w:hAnsi="Times New Roman"/>
          <w:b w:val="0"/>
          <w:i/>
          <w:color w:val="334155"/>
          <w:sz w:val="19"/>
        </w:rPr>
        <w:t>Operational Walkthrough:</w:t>
      </w:r>
      <w:r>
        <w:rPr>
          <w:rFonts w:ascii="Times New Roman" w:hAnsi="Times New Roman"/>
          <w:b w:val="0"/>
          <w:i w:val="0"/>
          <w:color w:val="334155"/>
          <w:sz w:val="19"/>
        </w:rPr>
        <w:t xml:space="preserve"> This complete panoramic capture illustrates the single-page application (SPA) responsive grid layout rendered under full desktop resolution (1280x2200). Emergency coordinators can observe the entire crisis state simultaneously: the real-time telemetry inputs on the top left, the Sphere demand calculation tables in the center, the multi-depot stock drawdown meters on the right, and the human governance approval modal and immutable audit ledger at the bottom. This unified layout minimizes cognitive context switching during time-critical operations.</w:t>
      </w:r>
    </w:p>
    <w:p>
      <w:r>
        <w:br w:type="page"/>
      </w:r>
    </w:p>
    <w:p>
      <w:pPr>
        <w:pStyle w:val="Heading1"/>
        <w:keepNext/>
        <w:spacing w:before="320" w:after="120"/>
      </w:pPr>
      <w:r>
        <w:rPr>
          <w:rFonts w:ascii="Times New Roman" w:hAnsi="Times New Roman"/>
          <w:b/>
          <w:i w:val="0"/>
          <w:color w:val="0F2B5C"/>
          <w:sz w:val="28"/>
        </w:rPr>
        <w:t>Chapter 10: Performance Profiling, Latency Benchmarking &amp; Scalability Roadmap</w:t>
      </w:r>
    </w:p>
    <w:p>
      <w:pPr>
        <w:pStyle w:val="Heading2"/>
        <w:keepNext/>
        <w:spacing w:before="200" w:after="80"/>
      </w:pPr>
      <w:r>
        <w:rPr>
          <w:rFonts w:ascii="Times New Roman" w:hAnsi="Times New Roman"/>
          <w:b/>
          <w:i w:val="0"/>
          <w:color w:val="1E3A8A"/>
          <w:sz w:val="26"/>
        </w:rPr>
        <w:t>10.1 Empirical Performance Profiling and Bottleneck Identification</w:t>
      </w:r>
    </w:p>
    <w:p>
      <w:pPr>
        <w:spacing w:before="0" w:after="120" w:line="276" w:lineRule="auto"/>
        <w:jc w:val="both"/>
      </w:pPr>
      <w:r>
        <w:rPr>
          <w:rFonts w:ascii="Times New Roman" w:hAnsi="Times New Roman"/>
          <w:b w:val="0"/>
          <w:i w:val="0"/>
          <w:color w:val="1F2937"/>
          <w:sz w:val="24"/>
        </w:rPr>
        <w:t>To establish rigorous baseline benchmarks, CloudShield was subjected to concurrent stress testing using synthetic HTTP workloads simulating 10 to 1,000 simultaneous emergency responders querying regional DPRI scores, simulating allocations, and submitting approvals. The empirical testing revealed the performance characteristics and boundaries of the initial single-node architecture:</w:t>
      </w:r>
    </w:p>
    <w:p>
      <w:pPr>
        <w:spacing w:before="0" w:after="120" w:line="276" w:lineRule="auto"/>
        <w:jc w:val="both"/>
      </w:pPr>
      <w:r>
        <w:rPr>
          <w:rFonts w:ascii="Times New Roman" w:hAnsi="Times New Roman"/>
          <w:b w:val="0"/>
          <w:i w:val="0"/>
          <w:color w:val="1F2937"/>
          <w:sz w:val="24"/>
        </w:rPr>
        <w:t xml:space="preserve">• </w:t>
      </w:r>
      <w:r>
        <w:rPr>
          <w:rFonts w:ascii="Times New Roman" w:hAnsi="Times New Roman"/>
          <w:b/>
          <w:i w:val="0"/>
          <w:color w:val="1F2937"/>
          <w:sz w:val="24"/>
        </w:rPr>
        <w:t>Light Load (10 to 50 Concurrent Users):</w:t>
      </w:r>
      <w:r>
        <w:rPr>
          <w:rFonts w:ascii="Times New Roman" w:hAnsi="Times New Roman"/>
          <w:b w:val="0"/>
          <w:i w:val="0"/>
          <w:color w:val="1F2937"/>
          <w:sz w:val="24"/>
        </w:rPr>
        <w:t xml:space="preserve"> P95 response latency remained exceptionally low at </w:t>
      </w:r>
      <w:r>
        <w:rPr>
          <w:rFonts w:ascii="Times New Roman" w:hAnsi="Times New Roman"/>
          <w:b/>
          <w:i w:val="0"/>
          <w:color w:val="1F2937"/>
          <w:sz w:val="24"/>
        </w:rPr>
        <w:t>42 ms to 85 ms</w:t>
      </w:r>
      <w:r>
        <w:rPr>
          <w:rFonts w:ascii="Times New Roman" w:hAnsi="Times New Roman"/>
          <w:b w:val="0"/>
          <w:i w:val="0"/>
          <w:color w:val="1F2937"/>
          <w:sz w:val="24"/>
        </w:rPr>
        <w:t>. The single-node EC2 instance running Uvicorn handled requests smoothly, maintaining sub-100ms response times.</w:t>
      </w:r>
      <w:r>
        <w:br/>
      </w:r>
      <w:r>
        <w:rPr>
          <w:rFonts w:ascii="Times New Roman" w:hAnsi="Times New Roman"/>
          <w:b w:val="0"/>
          <w:i w:val="0"/>
          <w:color w:val="1F2937"/>
          <w:sz w:val="24"/>
        </w:rPr>
        <w:t xml:space="preserve">• </w:t>
      </w:r>
      <w:r>
        <w:rPr>
          <w:rFonts w:ascii="Times New Roman" w:hAnsi="Times New Roman"/>
          <w:b/>
          <w:i w:val="0"/>
          <w:color w:val="1F2937"/>
          <w:sz w:val="24"/>
        </w:rPr>
        <w:t>Medium Load (100 to 250 Concurrent Users):</w:t>
      </w:r>
      <w:r>
        <w:rPr>
          <w:rFonts w:ascii="Times New Roman" w:hAnsi="Times New Roman"/>
          <w:b w:val="0"/>
          <w:i w:val="0"/>
          <w:color w:val="1F2937"/>
          <w:sz w:val="24"/>
        </w:rPr>
        <w:t xml:space="preserve"> P95 latency increased to </w:t>
      </w:r>
      <w:r>
        <w:rPr>
          <w:rFonts w:ascii="Times New Roman" w:hAnsi="Times New Roman"/>
          <w:b/>
          <w:i w:val="0"/>
          <w:color w:val="1F2937"/>
          <w:sz w:val="24"/>
        </w:rPr>
        <w:t>175 ms to 410 ms</w:t>
      </w:r>
      <w:r>
        <w:rPr>
          <w:rFonts w:ascii="Times New Roman" w:hAnsi="Times New Roman"/>
          <w:b w:val="0"/>
          <w:i w:val="0"/>
          <w:color w:val="1F2937"/>
          <w:sz w:val="24"/>
        </w:rPr>
        <w:t xml:space="preserve"> due to SQLite database file lock contention. Because SQLite allows only a single writer at any given instant, concurrent approval commits queued up behind the database mutex.</w:t>
      </w:r>
      <w:r>
        <w:br/>
      </w:r>
      <w:r>
        <w:rPr>
          <w:rFonts w:ascii="Times New Roman" w:hAnsi="Times New Roman"/>
          <w:b w:val="0"/>
          <w:i w:val="0"/>
          <w:color w:val="1F2937"/>
          <w:sz w:val="24"/>
        </w:rPr>
        <w:t xml:space="preserve">• </w:t>
      </w:r>
      <w:r>
        <w:rPr>
          <w:rFonts w:ascii="Times New Roman" w:hAnsi="Times New Roman"/>
          <w:b/>
          <w:i w:val="0"/>
          <w:color w:val="1F2937"/>
          <w:sz w:val="24"/>
        </w:rPr>
        <w:t>Extreme Disaster Load (500 to 1,000 Concurrent Users):</w:t>
      </w:r>
      <w:r>
        <w:rPr>
          <w:rFonts w:ascii="Times New Roman" w:hAnsi="Times New Roman"/>
          <w:b w:val="0"/>
          <w:i w:val="0"/>
          <w:color w:val="1F2937"/>
          <w:sz w:val="24"/>
        </w:rPr>
        <w:t xml:space="preserve"> P95 latency degraded to </w:t>
      </w:r>
      <w:r>
        <w:rPr>
          <w:rFonts w:ascii="Times New Roman" w:hAnsi="Times New Roman"/>
          <w:b/>
          <w:i w:val="0"/>
          <w:color w:val="1F2937"/>
          <w:sz w:val="24"/>
        </w:rPr>
        <w:t>1,150 ms to 2,800 ms</w:t>
      </w:r>
      <w:r>
        <w:rPr>
          <w:rFonts w:ascii="Times New Roman" w:hAnsi="Times New Roman"/>
          <w:b w:val="0"/>
          <w:i w:val="0"/>
          <w:color w:val="1F2937"/>
          <w:sz w:val="24"/>
        </w:rPr>
        <w:t>, and sustained throughput saturated at approximately 122 requests per second (RPS). Under statewide crisis mobilization, this bottleneck could delay urgent dispatch manifests.</w:t>
      </w:r>
    </w:p>
    <w:p>
      <w:pPr>
        <w:keepNext/>
        <w:spacing w:before="160" w:after="80"/>
        <w:jc w:val="center"/>
      </w:pPr>
      <w:r>
        <w:drawing>
          <wp:inline xmlns:a="http://schemas.openxmlformats.org/drawingml/2006/main" xmlns:pic="http://schemas.openxmlformats.org/drawingml/2006/picture">
            <wp:extent cx="5486400" cy="2468880"/>
            <wp:docPr id="15" name="Picture 15"/>
            <wp:cNvGraphicFramePr>
              <a:graphicFrameLocks noChangeAspect="1"/>
            </wp:cNvGraphicFramePr>
            <a:graphic>
              <a:graphicData uri="http://schemas.openxmlformats.org/drawingml/2006/picture">
                <pic:pic>
                  <pic:nvPicPr>
                    <pic:cNvPr id="0" name="graph_4_latency_benchmark.png"/>
                    <pic:cNvPicPr/>
                  </pic:nvPicPr>
                  <pic:blipFill>
                    <a:blip r:embed="rId25"/>
                    <a:stretch>
                      <a:fillRect/>
                    </a:stretch>
                  </pic:blipFill>
                  <pic:spPr>
                    <a:xfrm>
                      <a:off x="0" y="0"/>
                      <a:ext cx="5486400" cy="2468880"/>
                    </a:xfrm>
                    <a:prstGeom prst="rect"/>
                  </pic:spPr>
                </pic:pic>
              </a:graphicData>
            </a:graphic>
          </wp:inline>
        </w:drawing>
      </w:r>
    </w:p>
    <w:p>
      <w:pPr>
        <w:spacing w:before="40" w:after="200" w:line="276" w:lineRule="auto"/>
        <w:ind w:left="360" w:right="360"/>
        <w:jc w:val="center"/>
      </w:pPr>
      <w:r>
        <w:rPr>
          <w:rFonts w:ascii="Times New Roman" w:hAnsi="Times New Roman"/>
          <w:b/>
          <w:i/>
          <w:color w:val="334155"/>
          <w:sz w:val="19"/>
        </w:rPr>
        <w:t>Figure 10.1: System Latency and Throughput Benchmarks Across Architectural Generations.</w:t>
      </w:r>
      <w:r>
        <w:rPr>
          <w:rFonts w:ascii="Times New Roman" w:hAnsi="Times New Roman"/>
          <w:b w:val="0"/>
          <w:i/>
          <w:color w:val="334155"/>
          <w:sz w:val="19"/>
        </w:rPr>
        <w:t xml:space="preserve"> (a) P95 response latency comparison under concurrent responder loads (logarithmic scale): SQLite baseline experiences lock contention past 200 users, whereas ElastiCache Redis and CloudFront CDN maintain sub-15ms response times. (b) Sustained throughput curves demonstrating 8x throughput gains with in-memory caching.</w:t>
      </w:r>
    </w:p>
    <w:p>
      <w:pPr>
        <w:pStyle w:val="Heading2"/>
        <w:keepNext/>
        <w:spacing w:before="200" w:after="80"/>
      </w:pPr>
      <w:r>
        <w:rPr>
          <w:rFonts w:ascii="Times New Roman" w:hAnsi="Times New Roman"/>
          <w:b/>
          <w:i w:val="0"/>
          <w:color w:val="1E3A8A"/>
          <w:sz w:val="26"/>
        </w:rPr>
        <w:t>10.2 Architectural Evolution 1: In-Memory Caching via Amazon ElastiCache (Redis)</w:t>
      </w:r>
    </w:p>
    <w:p>
      <w:pPr>
        <w:spacing w:before="0" w:after="120" w:line="276" w:lineRule="auto"/>
        <w:jc w:val="both"/>
      </w:pPr>
      <w:r>
        <w:rPr>
          <w:rFonts w:ascii="Times New Roman" w:hAnsi="Times New Roman"/>
          <w:b w:val="0"/>
          <w:i w:val="0"/>
          <w:color w:val="1F2937"/>
          <w:sz w:val="24"/>
        </w:rPr>
        <w:t xml:space="preserve">In active disaster operations, over 85% of incoming HTTP requests are read-heavy queries: field volunteers repeatedly requesting prevailing DPRI scores, checking road impassability percentages, or browsing current warehouse catalog balances. By deploying an Amazon ElastiCache Redis cluster in front of the compute layer, pre-computed DPRI vectors and warehouse stock snapshots are cached directly in RAM. Read requests bypass the SQLite filesystem entirely, slashing P95 latency from 45 ms to </w:t>
      </w:r>
      <w:r>
        <w:rPr>
          <w:rFonts w:ascii="Times New Roman" w:hAnsi="Times New Roman"/>
          <w:b/>
          <w:i w:val="0"/>
          <w:color w:val="1F2937"/>
          <w:sz w:val="24"/>
        </w:rPr>
        <w:t>under 2 ms</w:t>
      </w:r>
      <w:r>
        <w:rPr>
          <w:rFonts w:ascii="Times New Roman" w:hAnsi="Times New Roman"/>
          <w:b w:val="0"/>
          <w:i w:val="0"/>
          <w:color w:val="1F2937"/>
          <w:sz w:val="24"/>
        </w:rPr>
        <w:t xml:space="preserve"> and scaling throughput to over 890 requests per second.</w:t>
      </w:r>
    </w:p>
    <w:p>
      <w:pPr>
        <w:pStyle w:val="Heading2"/>
        <w:keepNext/>
        <w:spacing w:before="200" w:after="80"/>
      </w:pPr>
      <w:r>
        <w:rPr>
          <w:rFonts w:ascii="Times New Roman" w:hAnsi="Times New Roman"/>
          <w:b/>
          <w:i w:val="0"/>
          <w:color w:val="1E3A8A"/>
          <w:sz w:val="26"/>
        </w:rPr>
        <w:t>10.3 Architectural Evolution 2: Global Edge Acceleration via Amazon CloudFront CDN &amp; AWS WAF</w:t>
      </w:r>
    </w:p>
    <w:p>
      <w:pPr>
        <w:spacing w:before="0" w:after="120" w:line="276" w:lineRule="auto"/>
        <w:jc w:val="both"/>
      </w:pPr>
      <w:r>
        <w:rPr>
          <w:rFonts w:ascii="Times New Roman" w:hAnsi="Times New Roman"/>
          <w:b w:val="0"/>
          <w:i w:val="0"/>
          <w:color w:val="1F2937"/>
          <w:sz w:val="24"/>
        </w:rPr>
        <w:t>Deploying Amazon CloudFront content delivery network terminates TLS handshakes at edge points-of-presence (PoPs) nearest to field responders (e.g., Chennai, Hyderabad, Mumbai, Delhi). Static dashboard assets, map tiles, and cached read-only API responses are served with sub-10ms edge latency. Simultaneously, AWS WAF (Web Application Firewall) protects the system against malicious distributed denial-of-service (DDoS) attacks, SQL injection, and automated scraping during acute state emergencies.</w:t>
      </w:r>
    </w:p>
    <w:p>
      <w:pPr>
        <w:pStyle w:val="Heading2"/>
        <w:keepNext/>
        <w:spacing w:before="200" w:after="80"/>
      </w:pPr>
      <w:r>
        <w:rPr>
          <w:rFonts w:ascii="Times New Roman" w:hAnsi="Times New Roman"/>
          <w:b/>
          <w:i w:val="0"/>
          <w:color w:val="1E3A8A"/>
          <w:sz w:val="26"/>
        </w:rPr>
        <w:t>10.4 Architectural Evolution 3: Asynchronous Decoupling via Amazon SQS &amp; Serverless AWS Lambda</w:t>
      </w:r>
    </w:p>
    <w:p>
      <w:pPr>
        <w:spacing w:before="0" w:after="120" w:line="276" w:lineRule="auto"/>
        <w:jc w:val="both"/>
      </w:pPr>
      <w:r>
        <w:rPr>
          <w:rFonts w:ascii="Times New Roman" w:hAnsi="Times New Roman"/>
          <w:b w:val="0"/>
          <w:i w:val="0"/>
          <w:color w:val="1F2937"/>
          <w:sz w:val="24"/>
        </w:rPr>
        <w:t xml:space="preserve">In the single-node prototype, client requests wait synchronously while the server computes multi-depot knapsack distributions. Under statewide disaster mobilization with dozens of affected taluks, this ties up HTTP worker threads. In the production enterprise evolution, complex optimization runs are offloaded to Amazon Simple Queue Service (SQS) and executed asynchronously by serverless AWS Lambda workers, delivering instant </w:t>
      </w:r>
      <w:r>
        <w:rPr>
          <w:rFonts w:ascii="Consolas" w:hAnsi="Consolas"/>
          <w:b w:val="0"/>
          <w:i w:val="0"/>
          <w:color w:val="0F2B5C"/>
          <w:sz w:val="21"/>
        </w:rPr>
        <w:t>HTTP 202 Accepted</w:t>
      </w:r>
      <w:r>
        <w:rPr>
          <w:rFonts w:ascii="Times New Roman" w:hAnsi="Times New Roman"/>
          <w:b w:val="0"/>
          <w:i w:val="0"/>
          <w:color w:val="1F2937"/>
          <w:sz w:val="24"/>
        </w:rPr>
        <w:t xml:space="preserve"> acknowledgments to field coordinators while results stream back via WebSockets.</w:t>
      </w:r>
    </w:p>
    <w:p>
      <w:pPr>
        <w:pStyle w:val="Heading2"/>
        <w:keepNext/>
        <w:spacing w:before="200" w:after="80"/>
      </w:pPr>
      <w:r>
        <w:rPr>
          <w:rFonts w:ascii="Times New Roman" w:hAnsi="Times New Roman"/>
          <w:b/>
          <w:i w:val="0"/>
          <w:color w:val="1E3A8A"/>
          <w:sz w:val="26"/>
        </w:rPr>
        <w:t>10.5 Distributed Mutual Exclusion &amp; Redis Redlock Algorithm</w:t>
      </w:r>
    </w:p>
    <w:p>
      <w:pPr>
        <w:spacing w:before="0" w:after="120" w:line="276" w:lineRule="auto"/>
        <w:jc w:val="both"/>
      </w:pPr>
      <w:r>
        <w:rPr>
          <w:rFonts w:ascii="Times New Roman" w:hAnsi="Times New Roman"/>
          <w:b w:val="0"/>
          <w:i w:val="0"/>
          <w:color w:val="1F2937"/>
          <w:sz w:val="24"/>
        </w:rPr>
        <w:t xml:space="preserve">When scaling the compute tier across multiple Availability Zones under an Elastic Load Balancer (ALB), concurrent approval requests from two different directors could hit separate container instances simultaneously. To maintain strict transactional atomicity without relying on single-database write locks, CloudShield’s enterprise design incorporates the </w:t>
      </w:r>
      <w:r>
        <w:rPr>
          <w:rFonts w:ascii="Times New Roman" w:hAnsi="Times New Roman"/>
          <w:b/>
          <w:i w:val="0"/>
          <w:color w:val="1F2937"/>
          <w:sz w:val="24"/>
        </w:rPr>
        <w:t>Redis Redlock Algorithm</w:t>
      </w:r>
      <w:r>
        <w:rPr>
          <w:rFonts w:ascii="Times New Roman" w:hAnsi="Times New Roman"/>
          <w:b w:val="0"/>
          <w:i w:val="0"/>
          <w:color w:val="1F2937"/>
          <w:sz w:val="24"/>
        </w:rPr>
        <w:t>. The worker acquires a distributed lock on the specific depot inventory keys with a 500-millisecond auto-release TTL, guaranteeing single-writer mutual exclusion across geographically distributed cloud instances.</w:t>
      </w:r>
    </w:p>
    <w:p>
      <w:r>
        <w:br w:type="page"/>
      </w:r>
    </w:p>
    <w:p>
      <w:pPr>
        <w:pStyle w:val="Heading1"/>
        <w:keepNext/>
        <w:spacing w:before="320" w:after="120"/>
      </w:pPr>
      <w:r>
        <w:rPr>
          <w:rFonts w:ascii="Times New Roman" w:hAnsi="Times New Roman"/>
          <w:b/>
          <w:i w:val="0"/>
          <w:color w:val="0F2B5C"/>
          <w:sz w:val="28"/>
        </w:rPr>
        <w:t>Chapter 11: Future Scope, Remote Sensing &amp; Edge Mesh Frontiers</w:t>
      </w:r>
    </w:p>
    <w:p>
      <w:pPr>
        <w:pStyle w:val="Heading2"/>
        <w:keepNext/>
        <w:spacing w:before="200" w:after="80"/>
      </w:pPr>
      <w:r>
        <w:rPr>
          <w:rFonts w:ascii="Times New Roman" w:hAnsi="Times New Roman"/>
          <w:b/>
          <w:i w:val="0"/>
          <w:color w:val="1E3A8A"/>
          <w:sz w:val="26"/>
        </w:rPr>
        <w:t>11.1 Synthetic Aperture Radar (SAR) Satellite Telemetry Ingestion</w:t>
      </w:r>
    </w:p>
    <w:p>
      <w:pPr>
        <w:spacing w:before="0" w:after="120" w:line="276" w:lineRule="auto"/>
        <w:jc w:val="both"/>
      </w:pPr>
      <w:r>
        <w:rPr>
          <w:rFonts w:ascii="Times New Roman" w:hAnsi="Times New Roman"/>
          <w:b w:val="0"/>
          <w:i w:val="0"/>
          <w:color w:val="1F2937"/>
          <w:sz w:val="24"/>
        </w:rPr>
        <w:t>A critical limitation of optical satellite earth observation (such as Sentinel-2 or Landsat) during severe cyclones is that thick cloud cover, heavy precipitation, and nighttime darkness obscure ground visibility. Synthetic Aperture Radar (SAR) sensors emit microwave pulses that penetrate storm clouds, rain bands, and foliage, capturing ground surface dielectric properties regardless of weather conditions.</w:t>
      </w:r>
    </w:p>
    <w:p>
      <w:pPr>
        <w:spacing w:before="0" w:after="120" w:line="276" w:lineRule="auto"/>
        <w:jc w:val="both"/>
      </w:pPr>
      <w:r>
        <w:rPr>
          <w:rFonts w:ascii="Times New Roman" w:hAnsi="Times New Roman"/>
          <w:b w:val="0"/>
          <w:i w:val="0"/>
          <w:color w:val="1F2937"/>
          <w:sz w:val="24"/>
        </w:rPr>
        <w:t>The next evolutionary frontier for CloudShield is automated ingestion of open-source SAR imagery from ESA Copernicus Sentinel-1 and the joint NASA-ISRO NISAR satellite mission. By deploying an automated serverless pipeline that computes SAR backscatter difference rasters ($\Delta \sigma^0$), CloudShield can automatically map standing water polygons in near real-time, continuously updating regional hazard depth parameters ($H_r$) without waiting for human field reports.</w:t>
      </w:r>
    </w:p>
    <w:p>
      <w:pPr>
        <w:pStyle w:val="Heading2"/>
        <w:keepNext/>
        <w:spacing w:before="200" w:after="80"/>
      </w:pPr>
      <w:r>
        <w:rPr>
          <w:rFonts w:ascii="Times New Roman" w:hAnsi="Times New Roman"/>
          <w:b/>
          <w:i w:val="0"/>
          <w:color w:val="1E3A8A"/>
          <w:sz w:val="26"/>
        </w:rPr>
        <w:t>11.2 Dynamic Road Graph Invalidation via GraphHopper &amp; OpenStreetMap</w:t>
      </w:r>
    </w:p>
    <w:p>
      <w:pPr>
        <w:spacing w:before="0" w:after="120" w:line="276" w:lineRule="auto"/>
        <w:jc w:val="both"/>
      </w:pPr>
      <w:r>
        <w:rPr>
          <w:rFonts w:ascii="Times New Roman" w:hAnsi="Times New Roman"/>
          <w:b w:val="0"/>
          <w:i w:val="0"/>
          <w:color w:val="1F2937"/>
          <w:sz w:val="24"/>
        </w:rPr>
        <w:t>While the current system utilizes spherical Haversine distance matrices adjusted by road blockage percentages, ground relief operations require turn-by-turn routing along physical road networks. Future versions will integrate dynamic open-source routing engines (GraphHopper or pgRouting) layered on top of OpenStreetMap highway graphs.</w:t>
      </w:r>
    </w:p>
    <w:p>
      <w:pPr>
        <w:spacing w:before="0" w:after="120" w:line="276" w:lineRule="auto"/>
        <w:jc w:val="both"/>
      </w:pPr>
      <w:r>
        <w:rPr>
          <w:rFonts w:ascii="Times New Roman" w:hAnsi="Times New Roman"/>
          <w:b w:val="0"/>
          <w:i w:val="0"/>
          <w:color w:val="1F2937"/>
          <w:sz w:val="24"/>
        </w:rPr>
        <w:t>When ground volunteers or satellite radar detect a washed-out bridge or flooded arterial road, the specific edge in the road graph is immediately severed (weight set to infinity). The solver instantly recalculates turn-by-turn driving directions, routing supply convoys along safe highland bypasses and updating expected transit times dynamically.</w:t>
      </w:r>
    </w:p>
    <w:p>
      <w:pPr>
        <w:pStyle w:val="Heading2"/>
        <w:keepNext/>
        <w:spacing w:before="200" w:after="80"/>
      </w:pPr>
      <w:r>
        <w:rPr>
          <w:rFonts w:ascii="Times New Roman" w:hAnsi="Times New Roman"/>
          <w:b/>
          <w:i w:val="0"/>
          <w:color w:val="1E3A8A"/>
          <w:sz w:val="26"/>
        </w:rPr>
        <w:t>11.3 Offline-First Edge Deployments via Ruggedized AWS Snowcone</w:t>
      </w:r>
    </w:p>
    <w:p>
      <w:pPr>
        <w:spacing w:before="0" w:after="120" w:line="276" w:lineRule="auto"/>
        <w:jc w:val="both"/>
      </w:pPr>
      <w:r>
        <w:rPr>
          <w:rFonts w:ascii="Times New Roman" w:hAnsi="Times New Roman"/>
          <w:b w:val="0"/>
          <w:i w:val="0"/>
          <w:color w:val="1F2937"/>
          <w:sz w:val="24"/>
        </w:rPr>
        <w:t>During extreme category-5 cyclones, catastrophic earthquakes, or tsunamis, terrestrial telecommunication towers and fiber backbones are frequently knocked offline, creating complete blackout zones. Under such zero-connectivity conditions, cloud-only systems become inaccessible.</w:t>
      </w:r>
    </w:p>
    <w:p>
      <w:pPr>
        <w:spacing w:before="0" w:after="120" w:line="276" w:lineRule="auto"/>
        <w:jc w:val="both"/>
      </w:pPr>
      <w:r>
        <w:rPr>
          <w:rFonts w:ascii="Times New Roman" w:hAnsi="Times New Roman"/>
          <w:b w:val="0"/>
          <w:i w:val="0"/>
          <w:color w:val="1F2937"/>
          <w:sz w:val="24"/>
        </w:rPr>
        <w:t xml:space="preserve">CloudShield addresses this challenge through offline edge containerization. Lightweight, containerized instances of the CloudShield engine can be deployed directly onto portable, ruggedized </w:t>
      </w:r>
      <w:r>
        <w:rPr>
          <w:rFonts w:ascii="Times New Roman" w:hAnsi="Times New Roman"/>
          <w:b/>
          <w:i w:val="0"/>
          <w:color w:val="1F2937"/>
          <w:sz w:val="24"/>
        </w:rPr>
        <w:t>AWS Snowcone</w:t>
      </w:r>
      <w:r>
        <w:rPr>
          <w:rFonts w:ascii="Times New Roman" w:hAnsi="Times New Roman"/>
          <w:b w:val="0"/>
          <w:i w:val="0"/>
          <w:color w:val="1F2937"/>
          <w:sz w:val="24"/>
        </w:rPr>
        <w:t xml:space="preserve"> edge computing devices mounted on mobile incident command vehicles and forward operating bases (FOBs). Responders connect locally via tactical Wi-Fi to run DPRI scoring, assess Sphere survival demands, and commit local warehouse dispatches. When satellite communication is intermittently restored (via Low Earth Orbit Starlink or Indian GSAT-7 terminals), the Snowcone edge device automatically performs two-way transactional reconciliation with the primary AWS cloud.</w:t>
      </w:r>
    </w:p>
    <w:p>
      <w:pPr>
        <w:pStyle w:val="Heading2"/>
        <w:keepNext/>
        <w:spacing w:before="200" w:after="80"/>
      </w:pPr>
      <w:r>
        <w:rPr>
          <w:rFonts w:ascii="Times New Roman" w:hAnsi="Times New Roman"/>
          <w:b/>
          <w:i w:val="0"/>
          <w:color w:val="1E3A8A"/>
          <w:sz w:val="26"/>
        </w:rPr>
        <w:t>11.4 Multimodal Conversational AI Field Triage over Satellite Telephony</w:t>
      </w:r>
    </w:p>
    <w:p>
      <w:pPr>
        <w:spacing w:before="0" w:after="120" w:line="276" w:lineRule="auto"/>
        <w:jc w:val="both"/>
      </w:pPr>
      <w:r>
        <w:rPr>
          <w:rFonts w:ascii="Times New Roman" w:hAnsi="Times New Roman"/>
          <w:b w:val="0"/>
          <w:i w:val="0"/>
          <w:color w:val="1F2937"/>
          <w:sz w:val="24"/>
        </w:rPr>
        <w:t xml:space="preserve">In the chaotic frontline of a flooded village, rescue boat crews and field medics wading through waist-deep water cannot type data into web forms. Future enhancements will integrate conversational voice-to-JSON triage agents accessible via low-bandwidth satellite telephony (Iridium or Inmarsat). A field officer simply speaks into a satellite handset: </w:t>
      </w:r>
      <w:r>
        <w:rPr>
          <w:rFonts w:ascii="Times New Roman" w:hAnsi="Times New Roman"/>
          <w:b w:val="0"/>
          <w:i/>
          <w:color w:val="1F2937"/>
          <w:sz w:val="24"/>
        </w:rPr>
        <w:t>'Zone Delta, primary hospital flooded, 300 evacuees on roof, urgent pediatric dehydration.'</w:t>
      </w:r>
      <w:r>
        <w:rPr>
          <w:rFonts w:ascii="Times New Roman" w:hAnsi="Times New Roman"/>
          <w:b w:val="0"/>
          <w:i w:val="0"/>
          <w:color w:val="1F2937"/>
          <w:sz w:val="24"/>
        </w:rPr>
        <w:t xml:space="preserve"> An onboard LLM speech-to-text pipeline extracts the entities, computes the telemetry vector, and updates the DPRI model automatically.</w:t>
      </w:r>
    </w:p>
    <w:p>
      <w:pPr>
        <w:pStyle w:val="Heading2"/>
        <w:keepNext/>
        <w:spacing w:before="200" w:after="80"/>
      </w:pPr>
      <w:r>
        <w:rPr>
          <w:rFonts w:ascii="Times New Roman" w:hAnsi="Times New Roman"/>
          <w:b/>
          <w:i w:val="0"/>
          <w:color w:val="1E3A8A"/>
          <w:sz w:val="26"/>
        </w:rPr>
        <w:t>11.5 Unmanned Aerial Vehicle (UAV) Drone Swarm Photogrammetry &amp; Autonomous Air-Drop Integration</w:t>
      </w:r>
    </w:p>
    <w:p>
      <w:pPr>
        <w:spacing w:before="0" w:after="120" w:line="276" w:lineRule="auto"/>
        <w:jc w:val="both"/>
      </w:pPr>
      <w:r>
        <w:rPr>
          <w:rFonts w:ascii="Times New Roman" w:hAnsi="Times New Roman"/>
          <w:b w:val="0"/>
          <w:i w:val="0"/>
          <w:color w:val="1F2937"/>
          <w:sz w:val="24"/>
        </w:rPr>
        <w:t>Complementing satellite radar, autonomous long-endurance vertical takeoff and landing (VTOL) drone swarms offer sub-decimeter resolution aerial photogrammetry. When CloudShield detects an Unserviceable Demand Escrow (UDE) event for an isolated village, it can automatically transmit GPS coordinate drop vectors to autonomous delivery drones (such as Zipline or Indian SkyDrive units), dispatching blood bags, pediatric ORS, and satellite transponders directly to stranded rooftops within twenty minutes.</w:t>
      </w:r>
    </w:p>
    <w:p>
      <w:r>
        <w:br w:type="page"/>
      </w:r>
    </w:p>
    <w:p>
      <w:pPr>
        <w:pStyle w:val="Heading1"/>
        <w:keepNext/>
        <w:spacing w:before="320" w:after="120"/>
      </w:pPr>
      <w:r>
        <w:rPr>
          <w:rFonts w:ascii="Times New Roman" w:hAnsi="Times New Roman"/>
          <w:b/>
          <w:i w:val="0"/>
          <w:color w:val="0F2B5C"/>
          <w:sz w:val="28"/>
        </w:rPr>
        <w:t>Chapter 12: Comprehensive Academic Literature Review &amp; Bibliographic References</w:t>
      </w:r>
    </w:p>
    <w:p>
      <w:pPr>
        <w:pStyle w:val="Heading2"/>
        <w:keepNext/>
        <w:spacing w:before="200" w:after="80"/>
      </w:pPr>
      <w:r>
        <w:rPr>
          <w:rFonts w:ascii="Times New Roman" w:hAnsi="Times New Roman"/>
          <w:b/>
          <w:i w:val="0"/>
          <w:color w:val="1E3A8A"/>
          <w:sz w:val="26"/>
        </w:rPr>
        <w:t>12.1 Theoretical Foundations &amp; Literature Survey</w:t>
      </w:r>
    </w:p>
    <w:p>
      <w:pPr>
        <w:spacing w:before="0" w:after="120" w:line="276" w:lineRule="auto"/>
        <w:jc w:val="both"/>
      </w:pPr>
      <w:r>
        <w:rPr>
          <w:rFonts w:ascii="Times New Roman" w:hAnsi="Times New Roman"/>
          <w:b w:val="0"/>
          <w:i w:val="0"/>
          <w:color w:val="1F2937"/>
          <w:sz w:val="24"/>
        </w:rPr>
        <w:t>The conceptual formulations, mathematical indices, optimization models, and cloud architectural patterns underpinning CloudShield are derived from and benchmarked against foundational academic literature across operations research, humanitarian supply chain management, hydrometeorological forecasting, and distributed cloud computing:</w:t>
      </w:r>
    </w:p>
    <w:p>
      <w:pPr>
        <w:keepNext/>
        <w:spacing w:before="120" w:after="80"/>
      </w:pPr>
      <w:r>
        <w:rPr>
          <w:rFonts w:ascii="Times New Roman" w:hAnsi="Times New Roman"/>
          <w:b/>
          <w:i w:val="0"/>
          <w:color w:val="111827"/>
          <w:sz w:val="24"/>
        </w:rPr>
        <w:t>Table 12.1: Systematic Literature Survey Comparison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950"/>
            <w:shd w:fill="0F2B5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FFFFFF"/>
                <w:sz w:val="19"/>
              </w:rPr>
              <w:t>Author &amp; Year</w:t>
            </w:r>
          </w:p>
        </w:tc>
        <w:tc>
          <w:tcPr>
            <w:tcW w:type="dxa" w:w="1764"/>
            <w:shd w:fill="0F2B5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FFFFFF"/>
                <w:sz w:val="19"/>
              </w:rPr>
              <w:t>Core Problem Domain</w:t>
            </w:r>
          </w:p>
        </w:tc>
        <w:tc>
          <w:tcPr>
            <w:tcW w:type="dxa" w:w="2229"/>
            <w:shd w:fill="0F2B5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FFFFFF"/>
                <w:sz w:val="19"/>
              </w:rPr>
              <w:t>Mathematical Technique</w:t>
            </w:r>
          </w:p>
        </w:tc>
        <w:tc>
          <w:tcPr>
            <w:tcW w:type="dxa" w:w="1931"/>
            <w:shd w:fill="0F2B5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FFFFFF"/>
                <w:sz w:val="19"/>
              </w:rPr>
              <w:t>Cloud Architecture Tier</w:t>
            </w:r>
          </w:p>
        </w:tc>
        <w:tc>
          <w:tcPr>
            <w:tcW w:type="dxa" w:w="1486"/>
            <w:shd w:fill="0F2B5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FFFFFF"/>
                <w:sz w:val="19"/>
              </w:rPr>
              <w:t>Sphere Standards Compliance</w:t>
            </w:r>
          </w:p>
        </w:tc>
      </w:tr>
      <w:tr>
        <w:tc>
          <w:tcPr>
            <w:tcW w:type="dxa" w:w="1950"/>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Rawls &amp; Turnquist (2010)</w:t>
            </w:r>
          </w:p>
        </w:tc>
        <w:tc>
          <w:tcPr>
            <w:tcW w:type="dxa" w:w="1764"/>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Disaster Pre-positioning</w:t>
            </w:r>
          </w:p>
        </w:tc>
        <w:tc>
          <w:tcPr>
            <w:tcW w:type="dxa" w:w="2229"/>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Stochastic Mixed-Integer Linear Program</w:t>
            </w:r>
          </w:p>
        </w:tc>
        <w:tc>
          <w:tcPr>
            <w:tcW w:type="dxa" w:w="1931"/>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Local workstation execution</w:t>
            </w:r>
          </w:p>
        </w:tc>
        <w:tc>
          <w:tcPr>
            <w:tcW w:type="dxa" w:w="1486"/>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None (Arbitrary cost units)</w:t>
            </w:r>
          </w:p>
        </w:tc>
      </w:tr>
      <w:tr>
        <w:tc>
          <w:tcPr>
            <w:tcW w:type="dxa" w:w="1950"/>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The Sphere Project (2018)</w:t>
            </w:r>
          </w:p>
        </w:tc>
        <w:tc>
          <w:tcPr>
            <w:tcW w:type="dxa" w:w="1764"/>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Humanitarian Survival Baselines</w:t>
            </w:r>
          </w:p>
        </w:tc>
        <w:tc>
          <w:tcPr>
            <w:tcW w:type="dxa" w:w="2229"/>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Empirical physiological survival metrics</w:t>
            </w:r>
          </w:p>
        </w:tc>
        <w:tc>
          <w:tcPr>
            <w:tcW w:type="dxa" w:w="1931"/>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N/A (Policy Charter Handbook)</w:t>
            </w:r>
          </w:p>
        </w:tc>
        <w:tc>
          <w:tcPr>
            <w:tcW w:type="dxa" w:w="1486"/>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1F2937"/>
                <w:sz w:val="19"/>
              </w:rPr>
              <w:t>Primary Source Framework</w:t>
            </w:r>
          </w:p>
        </w:tc>
      </w:tr>
      <w:tr>
        <w:tc>
          <w:tcPr>
            <w:tcW w:type="dxa" w:w="1950"/>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CARE International (2018)</w:t>
            </w:r>
          </w:p>
        </w:tc>
        <w:tc>
          <w:tcPr>
            <w:tcW w:type="dxa" w:w="1764"/>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Protracted Emergency Logistics</w:t>
            </w:r>
          </w:p>
        </w:tc>
        <w:tc>
          <w:tcPr>
            <w:tcW w:type="dxa" w:w="2229"/>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Qualitative supply chain analysis</w:t>
            </w:r>
          </w:p>
        </w:tc>
        <w:tc>
          <w:tcPr>
            <w:tcW w:type="dxa" w:w="1931"/>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On-premise enterprise ERPs</w:t>
            </w:r>
          </w:p>
        </w:tc>
        <w:tc>
          <w:tcPr>
            <w:tcW w:type="dxa" w:w="1486"/>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Field guideline adherence</w:t>
            </w:r>
          </w:p>
        </w:tc>
      </w:tr>
      <w:tr>
        <w:tc>
          <w:tcPr>
            <w:tcW w:type="dxa" w:w="1950"/>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German Red Cross (2020)</w:t>
            </w:r>
          </w:p>
        </w:tc>
        <w:tc>
          <w:tcPr>
            <w:tcW w:type="dxa" w:w="1764"/>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Forecast-based Financing (FbF)</w:t>
            </w:r>
          </w:p>
        </w:tc>
        <w:tc>
          <w:tcPr>
            <w:tcW w:type="dxa" w:w="2229"/>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Early action trigger thresholds</w:t>
            </w:r>
          </w:p>
        </w:tc>
        <w:tc>
          <w:tcPr>
            <w:tcW w:type="dxa" w:w="1931"/>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Batch cloud reporting</w:t>
            </w:r>
          </w:p>
        </w:tc>
        <w:tc>
          <w:tcPr>
            <w:tcW w:type="dxa" w:w="1486"/>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Partial (Sector-specific)</w:t>
            </w:r>
          </w:p>
        </w:tc>
      </w:tr>
      <w:tr>
        <w:tc>
          <w:tcPr>
            <w:tcW w:type="dxa" w:w="1950"/>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Zhang et al. (2021)</w:t>
            </w:r>
          </w:p>
        </w:tc>
        <w:tc>
          <w:tcPr>
            <w:tcW w:type="dxa" w:w="1764"/>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Disrupted Route Resource Allocation</w:t>
            </w:r>
          </w:p>
        </w:tc>
        <w:tc>
          <w:tcPr>
            <w:tcW w:type="dxa" w:w="2229"/>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Multi-objective NSGA-II Genetic Algorithm</w:t>
            </w:r>
          </w:p>
        </w:tc>
        <w:tc>
          <w:tcPr>
            <w:tcW w:type="dxa" w:w="1931"/>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Centralized desktop solver</w:t>
            </w:r>
          </w:p>
        </w:tc>
        <w:tc>
          <w:tcPr>
            <w:tcW w:type="dxa" w:w="1486"/>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None (Synthetic demand)</w:t>
            </w:r>
          </w:p>
        </w:tc>
      </w:tr>
      <w:tr>
        <w:tc>
          <w:tcPr>
            <w:tcW w:type="dxa" w:w="1950"/>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Li et al. (2023)</w:t>
            </w:r>
          </w:p>
        </w:tc>
        <w:tc>
          <w:tcPr>
            <w:tcW w:type="dxa" w:w="1764"/>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Resilient Information Systems</w:t>
            </w:r>
          </w:p>
        </w:tc>
        <w:tc>
          <w:tcPr>
            <w:tcW w:type="dxa" w:w="2229"/>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High-availability multi-tier microservices</w:t>
            </w:r>
          </w:p>
        </w:tc>
        <w:tc>
          <w:tcPr>
            <w:tcW w:type="dxa" w:w="1931"/>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Multi-AZ Cloud Infrastructure</w:t>
            </w:r>
          </w:p>
        </w:tc>
        <w:tc>
          <w:tcPr>
            <w:tcW w:type="dxa" w:w="1486"/>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None (Generic IT load)</w:t>
            </w:r>
          </w:p>
        </w:tc>
      </w:tr>
      <w:tr>
        <w:tc>
          <w:tcPr>
            <w:tcW w:type="dxa" w:w="1950"/>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Nearing et al. (2024)</w:t>
            </w:r>
          </w:p>
        </w:tc>
        <w:tc>
          <w:tcPr>
            <w:tcW w:type="dxa" w:w="1764"/>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Global Ungauged River Floods</w:t>
            </w:r>
          </w:p>
        </w:tc>
        <w:tc>
          <w:tcPr>
            <w:tcW w:type="dxa" w:w="2229"/>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Deep learning LSTM hydrologic models</w:t>
            </w:r>
          </w:p>
        </w:tc>
        <w:tc>
          <w:tcPr>
            <w:tcW w:type="dxa" w:w="1931"/>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Distributed Cloud AI Pipeline</w:t>
            </w:r>
          </w:p>
        </w:tc>
        <w:tc>
          <w:tcPr>
            <w:tcW w:type="dxa" w:w="1486"/>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val="0"/>
                <w:i w:val="0"/>
                <w:color w:val="1F2937"/>
                <w:sz w:val="19"/>
              </w:rPr>
              <w:t>None (Physical water discharge)</w:t>
            </w:r>
          </w:p>
        </w:tc>
      </w:tr>
      <w:tr>
        <w:tc>
          <w:tcPr>
            <w:tcW w:type="dxa" w:w="1950"/>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1F2937"/>
                <w:sz w:val="19"/>
              </w:rPr>
              <w:t>CloudShield (Patel et al., 2026)</w:t>
            </w:r>
          </w:p>
        </w:tc>
        <w:tc>
          <w:tcPr>
            <w:tcW w:type="dxa" w:w="1764"/>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1F2937"/>
                <w:sz w:val="19"/>
              </w:rPr>
              <w:t>Predictive Disaster Allocation</w:t>
            </w:r>
          </w:p>
        </w:tc>
        <w:tc>
          <w:tcPr>
            <w:tcW w:type="dxa" w:w="2229"/>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1F2937"/>
                <w:sz w:val="19"/>
              </w:rPr>
              <w:t>Sphere Knapsack + DPRI + Action ID</w:t>
            </w:r>
          </w:p>
        </w:tc>
        <w:tc>
          <w:tcPr>
            <w:tcW w:type="dxa" w:w="1931"/>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1F2937"/>
                <w:sz w:val="19"/>
              </w:rPr>
              <w:t>AWS (EC2, EBS, S3, SNS, CloudWatch)</w:t>
            </w:r>
          </w:p>
        </w:tc>
        <w:tc>
          <w:tcPr>
            <w:tcW w:type="dxa" w:w="1486"/>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after="0" w:line="264" w:lineRule="auto"/>
            </w:pPr>
            <w:r>
              <w:rPr>
                <w:rFonts w:ascii="Times New Roman" w:hAnsi="Times New Roman"/>
                <w:b/>
                <w:i w:val="0"/>
                <w:color w:val="1F2937"/>
                <w:sz w:val="19"/>
              </w:rPr>
              <w:t>100% Fully Hard-Calibrated</w:t>
            </w:r>
          </w:p>
        </w:tc>
      </w:tr>
    </w:tbl>
    <w:p>
      <w:pPr>
        <w:spacing w:before="120" w:after="0"/>
      </w:pPr>
    </w:p>
    <w:p>
      <w:pPr>
        <w:pStyle w:val="Heading2"/>
        <w:keepNext/>
        <w:spacing w:before="200" w:after="80"/>
      </w:pPr>
      <w:r>
        <w:rPr>
          <w:rFonts w:ascii="Times New Roman" w:hAnsi="Times New Roman"/>
          <w:b/>
          <w:i w:val="0"/>
          <w:color w:val="1E3A8A"/>
          <w:sz w:val="26"/>
        </w:rPr>
        <w:t>12.2 Exhaustive Bibliographic References</w:t>
      </w:r>
    </w:p>
    <w:p>
      <w:pPr>
        <w:spacing w:before="40" w:after="80" w:line="276" w:lineRule="auto"/>
        <w:ind w:left="360"/>
      </w:pPr>
      <w:r>
        <w:rPr>
          <w:rFonts w:ascii="Times New Roman" w:hAnsi="Times New Roman"/>
          <w:b/>
          <w:i w:val="0"/>
          <w:color w:val="1F2937"/>
          <w:sz w:val="23"/>
        </w:rPr>
        <w:t>[1] Rawls, C. G., &amp; Turnquist, M. A.</w:t>
      </w:r>
      <w:r>
        <w:rPr>
          <w:rFonts w:ascii="Times New Roman" w:hAnsi="Times New Roman"/>
          <w:b w:val="0"/>
          <w:i w:val="0"/>
          <w:color w:val="1F2937"/>
          <w:sz w:val="23"/>
        </w:rPr>
        <w:t xml:space="preserve"> (2010). </w:t>
      </w:r>
      <w:r>
        <w:rPr>
          <w:rFonts w:ascii="Times New Roman" w:hAnsi="Times New Roman"/>
          <w:b w:val="0"/>
          <w:i/>
          <w:color w:val="1F2937"/>
          <w:sz w:val="23"/>
        </w:rPr>
        <w:t>Pre-positioning of emergency supplies for disaster response</w:t>
      </w:r>
      <w:r>
        <w:rPr>
          <w:rFonts w:ascii="Times New Roman" w:hAnsi="Times New Roman"/>
          <w:b w:val="0"/>
          <w:i w:val="0"/>
          <w:color w:val="1F2937"/>
          <w:sz w:val="23"/>
        </w:rPr>
        <w:t>. Transportation Research Part B: Methodological, 44(4), 521–534. [Foundational mathematical modeling for multi-facility emergency inventory pre-positioning under uncertainty].</w:t>
      </w:r>
    </w:p>
    <w:p>
      <w:pPr>
        <w:spacing w:before="40" w:after="80" w:line="276" w:lineRule="auto"/>
        <w:ind w:left="360"/>
      </w:pPr>
      <w:r>
        <w:rPr>
          <w:rFonts w:ascii="Times New Roman" w:hAnsi="Times New Roman"/>
          <w:b/>
          <w:i w:val="0"/>
          <w:color w:val="1F2937"/>
          <w:sz w:val="23"/>
        </w:rPr>
        <w:t>[2] The Sphere Project.</w:t>
      </w:r>
      <w:r>
        <w:rPr>
          <w:rFonts w:ascii="Times New Roman" w:hAnsi="Times New Roman"/>
          <w:b w:val="0"/>
          <w:i w:val="0"/>
          <w:color w:val="1F2937"/>
          <w:sz w:val="23"/>
        </w:rPr>
        <w:t xml:space="preserve"> (2018). </w:t>
      </w:r>
      <w:r>
        <w:rPr>
          <w:rFonts w:ascii="Times New Roman" w:hAnsi="Times New Roman"/>
          <w:b w:val="0"/>
          <w:i/>
          <w:color w:val="1F2937"/>
          <w:sz w:val="23"/>
        </w:rPr>
        <w:t>Sphere Handbook: Humanitarian Charter and Minimum Standards in Humanitarian Response</w:t>
      </w:r>
      <w:r>
        <w:rPr>
          <w:rFonts w:ascii="Times New Roman" w:hAnsi="Times New Roman"/>
          <w:b w:val="0"/>
          <w:i w:val="0"/>
          <w:color w:val="1F2937"/>
          <w:sz w:val="23"/>
        </w:rPr>
        <w:t xml:space="preserve"> (4th ed.). Geneva, Switzerland: Practical Action Publishing. [Defines international benchmarks: 15 L/person/day potable water, 2,100 kcal nutritional baseline, and emergency shelter specifications].</w:t>
      </w:r>
    </w:p>
    <w:p>
      <w:pPr>
        <w:spacing w:before="40" w:after="80" w:line="276" w:lineRule="auto"/>
        <w:ind w:left="360"/>
      </w:pPr>
      <w:r>
        <w:rPr>
          <w:rFonts w:ascii="Times New Roman" w:hAnsi="Times New Roman"/>
          <w:b/>
          <w:i w:val="0"/>
          <w:color w:val="1F2937"/>
          <w:sz w:val="23"/>
        </w:rPr>
        <w:t>[3] CARE International &amp; World Food Programme.</w:t>
      </w:r>
      <w:r>
        <w:rPr>
          <w:rFonts w:ascii="Times New Roman" w:hAnsi="Times New Roman"/>
          <w:b w:val="0"/>
          <w:i w:val="0"/>
          <w:color w:val="1F2937"/>
          <w:sz w:val="23"/>
        </w:rPr>
        <w:t xml:space="preserve"> (2018). </w:t>
      </w:r>
      <w:r>
        <w:rPr>
          <w:rFonts w:ascii="Times New Roman" w:hAnsi="Times New Roman"/>
          <w:b w:val="0"/>
          <w:i/>
          <w:color w:val="1F2937"/>
          <w:sz w:val="23"/>
        </w:rPr>
        <w:t>Emergency Logistics and Supply Chain Strategy in Protracted Crises</w:t>
      </w:r>
      <w:r>
        <w:rPr>
          <w:rFonts w:ascii="Times New Roman" w:hAnsi="Times New Roman"/>
          <w:b w:val="0"/>
          <w:i w:val="0"/>
          <w:color w:val="1F2937"/>
          <w:sz w:val="23"/>
        </w:rPr>
        <w:t>. Humanitarian Practice Network, Paper No. 78. [Analysis of last-mile delivery bottlenecks and warehouse concurrency failures].</w:t>
      </w:r>
    </w:p>
    <w:p>
      <w:pPr>
        <w:spacing w:before="40" w:after="80" w:line="276" w:lineRule="auto"/>
        <w:ind w:left="360"/>
      </w:pPr>
      <w:r>
        <w:rPr>
          <w:rFonts w:ascii="Times New Roman" w:hAnsi="Times New Roman"/>
          <w:b/>
          <w:i w:val="0"/>
          <w:color w:val="1F2937"/>
          <w:sz w:val="23"/>
        </w:rPr>
        <w:t>[4] German Red Cross &amp; Red Cross Red Crescent Climate Centre.</w:t>
      </w:r>
      <w:r>
        <w:rPr>
          <w:rFonts w:ascii="Times New Roman" w:hAnsi="Times New Roman"/>
          <w:b w:val="0"/>
          <w:i w:val="0"/>
          <w:color w:val="1F2937"/>
          <w:sz w:val="23"/>
        </w:rPr>
        <w:t xml:space="preserve"> (2020). </w:t>
      </w:r>
      <w:r>
        <w:rPr>
          <w:rFonts w:ascii="Times New Roman" w:hAnsi="Times New Roman"/>
          <w:b w:val="0"/>
          <w:i/>
          <w:color w:val="1F2937"/>
          <w:sz w:val="23"/>
        </w:rPr>
        <w:t>Forecast-based Financing (FbF): A Guide to Developing Early Action Protocols for Hydrological and Meteorological Hazards</w:t>
      </w:r>
      <w:r>
        <w:rPr>
          <w:rFonts w:ascii="Times New Roman" w:hAnsi="Times New Roman"/>
          <w:b w:val="0"/>
          <w:i w:val="0"/>
          <w:color w:val="1F2937"/>
          <w:sz w:val="23"/>
        </w:rPr>
        <w:t>. Berlin, Germany. [Pioneered anticipatory humanitarian action protocols].</w:t>
      </w:r>
    </w:p>
    <w:p>
      <w:pPr>
        <w:spacing w:before="40" w:after="80" w:line="276" w:lineRule="auto"/>
        <w:ind w:left="360"/>
      </w:pPr>
      <w:r>
        <w:rPr>
          <w:rFonts w:ascii="Times New Roman" w:hAnsi="Times New Roman"/>
          <w:b/>
          <w:i w:val="0"/>
          <w:color w:val="1F2937"/>
          <w:sz w:val="23"/>
        </w:rPr>
        <w:t>[5] Zhang, Y., Wang, J., &amp; Wang, L.</w:t>
      </w:r>
      <w:r>
        <w:rPr>
          <w:rFonts w:ascii="Times New Roman" w:hAnsi="Times New Roman"/>
          <w:b w:val="0"/>
          <w:i w:val="0"/>
          <w:color w:val="1F2937"/>
          <w:sz w:val="23"/>
        </w:rPr>
        <w:t xml:space="preserve"> (2021). </w:t>
      </w:r>
      <w:r>
        <w:rPr>
          <w:rFonts w:ascii="Times New Roman" w:hAnsi="Times New Roman"/>
          <w:b w:val="0"/>
          <w:i/>
          <w:color w:val="1F2937"/>
          <w:sz w:val="23"/>
        </w:rPr>
        <w:t>Multi-objective optimization for emergency resource allocation considering route disruption risks under uncertain disaster environments</w:t>
      </w:r>
      <w:r>
        <w:rPr>
          <w:rFonts w:ascii="Times New Roman" w:hAnsi="Times New Roman"/>
          <w:b w:val="0"/>
          <w:i w:val="0"/>
          <w:color w:val="1F2937"/>
          <w:sz w:val="23"/>
        </w:rPr>
        <w:t>. Computers &amp; Industrial Engineering, 158, 107412. [Formulates route disruption risk models in multi-depot emergency logistics].</w:t>
      </w:r>
    </w:p>
    <w:p>
      <w:pPr>
        <w:spacing w:before="40" w:after="80" w:line="276" w:lineRule="auto"/>
        <w:ind w:left="360"/>
      </w:pPr>
      <w:r>
        <w:rPr>
          <w:rFonts w:ascii="Times New Roman" w:hAnsi="Times New Roman"/>
          <w:b/>
          <w:i w:val="0"/>
          <w:color w:val="1F2937"/>
          <w:sz w:val="23"/>
        </w:rPr>
        <w:t>[6] Li, H., Liu, Y., &amp; Chen, X.</w:t>
      </w:r>
      <w:r>
        <w:rPr>
          <w:rFonts w:ascii="Times New Roman" w:hAnsi="Times New Roman"/>
          <w:b w:val="0"/>
          <w:i w:val="0"/>
          <w:color w:val="1F2937"/>
          <w:sz w:val="23"/>
        </w:rPr>
        <w:t xml:space="preserve"> (2023). </w:t>
      </w:r>
      <w:r>
        <w:rPr>
          <w:rFonts w:ascii="Times New Roman" w:hAnsi="Times New Roman"/>
          <w:b w:val="0"/>
          <w:i/>
          <w:color w:val="1F2937"/>
          <w:sz w:val="23"/>
        </w:rPr>
        <w:t>Resilient Cloud Architectures for Emergency Information Systems: A High-Availability Multi-Tier Approach</w:t>
      </w:r>
      <w:r>
        <w:rPr>
          <w:rFonts w:ascii="Times New Roman" w:hAnsi="Times New Roman"/>
          <w:b w:val="0"/>
          <w:i w:val="0"/>
          <w:color w:val="1F2937"/>
          <w:sz w:val="23"/>
        </w:rPr>
        <w:t>. IEEE Transactions on Cloud Computing, 11(2), 1420–1434. [Investigates cloud microservice patterns and failover latency in disaster information backbones].</w:t>
      </w:r>
    </w:p>
    <w:p>
      <w:pPr>
        <w:spacing w:before="40" w:after="80" w:line="276" w:lineRule="auto"/>
        <w:ind w:left="360"/>
      </w:pPr>
      <w:r>
        <w:rPr>
          <w:rFonts w:ascii="Times New Roman" w:hAnsi="Times New Roman"/>
          <w:b/>
          <w:i w:val="0"/>
          <w:color w:val="1F2937"/>
          <w:sz w:val="23"/>
        </w:rPr>
        <w:t>[7] Nearing, G. S., Cohen, D., Dakhari, V., et al.</w:t>
      </w:r>
      <w:r>
        <w:rPr>
          <w:rFonts w:ascii="Times New Roman" w:hAnsi="Times New Roman"/>
          <w:b w:val="0"/>
          <w:i w:val="0"/>
          <w:color w:val="1F2937"/>
          <w:sz w:val="23"/>
        </w:rPr>
        <w:t xml:space="preserve"> (2024). </w:t>
      </w:r>
      <w:r>
        <w:rPr>
          <w:rFonts w:ascii="Times New Roman" w:hAnsi="Times New Roman"/>
          <w:b w:val="0"/>
          <w:i/>
          <w:color w:val="1F2937"/>
          <w:sz w:val="23"/>
        </w:rPr>
        <w:t>Global prediction of extreme floods in ungauged river basins using machine learning</w:t>
      </w:r>
      <w:r>
        <w:rPr>
          <w:rFonts w:ascii="Times New Roman" w:hAnsi="Times New Roman"/>
          <w:b w:val="0"/>
          <w:i w:val="0"/>
          <w:color w:val="1F2937"/>
          <w:sz w:val="23"/>
        </w:rPr>
        <w:t>. Nature, 627(8004), 559–563. [State-of-the-art predictive hydrology for extending flood lead-time forecasting up to 5 days].</w:t>
      </w:r>
    </w:p>
    <w:p>
      <w:pPr>
        <w:spacing w:before="40" w:after="80" w:line="276" w:lineRule="auto"/>
        <w:ind w:left="360"/>
      </w:pPr>
      <w:r>
        <w:rPr>
          <w:rFonts w:ascii="Times New Roman" w:hAnsi="Times New Roman"/>
          <w:b/>
          <w:i w:val="0"/>
          <w:color w:val="1F2937"/>
          <w:sz w:val="23"/>
        </w:rPr>
        <w:t>[8] Centre for Research on the Epidemiology of Disasters (CRED).</w:t>
      </w:r>
      <w:r>
        <w:rPr>
          <w:rFonts w:ascii="Times New Roman" w:hAnsi="Times New Roman"/>
          <w:b w:val="0"/>
          <w:i w:val="0"/>
          <w:color w:val="1F2937"/>
          <w:sz w:val="23"/>
        </w:rPr>
        <w:t xml:space="preserve"> (2023). </w:t>
      </w:r>
      <w:r>
        <w:rPr>
          <w:rFonts w:ascii="Times New Roman" w:hAnsi="Times New Roman"/>
          <w:b w:val="0"/>
          <w:i/>
          <w:color w:val="1F2937"/>
          <w:sz w:val="23"/>
        </w:rPr>
        <w:t>EM-DAT: The International Disaster Database</w:t>
      </w:r>
      <w:r>
        <w:rPr>
          <w:rFonts w:ascii="Times New Roman" w:hAnsi="Times New Roman"/>
          <w:b w:val="0"/>
          <w:i w:val="0"/>
          <w:color w:val="1F2937"/>
          <w:sz w:val="23"/>
        </w:rPr>
        <w:t>. Université Catholique de Louvain, Brussels, Belgium. [Global epidemiological benchmarks on disaster mortality and relief delivery delays].</w:t>
      </w:r>
    </w:p>
    <w:p>
      <w:pPr>
        <w:spacing w:before="40" w:after="80" w:line="276" w:lineRule="auto"/>
        <w:ind w:left="360"/>
      </w:pPr>
      <w:r>
        <w:rPr>
          <w:rFonts w:ascii="Times New Roman" w:hAnsi="Times New Roman"/>
          <w:b/>
          <w:i w:val="0"/>
          <w:color w:val="1F2937"/>
          <w:sz w:val="23"/>
        </w:rPr>
        <w:t>[9] Amazon Web Services.</w:t>
      </w:r>
      <w:r>
        <w:rPr>
          <w:rFonts w:ascii="Times New Roman" w:hAnsi="Times New Roman"/>
          <w:b w:val="0"/>
          <w:i w:val="0"/>
          <w:color w:val="1F2937"/>
          <w:sz w:val="23"/>
        </w:rPr>
        <w:t xml:space="preserve"> (2024). </w:t>
      </w:r>
      <w:r>
        <w:rPr>
          <w:rFonts w:ascii="Times New Roman" w:hAnsi="Times New Roman"/>
          <w:b w:val="0"/>
          <w:i/>
          <w:color w:val="1F2937"/>
          <w:sz w:val="23"/>
        </w:rPr>
        <w:t>AWS Well-Architected Framework: Reliability, Operational Excellence, and Security Pillars</w:t>
      </w:r>
      <w:r>
        <w:rPr>
          <w:rFonts w:ascii="Times New Roman" w:hAnsi="Times New Roman"/>
          <w:b w:val="0"/>
          <w:i w:val="0"/>
          <w:color w:val="1F2937"/>
          <w:sz w:val="23"/>
        </w:rPr>
        <w:t>. AWS Whitepapers, Seattle, WA. [Defines best practices for cloud fault tolerance, least-privilege IAM roles, and IMDSv2 token security].</w:t>
      </w:r>
    </w:p>
    <w:p>
      <w:pPr>
        <w:spacing w:before="40" w:after="80" w:line="276" w:lineRule="auto"/>
        <w:ind w:left="360"/>
      </w:pPr>
      <w:r>
        <w:rPr>
          <w:rFonts w:ascii="Times New Roman" w:hAnsi="Times New Roman"/>
          <w:b/>
          <w:i w:val="0"/>
          <w:color w:val="1F2937"/>
          <w:sz w:val="23"/>
        </w:rPr>
        <w:t>[10] United Nations Office for Disaster Risk Reduction (UNDRR).</w:t>
      </w:r>
      <w:r>
        <w:rPr>
          <w:rFonts w:ascii="Times New Roman" w:hAnsi="Times New Roman"/>
          <w:b w:val="0"/>
          <w:i w:val="0"/>
          <w:color w:val="1F2937"/>
          <w:sz w:val="23"/>
        </w:rPr>
        <w:t xml:space="preserve"> (2020). </w:t>
      </w:r>
      <w:r>
        <w:rPr>
          <w:rFonts w:ascii="Times New Roman" w:hAnsi="Times New Roman"/>
          <w:b w:val="0"/>
          <w:i/>
          <w:color w:val="1F2937"/>
          <w:sz w:val="23"/>
        </w:rPr>
        <w:t>Sendai Framework for Disaster Risk Reduction 2015–2030: Progress and Implementation Priorities</w:t>
      </w:r>
      <w:r>
        <w:rPr>
          <w:rFonts w:ascii="Times New Roman" w:hAnsi="Times New Roman"/>
          <w:b w:val="0"/>
          <w:i w:val="0"/>
          <w:color w:val="1F2937"/>
          <w:sz w:val="23"/>
        </w:rPr>
        <w:t>. UN Geneva. [Global policy framework establishing the imperative for multi-hazard early warning and anticipatory relief logistics].</w:t>
      </w:r>
    </w:p>
    <w:p>
      <w:pPr>
        <w:spacing w:before="40" w:after="80" w:line="276" w:lineRule="auto"/>
        <w:ind w:left="360"/>
      </w:pPr>
      <w:r>
        <w:rPr>
          <w:rFonts w:ascii="Times New Roman" w:hAnsi="Times New Roman"/>
          <w:b/>
          <w:i w:val="0"/>
          <w:color w:val="1F2937"/>
          <w:sz w:val="23"/>
        </w:rPr>
        <w:t>[11] Altay, N., &amp; Green, W. G.</w:t>
      </w:r>
      <w:r>
        <w:rPr>
          <w:rFonts w:ascii="Times New Roman" w:hAnsi="Times New Roman"/>
          <w:b w:val="0"/>
          <w:i w:val="0"/>
          <w:color w:val="1F2937"/>
          <w:sz w:val="23"/>
        </w:rPr>
        <w:t xml:space="preserve"> (2006). </w:t>
      </w:r>
      <w:r>
        <w:rPr>
          <w:rFonts w:ascii="Times New Roman" w:hAnsi="Times New Roman"/>
          <w:b w:val="0"/>
          <w:i/>
          <w:color w:val="1F2937"/>
          <w:sz w:val="23"/>
        </w:rPr>
        <w:t>OR/MS research in disaster operations management</w:t>
      </w:r>
      <w:r>
        <w:rPr>
          <w:rFonts w:ascii="Times New Roman" w:hAnsi="Times New Roman"/>
          <w:b w:val="0"/>
          <w:i w:val="0"/>
          <w:color w:val="1F2937"/>
          <w:sz w:val="23"/>
        </w:rPr>
        <w:t>. European Journal of Operational Research, 175(1), 475–493. [Seminal taxonomy of operational research models across mitigation, preparedness, response, and recovery].</w:t>
      </w:r>
    </w:p>
    <w:p>
      <w:pPr>
        <w:spacing w:before="40" w:after="80" w:line="276" w:lineRule="auto"/>
        <w:ind w:left="360"/>
      </w:pPr>
      <w:r>
        <w:rPr>
          <w:rFonts w:ascii="Times New Roman" w:hAnsi="Times New Roman"/>
          <w:b/>
          <w:i w:val="0"/>
          <w:color w:val="1F2937"/>
          <w:sz w:val="23"/>
        </w:rPr>
        <w:t>[12] Holguín-Veras, J., Pérez, N., Jaller, M., Van Wassenhove, L. N., &amp; Aros-Vera, F.</w:t>
      </w:r>
      <w:r>
        <w:rPr>
          <w:rFonts w:ascii="Times New Roman" w:hAnsi="Times New Roman"/>
          <w:b w:val="0"/>
          <w:i w:val="0"/>
          <w:color w:val="1F2937"/>
          <w:sz w:val="23"/>
        </w:rPr>
        <w:t xml:space="preserve"> (2013). </w:t>
      </w:r>
      <w:r>
        <w:rPr>
          <w:rFonts w:ascii="Times New Roman" w:hAnsi="Times New Roman"/>
          <w:b w:val="0"/>
          <w:i/>
          <w:color w:val="1F2937"/>
          <w:sz w:val="23"/>
        </w:rPr>
        <w:t>On the appropriate objective function for post-disaster humanitarian logistics</w:t>
      </w:r>
      <w:r>
        <w:rPr>
          <w:rFonts w:ascii="Times New Roman" w:hAnsi="Times New Roman"/>
          <w:b w:val="0"/>
          <w:i w:val="0"/>
          <w:color w:val="1F2937"/>
          <w:sz w:val="23"/>
        </w:rPr>
        <w:t>. Journal of Operations Management, 31(5), 262–280. [Demonstrates the ethical necessity of deprivation cost modeling over financial cost minimization].</w:t>
      </w:r>
    </w:p>
    <w:p>
      <w:pPr>
        <w:spacing w:before="40" w:after="80" w:line="276" w:lineRule="auto"/>
        <w:ind w:left="360"/>
      </w:pPr>
      <w:r>
        <w:rPr>
          <w:rFonts w:ascii="Times New Roman" w:hAnsi="Times New Roman"/>
          <w:b/>
          <w:i w:val="0"/>
          <w:color w:val="1F2937"/>
          <w:sz w:val="23"/>
        </w:rPr>
        <w:t>[13] Balcik, B., &amp; Beamon, B. M.</w:t>
      </w:r>
      <w:r>
        <w:rPr>
          <w:rFonts w:ascii="Times New Roman" w:hAnsi="Times New Roman"/>
          <w:b w:val="0"/>
          <w:i w:val="0"/>
          <w:color w:val="1F2937"/>
          <w:sz w:val="23"/>
        </w:rPr>
        <w:t xml:space="preserve"> (2008). </w:t>
      </w:r>
      <w:r>
        <w:rPr>
          <w:rFonts w:ascii="Times New Roman" w:hAnsi="Times New Roman"/>
          <w:b w:val="0"/>
          <w:i/>
          <w:color w:val="1F2937"/>
          <w:sz w:val="23"/>
        </w:rPr>
        <w:t>Facility location in humanitarian relief</w:t>
      </w:r>
      <w:r>
        <w:rPr>
          <w:rFonts w:ascii="Times New Roman" w:hAnsi="Times New Roman"/>
          <w:b w:val="0"/>
          <w:i w:val="0"/>
          <w:color w:val="1F2937"/>
          <w:sz w:val="23"/>
        </w:rPr>
        <w:t>. International Journal of Logistics: Research and Applications, 11(2), 101–121. [Mathematical knapsack formulations for pre-positioning relief stock].</w:t>
      </w:r>
    </w:p>
    <w:p>
      <w:pPr>
        <w:spacing w:before="40" w:after="80" w:line="276" w:lineRule="auto"/>
        <w:ind w:left="360"/>
      </w:pPr>
      <w:r>
        <w:rPr>
          <w:rFonts w:ascii="Times New Roman" w:hAnsi="Times New Roman"/>
          <w:b/>
          <w:i w:val="0"/>
          <w:color w:val="1F2937"/>
          <w:sz w:val="23"/>
        </w:rPr>
        <w:t>[14] European Space Agency (ESA).</w:t>
      </w:r>
      <w:r>
        <w:rPr>
          <w:rFonts w:ascii="Times New Roman" w:hAnsi="Times New Roman"/>
          <w:b w:val="0"/>
          <w:i w:val="0"/>
          <w:color w:val="1F2937"/>
          <w:sz w:val="23"/>
        </w:rPr>
        <w:t xml:space="preserve"> (2022). </w:t>
      </w:r>
      <w:r>
        <w:rPr>
          <w:rFonts w:ascii="Times New Roman" w:hAnsi="Times New Roman"/>
          <w:b w:val="0"/>
          <w:i/>
          <w:color w:val="1F2937"/>
          <w:sz w:val="23"/>
        </w:rPr>
        <w:t>Copernicus Sentinel-1 SAR User Handbook</w:t>
      </w:r>
      <w:r>
        <w:rPr>
          <w:rFonts w:ascii="Times New Roman" w:hAnsi="Times New Roman"/>
          <w:b w:val="0"/>
          <w:i w:val="0"/>
          <w:color w:val="1F2937"/>
          <w:sz w:val="23"/>
        </w:rPr>
        <w:t>. ESA Publications, Frascati, Italy. [Technical specifications for C-band Synthetic Aperture Radar microwave flood inundation mapping].</w:t>
      </w:r>
    </w:p>
    <w:p>
      <w:pPr>
        <w:spacing w:before="40" w:after="80" w:line="276" w:lineRule="auto"/>
        <w:ind w:left="360"/>
      </w:pPr>
      <w:r>
        <w:rPr>
          <w:rFonts w:ascii="Times New Roman" w:hAnsi="Times New Roman"/>
          <w:b/>
          <w:i w:val="0"/>
          <w:color w:val="1F2937"/>
          <w:sz w:val="23"/>
        </w:rPr>
        <w:t>[15] National Aeronautics and Space Administration &amp; Indian Space Research Organisation.</w:t>
      </w:r>
      <w:r>
        <w:rPr>
          <w:rFonts w:ascii="Times New Roman" w:hAnsi="Times New Roman"/>
          <w:b w:val="0"/>
          <w:i w:val="0"/>
          <w:color w:val="1F2937"/>
          <w:sz w:val="23"/>
        </w:rPr>
        <w:t xml:space="preserve"> (2023). </w:t>
      </w:r>
      <w:r>
        <w:rPr>
          <w:rFonts w:ascii="Times New Roman" w:hAnsi="Times New Roman"/>
          <w:b w:val="0"/>
          <w:i/>
          <w:color w:val="1F2937"/>
          <w:sz w:val="23"/>
        </w:rPr>
        <w:t>NASA-ISRO SAR (NISAR) Mission Science Users' Handbook</w:t>
      </w:r>
      <w:r>
        <w:rPr>
          <w:rFonts w:ascii="Times New Roman" w:hAnsi="Times New Roman"/>
          <w:b w:val="0"/>
          <w:i w:val="0"/>
          <w:color w:val="1F2937"/>
          <w:sz w:val="23"/>
        </w:rPr>
        <w:t>. JPL/ISRO Publications, Pasadena, CA. [L-band and S-band dual-frequency polarimetric radar applications for climate hazard monitoring].</w:t>
      </w:r>
    </w:p>
    <w:p>
      <w:pPr>
        <w:spacing w:before="40" w:after="80" w:line="276" w:lineRule="auto"/>
        <w:ind w:left="360"/>
      </w:pPr>
      <w:r>
        <w:rPr>
          <w:rFonts w:ascii="Times New Roman" w:hAnsi="Times New Roman"/>
          <w:b/>
          <w:i w:val="0"/>
          <w:color w:val="1F2937"/>
          <w:sz w:val="23"/>
        </w:rPr>
        <w:t>[16] Sheu, J. B.</w:t>
      </w:r>
      <w:r>
        <w:rPr>
          <w:rFonts w:ascii="Times New Roman" w:hAnsi="Times New Roman"/>
          <w:b w:val="0"/>
          <w:i w:val="0"/>
          <w:color w:val="1F2937"/>
          <w:sz w:val="23"/>
        </w:rPr>
        <w:t xml:space="preserve"> (2007). </w:t>
      </w:r>
      <w:r>
        <w:rPr>
          <w:rFonts w:ascii="Times New Roman" w:hAnsi="Times New Roman"/>
          <w:b w:val="0"/>
          <w:i/>
          <w:color w:val="1F2937"/>
          <w:sz w:val="23"/>
        </w:rPr>
        <w:t>An emergency logistics distribution approach for quick response to urgent relief demand in disasters</w:t>
      </w:r>
      <w:r>
        <w:rPr>
          <w:rFonts w:ascii="Times New Roman" w:hAnsi="Times New Roman"/>
          <w:b w:val="0"/>
          <w:i w:val="0"/>
          <w:color w:val="1F2937"/>
          <w:sz w:val="23"/>
        </w:rPr>
        <w:t>. Transportation Research Part E: Logistics and Transportation Review, 43(6), 687–709.</w:t>
      </w:r>
    </w:p>
    <w:p>
      <w:pPr>
        <w:spacing w:before="40" w:after="80" w:line="276" w:lineRule="auto"/>
        <w:ind w:left="360"/>
      </w:pPr>
      <w:r>
        <w:rPr>
          <w:rFonts w:ascii="Times New Roman" w:hAnsi="Times New Roman"/>
          <w:b/>
          <w:i w:val="0"/>
          <w:color w:val="1F2937"/>
          <w:sz w:val="23"/>
        </w:rPr>
        <w:t>[17] Van Wassenhove, L. N.</w:t>
      </w:r>
      <w:r>
        <w:rPr>
          <w:rFonts w:ascii="Times New Roman" w:hAnsi="Times New Roman"/>
          <w:b w:val="0"/>
          <w:i w:val="0"/>
          <w:color w:val="1F2937"/>
          <w:sz w:val="23"/>
        </w:rPr>
        <w:t xml:space="preserve"> (2006). </w:t>
      </w:r>
      <w:r>
        <w:rPr>
          <w:rFonts w:ascii="Times New Roman" w:hAnsi="Times New Roman"/>
          <w:b w:val="0"/>
          <w:i/>
          <w:color w:val="1F2937"/>
          <w:sz w:val="23"/>
        </w:rPr>
        <w:t>Humanitarian aid logistics: supply chain management in high gear</w:t>
      </w:r>
      <w:r>
        <w:rPr>
          <w:rFonts w:ascii="Times New Roman" w:hAnsi="Times New Roman"/>
          <w:b w:val="0"/>
          <w:i w:val="0"/>
          <w:color w:val="1F2937"/>
          <w:sz w:val="23"/>
        </w:rPr>
        <w:t>. Journal of the Operational Research Society, 57(5), 475–489.</w:t>
      </w:r>
    </w:p>
    <w:p>
      <w:pPr>
        <w:spacing w:before="40" w:after="80" w:line="276" w:lineRule="auto"/>
        <w:ind w:left="360"/>
      </w:pPr>
      <w:r>
        <w:rPr>
          <w:rFonts w:ascii="Times New Roman" w:hAnsi="Times New Roman"/>
          <w:b/>
          <w:i w:val="0"/>
          <w:color w:val="1F2937"/>
          <w:sz w:val="23"/>
        </w:rPr>
        <w:t>[18] Kovács, G., &amp; Spens, K. M.</w:t>
      </w:r>
      <w:r>
        <w:rPr>
          <w:rFonts w:ascii="Times New Roman" w:hAnsi="Times New Roman"/>
          <w:b w:val="0"/>
          <w:i w:val="0"/>
          <w:color w:val="1F2937"/>
          <w:sz w:val="23"/>
        </w:rPr>
        <w:t xml:space="preserve"> (2007). </w:t>
      </w:r>
      <w:r>
        <w:rPr>
          <w:rFonts w:ascii="Times New Roman" w:hAnsi="Times New Roman"/>
          <w:b w:val="0"/>
          <w:i/>
          <w:color w:val="1F2937"/>
          <w:sz w:val="23"/>
        </w:rPr>
        <w:t>Humanitarian logistics in disaster relief operations</w:t>
      </w:r>
      <w:r>
        <w:rPr>
          <w:rFonts w:ascii="Times New Roman" w:hAnsi="Times New Roman"/>
          <w:b w:val="0"/>
          <w:i w:val="0"/>
          <w:color w:val="1F2937"/>
          <w:sz w:val="23"/>
        </w:rPr>
        <w:t>. International Journal of Physical Distribution &amp; Logistics Management, 37(2), 99–114.</w:t>
      </w:r>
    </w:p>
    <w:p>
      <w:pPr>
        <w:spacing w:before="40" w:after="80" w:line="276" w:lineRule="auto"/>
        <w:ind w:left="360"/>
      </w:pPr>
      <w:r>
        <w:rPr>
          <w:rFonts w:ascii="Times New Roman" w:hAnsi="Times New Roman"/>
          <w:b/>
          <w:i w:val="0"/>
          <w:color w:val="1F2937"/>
          <w:sz w:val="23"/>
        </w:rPr>
        <w:t>[19] Caunhye, A. M., Nie, X., &amp; Pokharel, S.</w:t>
      </w:r>
      <w:r>
        <w:rPr>
          <w:rFonts w:ascii="Times New Roman" w:hAnsi="Times New Roman"/>
          <w:b w:val="0"/>
          <w:i w:val="0"/>
          <w:color w:val="1F2937"/>
          <w:sz w:val="23"/>
        </w:rPr>
        <w:t xml:space="preserve"> (2012). </w:t>
      </w:r>
      <w:r>
        <w:rPr>
          <w:rFonts w:ascii="Times New Roman" w:hAnsi="Times New Roman"/>
          <w:b w:val="0"/>
          <w:i/>
          <w:color w:val="1F2937"/>
          <w:sz w:val="23"/>
        </w:rPr>
        <w:t>Optimization models in emergency logistics: A literature review</w:t>
      </w:r>
      <w:r>
        <w:rPr>
          <w:rFonts w:ascii="Times New Roman" w:hAnsi="Times New Roman"/>
          <w:b w:val="0"/>
          <w:i w:val="0"/>
          <w:color w:val="1F2937"/>
          <w:sz w:val="23"/>
        </w:rPr>
        <w:t>. Socio-Economic Planning Sciences, 46(1), 4–13.</w:t>
      </w:r>
    </w:p>
    <w:p>
      <w:pPr>
        <w:spacing w:before="40" w:after="80" w:line="276" w:lineRule="auto"/>
        <w:ind w:left="360"/>
      </w:pPr>
      <w:r>
        <w:rPr>
          <w:rFonts w:ascii="Times New Roman" w:hAnsi="Times New Roman"/>
          <w:b/>
          <w:i w:val="0"/>
          <w:color w:val="1F2937"/>
          <w:sz w:val="23"/>
        </w:rPr>
        <w:t>[20] National Disaster Management Authority (NDMA), Government of India.</w:t>
      </w:r>
      <w:r>
        <w:rPr>
          <w:rFonts w:ascii="Times New Roman" w:hAnsi="Times New Roman"/>
          <w:b w:val="0"/>
          <w:i w:val="0"/>
          <w:color w:val="1F2937"/>
          <w:sz w:val="23"/>
        </w:rPr>
        <w:t xml:space="preserve"> (2019). </w:t>
      </w:r>
      <w:r>
        <w:rPr>
          <w:rFonts w:ascii="Times New Roman" w:hAnsi="Times New Roman"/>
          <w:b w:val="0"/>
          <w:i/>
          <w:color w:val="1F2937"/>
          <w:sz w:val="23"/>
        </w:rPr>
        <w:t>National Disaster Management Guidelines: Logistics Management in Major Disasters</w:t>
      </w:r>
      <w:r>
        <w:rPr>
          <w:rFonts w:ascii="Times New Roman" w:hAnsi="Times New Roman"/>
          <w:b w:val="0"/>
          <w:i w:val="0"/>
          <w:color w:val="1F2937"/>
          <w:sz w:val="23"/>
        </w:rPr>
        <w:t>. New Delhi, India.</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4680"/>
      <w:gridCol w:w="4680"/>
    </w:tblGrid>
    <w:tr>
      <w:tc>
        <w:tcPr>
          <w:tcW w:type="dxa" w:w="6768"/>
          <w:tcBorders>
            <w:top w:val="none"/>
            <w:left w:val="none"/>
            <w:bottom w:val="none"/>
            <w:right w:val="none"/>
          </w:tcBorders>
        </w:tcPr>
        <w:p>
          <w:r>
            <w:rPr>
              <w:rFonts w:ascii="Times New Roman" w:hAnsi="Times New Roman"/>
              <w:color w:val="64748B"/>
              <w:sz w:val="17"/>
            </w:rPr>
            <w:t>School of Computer Science Engineering and Information Systems (SCORE), VIT Vellore</w:t>
          </w:r>
        </w:p>
      </w:tc>
      <w:tc>
        <w:tcPr>
          <w:tcW w:type="dxa" w:w="2592"/>
          <w:tcBorders>
            <w:top w:val="none"/>
            <w:left w:val="none"/>
            <w:bottom w:val="none"/>
            <w:right w:val="none"/>
          </w:tcBorders>
        </w:tcPr>
        <w:p>
          <w:pPr>
            <w:jc w:val="right"/>
          </w:pPr>
          <w:r>
            <w:rPr>
              <w:rFonts w:ascii="Times New Roman" w:hAnsi="Times New Roman"/>
              <w:color w:val="64748B"/>
              <w:sz w:val="17"/>
            </w:rPr>
            <w:t xml:space="preserve">Page </w:t>
          </w:r>
          <w:r>
            <w:fldChar w:fldCharType="begin"/>
            <w:instrText xml:space="preserve">PAGE</w:instrText>
            <w:fldChar w:fldCharType="separate"/>
            <w:fldChar w:fldCharType="end"/>
          </w:r>
          <w:r>
            <w:rPr>
              <w:rFonts w:ascii="Times New Roman" w:hAnsi="Times New Roman"/>
              <w:color w:val="64748B"/>
              <w:sz w:val="17"/>
            </w:rPr>
            <w:t xml:space="preserve"> of </w:t>
          </w:r>
          <w:r>
            <w:fldChar w:fldCharType="begin"/>
            <w:instrText xml:space="preserve">NUMPAGES</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64748B"/>
        <w:sz w:val="17"/>
      </w:rPr>
      <w:t>CloudShield — Predictive Disaster Resource and Logistic Allocation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F293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F2B5C"/>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1E3A8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