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3B82F6"/>
          <w:sz w:val="44"/>
        </w:rPr>
        <w:t>TASK 3: AI-POWERED WEBSITE GENERATION</w:t>
      </w:r>
    </w:p>
    <w:p>
      <w:pPr>
        <w:spacing w:after="280"/>
      </w:pPr>
      <w:r>
        <w:rPr>
          <w:rFonts w:ascii="Arial" w:hAnsi="Arial"/>
          <w:b/>
          <w:color w:val="1A1917"/>
          <w:sz w:val="28"/>
        </w:rPr>
        <w:t>Project Case Study: Nexora AI — Autonomous Enterprise Intelligence Platform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2F1EE"/>
          </w:tcPr>
          <w:p>
            <w:r>
              <w:rPr>
                <w:b/>
                <w:color w:val="1A1917"/>
              </w:rPr>
              <w:t>Internship Organization:</w:t>
            </w:r>
          </w:p>
        </w:tc>
        <w:tc>
          <w:tcPr>
            <w:tcW w:type="dxa" w:w="4680"/>
            <w:shd w:val="clear" w:color="auto" w:fill="FAFAF9"/>
          </w:tcPr>
          <w:p>
            <w:r>
              <w:t>InAmigos Foundation ('Uniting Minds for Change')</w:t>
            </w:r>
          </w:p>
        </w:tc>
      </w:tr>
      <w:tr>
        <w:tc>
          <w:tcPr>
            <w:tcW w:type="dxa" w:w="4680"/>
            <w:shd w:val="clear" w:color="auto" w:fill="F2F1EE"/>
          </w:tcPr>
          <w:p>
            <w:r>
              <w:rPr>
                <w:b/>
                <w:color w:val="1A1917"/>
              </w:rPr>
              <w:t>Task Domain &amp; Project:</w:t>
            </w:r>
          </w:p>
        </w:tc>
        <w:tc>
          <w:tcPr>
            <w:tcW w:type="dxa" w:w="4680"/>
            <w:shd w:val="clear" w:color="auto" w:fill="FAFAF9"/>
          </w:tcPr>
          <w:p>
            <w:r>
              <w:t>AI Enterprise SaaS / Autonomous Multi-Agent Orchestration ('Nexora AI')</w:t>
            </w:r>
          </w:p>
        </w:tc>
      </w:tr>
      <w:tr>
        <w:tc>
          <w:tcPr>
            <w:tcW w:type="dxa" w:w="4680"/>
            <w:shd w:val="clear" w:color="auto" w:fill="F2F1EE"/>
          </w:tcPr>
          <w:p>
            <w:r>
              <w:rPr>
                <w:b/>
                <w:color w:val="1A1917"/>
              </w:rPr>
              <w:t>Tech Stack Generated:</w:t>
            </w:r>
          </w:p>
        </w:tc>
        <w:tc>
          <w:tcPr>
            <w:tcW w:type="dxa" w:w="4680"/>
            <w:shd w:val="clear" w:color="auto" w:fill="FAFAF9"/>
          </w:tcPr>
          <w:p>
            <w:r>
              <w:t>Semantic HTML5, Modular CSS Design System, Vanilla JavaScript (Zero Framework Bloat)</w:t>
            </w:r>
          </w:p>
        </w:tc>
      </w:tr>
      <w:tr>
        <w:tc>
          <w:tcPr>
            <w:tcW w:type="dxa" w:w="4680"/>
            <w:shd w:val="clear" w:color="auto" w:fill="F2F1EE"/>
          </w:tcPr>
          <w:p>
            <w:r>
              <w:rPr>
                <w:b/>
                <w:color w:val="1A1917"/>
              </w:rPr>
              <w:t>Core Focus:</w:t>
            </w:r>
          </w:p>
        </w:tc>
        <w:tc>
          <w:tcPr>
            <w:tcW w:type="dxa" w:w="4680"/>
            <w:shd w:val="clear" w:color="auto" w:fill="FAFAF9"/>
          </w:tcPr>
          <w:p>
            <w:r>
              <w:t>Modern Information Architecture, Interactive Agent Simulation, Scalable Design Tokens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t>1. Project Concept &amp; Domain Rationale</w:t>
      </w:r>
    </w:p>
    <w:p>
      <w:r>
        <w:t>For Task 3, rather than building a standard cookie-cutter template, we selected a cutting-edge high-value domain: Autonomous Multi-Agent Enterprise Intelligence ('Nexora AI'). As businesses and non-profits transition from simple conversational chatbots to collaborative agentic workflows, organizations require clean, deterministic, and transparent web experiences that communicate complex technology effortlessly.</w:t>
      </w:r>
    </w:p>
    <w:p>
      <w:r>
        <w:t>The core objective was to demonstrate how AI-driven web development can produce enterprise-grade digital products with zero dependency bloat, accessible typography, interactive client-side simulators, and fluid responsive layouts.</w:t>
      </w:r>
    </w:p>
    <w:p>
      <w:pPr>
        <w:pStyle w:val="Heading1"/>
        <w:spacing w:before="280" w:after="120"/>
      </w:pPr>
      <w:r>
        <w:t>2. Architectural Breakdown &amp; Core Features</w:t>
      </w:r>
    </w:p>
    <w:p>
      <w:r>
        <w:t>• Glassmorphic Sticky Navigation: Modern blurred backdrop navigation with brand SVG mark, navigation links, and adaptive mobile drawer.</w:t>
        <w:br/>
        <w:t>• High-Converting Hero Section: Value-driven headline ('Reason, Plan &amp; Execute at Scale'), social proof trust badges, and an interactive animated terminal simulating multi-agent consensus in real time.</w:t>
        <w:br/>
        <w:t>• Enterprise Services Grid: Six structured capability cards (Multi-Agent Swarm Orchestration, Neural Knowledge Graph, Zero-Trust Security, Autonomous Tool Calling, Deterministic Guardrails, Real-Time Observability).</w:t>
        <w:br/>
        <w:t>• Functional AI Swarm Simulator: Client-side interactive playground enabling users to run 4 distinct scenarios (FinTech Risk Audit, Supply Chain Disruption, Zero-Day Security Patch, ESG Carbon Tracking) with live 4-step execution animators.</w:t>
        <w:br/>
        <w:t>• Animated Social Proof &amp; Telemetry Metrics: 12x Faster execution, 99.98% reliability, 4.8M tasks run, and 68% cost reduction counters.</w:t>
        <w:br/>
        <w:t>• Dynamic Pricing Matrix: Seamless interactive toggle between Monthly and Annual billing (with automated 20% discount calculation).</w:t>
        <w:br/>
        <w:t>• Accessible FAQ Accordion: Clean, keyboard-navigable collapsible accordion addressing common enterprise and privacy questions.</w:t>
        <w:br/>
        <w:t>• Comprehensive Institutional Footer: Multi-column navigation, legal safeguards, live swarm operational status indicator.</w:t>
      </w:r>
    </w:p>
    <w:p>
      <w:pPr>
        <w:pStyle w:val="Heading1"/>
        <w:spacing w:before="280" w:after="120"/>
      </w:pPr>
      <w:r>
        <w:t>3. Visual Proof &amp; Screenshots</w:t>
      </w:r>
    </w:p>
    <w:p>
      <w:pPr/>
      <w:r>
        <w:rPr>
          <w:b/>
        </w:rPr>
        <w:t>3.1 Above-The-Fold Desktop View (1440px):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sktop_Hero_1440p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1: Desktop Hero section with live interactive terminal simulator.</w:t>
      </w:r>
    </w:p>
    <w:p>
      <w:pPr/>
      <w:r>
        <w:rPr>
          <w:b/>
        </w:rPr>
        <w:t>3.2 Full-Length Architecture View:</w:t>
      </w:r>
    </w:p>
    <w:p>
      <w:r>
        <w:drawing>
          <wp:inline xmlns:a="http://schemas.openxmlformats.org/drawingml/2006/main" xmlns:pic="http://schemas.openxmlformats.org/drawingml/2006/picture">
            <wp:extent cx="5669280" cy="18110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sktop_Full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11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2: Complete end-to-end multi-section webpage layout.</w:t>
      </w:r>
    </w:p>
    <w:p>
      <w:pPr/>
      <w:r>
        <w:rPr>
          <w:b/>
        </w:rPr>
        <w:t>3.3 Mobile Responsive Layout (375px):</w:t>
      </w:r>
    </w:p>
    <w:p>
      <w:r>
        <w:drawing>
          <wp:inline xmlns:a="http://schemas.openxmlformats.org/drawingml/2006/main" xmlns:pic="http://schemas.openxmlformats.org/drawingml/2006/picture">
            <wp:extent cx="2926080" cy="63359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obile_View_375p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5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3: Mobile viewport reflow and touch-optimized navigation.</w:t>
      </w:r>
    </w:p>
    <w:p>
      <w:pPr>
        <w:pStyle w:val="Heading1"/>
        <w:spacing w:before="280" w:after="120"/>
      </w:pPr>
      <w:r>
        <w:t>4. Reflections on AI-Powered Web Generation</w:t>
      </w:r>
    </w:p>
    <w:p>
      <w:r>
        <w:t>1. Velocity Acceleration: Building this multi-section website with interactive simulators, responsive reflow, and modern dark aesthetics traditionally takes 3-4 days of manual frontend coding. AI tools compress the cycle to under 2 hours.</w:t>
        <w:br/>
        <w:t>2. Quality through Deterministic Control: By prompting for pure semantic HTML5, modular CSS design tokens, and lightweight vanilla JavaScript rather than bloated third-party templates, we eliminated security vulnerabilities, external tracker baggage, and heavy framework dependencies.</w:t>
        <w:br/>
        <w:t>3. Real-World Relevance for Non-Profits &amp; Startups: Whether applied to an NGO awareness drive (like Task 1 &amp; Task 2) or an advanced technology product, AI web generation equips creators to build high-converting, professional, and accessible digital assets at near-zero marginal cost.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2C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