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hivaji01 Normal" w:hAnsi="Shivaji01 Normal" w:cs="Shivaji01 Normal"/>
          <w:sz w:val="28"/>
        </w:rPr>
        <w:t>maharaYT` rajya maaihtI va tM~&amp;ana</w:t>
      </w:r>
    </w:p>
    <w:p>
      <w:r>
        <w:rPr>
          <w:rFonts w:ascii="Shivaji01 Normal" w:hAnsi="Shivaji01 Normal" w:cs="Shivaji01 Normal"/>
          <w:sz w:val="28"/>
        </w:rPr>
        <w:t>maaihtI tM~&amp;ana xao~at maharaYT`anao ]llaoKnaIya p/gatI kolaI Aaho. puNao va mauMbaš hI p/mauK maaihtI tM~&amp;ana koMd/o mhNaUna ivakisat JaalaI Aahot. saMgaNak AiBayaaMi~kI va Ìi~ma bauiwma&lt;aa yaa xao~at rajyaatIla tÉNaaMcaa maÜza sahBaaga Aaho.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