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Signs and Symptoms- </w:t>
      </w:r>
      <w:r w:rsidDel="00000000" w:rsidR="00000000" w:rsidRPr="00000000">
        <w:rPr>
          <w:rtl w:val="0"/>
        </w:rPr>
        <w:t xml:space="preserve">Signs and symptoms of infection include chlorosis on leaf surfaces, white blister-like growths on the underside of leaves and on the stems of the plant, and swelling of the roots. In addition, abnormalities in the growth of the host can occur with more serious infections. These abnormalities can include deformation of flowers, twisting or distortion of the plant matter, and sterility.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Control and cure-</w:t>
      </w:r>
    </w:p>
    <w:p w:rsidR="00000000" w:rsidDel="00000000" w:rsidP="00000000" w:rsidRDefault="00000000" w:rsidRPr="00000000" w14:paraId="00000005">
      <w:pPr>
        <w:rPr/>
      </w:pPr>
      <w:r w:rsidDel="00000000" w:rsidR="00000000" w:rsidRPr="00000000">
        <w:rPr>
          <w:b w:val="1"/>
          <w:rtl w:val="0"/>
        </w:rPr>
        <w:t xml:space="preserve">1.</w:t>
      </w:r>
      <w:r w:rsidDel="00000000" w:rsidR="00000000" w:rsidRPr="00000000">
        <w:rPr>
          <w:rtl w:val="0"/>
        </w:rPr>
        <w:t xml:space="preserve">Seven organic matters (Vermicompost, FYM, Neem powder, Bone meal, Coir pith, VAM, Seaweed extract) reduce the severity of disease. </w:t>
      </w:r>
    </w:p>
    <w:p w:rsidR="00000000" w:rsidDel="00000000" w:rsidP="00000000" w:rsidRDefault="00000000" w:rsidRPr="00000000" w14:paraId="00000006">
      <w:pPr>
        <w:rPr/>
      </w:pPr>
      <w:r w:rsidDel="00000000" w:rsidR="00000000" w:rsidRPr="00000000">
        <w:rPr>
          <w:b w:val="1"/>
          <w:rtl w:val="0"/>
        </w:rPr>
        <w:t xml:space="preserve">2.</w:t>
      </w:r>
      <w:r w:rsidDel="00000000" w:rsidR="00000000" w:rsidRPr="00000000">
        <w:rPr>
          <w:rtl w:val="0"/>
        </w:rPr>
        <w:t xml:space="preserve">Using white rust cultivars. </w:t>
      </w:r>
    </w:p>
    <w:p w:rsidR="00000000" w:rsidDel="00000000" w:rsidP="00000000" w:rsidRDefault="00000000" w:rsidRPr="00000000" w14:paraId="00000007">
      <w:pPr>
        <w:rPr/>
      </w:pPr>
      <w:r w:rsidDel="00000000" w:rsidR="00000000" w:rsidRPr="00000000">
        <w:rPr>
          <w:b w:val="1"/>
          <w:rtl w:val="0"/>
        </w:rPr>
        <w:t xml:space="preserve">3.</w:t>
      </w:r>
      <w:r w:rsidDel="00000000" w:rsidR="00000000" w:rsidRPr="00000000">
        <w:rPr>
          <w:rtl w:val="0"/>
        </w:rPr>
        <w:t xml:space="preserve">Three sprays of metalaxyl + mancozeb (Ridomil MZ) at 0.144% a.i. at 50, 65 and 80 days after sowing or seed treatment with metalaxyl (Apron 35 SO) at 2.1 % a.i./kg seed plus two sprays of metalaxyl + mancozeb at 0.144% a.i. at 50 and 65 days after sowing. </w:t>
      </w:r>
    </w:p>
    <w:p w:rsidR="00000000" w:rsidDel="00000000" w:rsidP="00000000" w:rsidRDefault="00000000" w:rsidRPr="00000000" w14:paraId="00000008">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