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667" w:rsidRDefault="0001136E">
      <w:pPr>
        <w:rPr>
          <w:rFonts w:cs="Mangal"/>
          <w:b/>
          <w:bCs/>
          <w:lang w:bidi="hi-IN"/>
        </w:rPr>
      </w:pPr>
      <w:r w:rsidRPr="00963667">
        <w:rPr>
          <w:rFonts w:cs="Mangal" w:hint="cs"/>
          <w:b/>
          <w:bCs/>
          <w:lang w:bidi="hi-IN"/>
        </w:rPr>
        <w:t>Control</w:t>
      </w:r>
      <w:r>
        <w:rPr>
          <w:rFonts w:cs="Mangal" w:hint="cs"/>
          <w:lang w:bidi="hi-IN"/>
        </w:rPr>
        <w:t xml:space="preserve">  </w:t>
      </w:r>
      <w:r w:rsidR="00963667">
        <w:rPr>
          <w:rFonts w:cs="Mangal"/>
          <w:b/>
          <w:bCs/>
          <w:lang w:bidi="hi-IN"/>
        </w:rPr>
        <w:t>measures</w:t>
      </w:r>
    </w:p>
    <w:p w:rsidR="00ED6BC5" w:rsidRDefault="00ED6BC5">
      <w:pPr>
        <w:rPr>
          <w:rFonts w:cs="Mangal"/>
          <w:b/>
          <w:bCs/>
          <w:lang w:bidi="hi-IN"/>
        </w:rPr>
      </w:pPr>
    </w:p>
    <w:p w:rsidR="009C2C14" w:rsidRPr="009C2C14" w:rsidRDefault="009C2C14" w:rsidP="00C622E0">
      <w:pPr>
        <w:pStyle w:val="ListParagraph"/>
        <w:rPr>
          <w:rFonts w:cs="Mangal"/>
          <w:b/>
          <w:bCs/>
          <w:lang w:bidi="hi-IN"/>
        </w:rPr>
      </w:pP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Select healthy tubers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Avoid shallow planting of tubers. Plant the tubers to a depth at 10 - 15 cm deep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Install pheromone traps at 15/ha.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Collect and destroy all the infested tubers from the field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Do not leave the harvested tubers in the field overnight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Adopt intercropping with chilies, onion or peas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Do earthing up at 60 days after planting to avoid female moths laying eggs on the exposed tubers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Cover the upper surface of potato tubers with the branches of </w:t>
      </w:r>
      <w:r>
        <w:rPr>
          <w:rStyle w:val="Emphasis"/>
          <w:rFonts w:ascii="Arial" w:eastAsia="Times New Roman" w:hAnsi="Arial" w:cs="Arial"/>
          <w:color w:val="000000"/>
          <w:sz w:val="20"/>
          <w:szCs w:val="20"/>
        </w:rPr>
        <w:t>Lantana </w:t>
      </w:r>
      <w:r>
        <w:rPr>
          <w:rFonts w:ascii="Arial" w:eastAsia="Times New Roman" w:hAnsi="Arial" w:cs="Arial"/>
          <w:color w:val="000000"/>
          <w:sz w:val="20"/>
          <w:szCs w:val="20"/>
        </w:rPr>
        <w:t>and </w:t>
      </w:r>
      <w:r>
        <w:rPr>
          <w:rStyle w:val="Emphasis"/>
          <w:rFonts w:ascii="Arial" w:eastAsia="Times New Roman" w:hAnsi="Arial" w:cs="Arial"/>
          <w:color w:val="000000"/>
          <w:sz w:val="20"/>
          <w:szCs w:val="20"/>
        </w:rPr>
        <w:t>Eupatorium </w:t>
      </w:r>
      <w:r>
        <w:rPr>
          <w:rFonts w:ascii="Arial" w:eastAsia="Times New Roman" w:hAnsi="Arial" w:cs="Arial"/>
          <w:color w:val="000000"/>
          <w:sz w:val="20"/>
          <w:szCs w:val="20"/>
        </w:rPr>
        <w:t> to repel the ovipositing moth in the godown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Release egg larval parasitoid: </w:t>
      </w:r>
      <w:r>
        <w:rPr>
          <w:rStyle w:val="Emphasis"/>
          <w:rFonts w:ascii="Arial" w:eastAsia="Times New Roman" w:hAnsi="Arial" w:cs="Arial"/>
          <w:color w:val="000000"/>
          <w:sz w:val="20"/>
          <w:szCs w:val="20"/>
        </w:rPr>
        <w:t>Chelonus</w:t>
      </w:r>
      <w:bookmarkStart w:id="0" w:name="_GoBack"/>
      <w:bookmarkEnd w:id="0"/>
      <w:r>
        <w:rPr>
          <w:rStyle w:val="Emphasis"/>
          <w:rFonts w:ascii="Arial" w:eastAsia="Times New Roman" w:hAnsi="Arial" w:cs="Arial"/>
          <w:color w:val="000000"/>
          <w:sz w:val="20"/>
          <w:szCs w:val="20"/>
        </w:rPr>
        <w:t xml:space="preserve"> blackburnii </w:t>
      </w:r>
      <w:r>
        <w:rPr>
          <w:rFonts w:ascii="Arial" w:eastAsia="Times New Roman" w:hAnsi="Arial" w:cs="Arial"/>
          <w:color w:val="000000"/>
          <w:sz w:val="20"/>
          <w:szCs w:val="20"/>
        </w:rPr>
        <w:t>@30,000/ha twice at 40 and 70 day after planting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Spray NSKE @5% or quinalphos 25 EC @2ml/lit of water to manage foliar damage</w:t>
      </w:r>
    </w:p>
    <w:p w:rsidR="009C2C14" w:rsidRDefault="009C2C14" w:rsidP="009C2C14">
      <w:pPr>
        <w:numPr>
          <w:ilvl w:val="0"/>
          <w:numId w:val="1"/>
        </w:numPr>
        <w:spacing w:before="100" w:beforeAutospacing="1" w:after="100" w:afterAutospacing="1" w:line="240" w:lineRule="auto"/>
        <w:divId w:val="136120151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Spray </w:t>
      </w:r>
      <w:r>
        <w:rPr>
          <w:rStyle w:val="Emphasis"/>
          <w:rFonts w:ascii="Arial" w:eastAsia="Times New Roman" w:hAnsi="Arial" w:cs="Arial"/>
          <w:color w:val="000000"/>
          <w:sz w:val="20"/>
          <w:szCs w:val="20"/>
        </w:rPr>
        <w:t>Bacillus thuringiensis</w:t>
      </w:r>
      <w:r>
        <w:rPr>
          <w:rFonts w:ascii="Arial" w:eastAsia="Times New Roman" w:hAnsi="Arial" w:cs="Arial"/>
          <w:color w:val="000000"/>
          <w:sz w:val="20"/>
          <w:szCs w:val="20"/>
        </w:rPr>
        <w:t> @1 kg/ha at 10 days </w:t>
      </w:r>
    </w:p>
    <w:p w:rsidR="0001136E" w:rsidRDefault="0001136E" w:rsidP="00C622E0">
      <w:pPr>
        <w:pStyle w:val="ListParagraph"/>
      </w:pPr>
    </w:p>
    <w:sectPr w:rsidR="00011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22DD6"/>
    <w:multiLevelType w:val="hybridMultilevel"/>
    <w:tmpl w:val="83D4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805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6E"/>
    <w:rsid w:val="0001136E"/>
    <w:rsid w:val="0012430F"/>
    <w:rsid w:val="00963667"/>
    <w:rsid w:val="009C2C14"/>
    <w:rsid w:val="00A4071B"/>
    <w:rsid w:val="00C622E0"/>
    <w:rsid w:val="00D73E09"/>
    <w:rsid w:val="00ED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0BA47"/>
  <w15:chartTrackingRefBased/>
  <w15:docId w15:val="{EF573647-9EA0-4344-90DD-250DD54A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66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C2C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9</cp:revision>
  <dcterms:created xsi:type="dcterms:W3CDTF">2020-03-07T17:13:00Z</dcterms:created>
  <dcterms:modified xsi:type="dcterms:W3CDTF">2020-03-07T17:31:00Z</dcterms:modified>
</cp:coreProperties>
</file>