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496DD" w14:textId="6C70B773" w:rsidR="006E7079" w:rsidRPr="00530959" w:rsidRDefault="00EB5027">
      <w:pPr>
        <w:rPr>
          <w:rStyle w:val="normaltextrun"/>
          <w:rFonts w:ascii="Arial" w:hAnsi="Arial" w:cs="Arial"/>
          <w:color w:val="0F4761"/>
          <w:sz w:val="40"/>
          <w:szCs w:val="40"/>
          <w:shd w:val="clear" w:color="auto" w:fill="FFFFFF"/>
        </w:rPr>
      </w:pPr>
      <w:r w:rsidRPr="00530959">
        <w:rPr>
          <w:rStyle w:val="normaltextrun"/>
          <w:rFonts w:ascii="Arial" w:hAnsi="Arial" w:cs="Arial"/>
          <w:color w:val="0F4761"/>
          <w:sz w:val="40"/>
          <w:szCs w:val="40"/>
          <w:shd w:val="clear" w:color="auto" w:fill="FFFFFF"/>
        </w:rPr>
        <w:t>Part I: Diffusion Tensor Fitting in MRI</w:t>
      </w:r>
    </w:p>
    <w:p w14:paraId="6A96B063" w14:textId="6E85CBF0" w:rsidR="00C02F29" w:rsidRPr="00530959" w:rsidRDefault="00C02F29">
      <w:pPr>
        <w:rPr>
          <w:rFonts w:ascii="Arial" w:hAnsi="Arial" w:cs="Arial"/>
          <w:sz w:val="22"/>
          <w:szCs w:val="22"/>
        </w:rPr>
      </w:pPr>
      <w:r w:rsidRPr="00530959">
        <w:rPr>
          <w:rFonts w:ascii="Arial" w:hAnsi="Arial" w:cs="Arial"/>
          <w:sz w:val="22"/>
          <w:szCs w:val="22"/>
        </w:rPr>
        <w:t>Diffusion Tensor Imaging (DTI) is an MRI-based neuroimaging technique designed to quantify the diffusivity of water molecules within biological tissues, particularly in the brain.</w:t>
      </w:r>
      <w:r w:rsidR="0029086D" w:rsidRPr="00530959">
        <w:rPr>
          <w:rFonts w:ascii="Arial" w:hAnsi="Arial" w:cs="Arial"/>
          <w:sz w:val="22"/>
          <w:szCs w:val="22"/>
        </w:rPr>
        <w:t xml:space="preserve"> </w:t>
      </w:r>
      <w:r w:rsidR="0029086D" w:rsidRPr="00530959">
        <w:rPr>
          <w:rFonts w:ascii="Arial" w:hAnsi="Arial" w:cs="Arial"/>
          <w:sz w:val="22"/>
          <w:szCs w:val="22"/>
        </w:rPr>
        <w:t>The primary objective of DTI is to estimate the diffusion tensor D</w:t>
      </w:r>
      <w:r w:rsidR="0029086D" w:rsidRPr="00530959">
        <w:rPr>
          <w:rFonts w:ascii="Cambria Math" w:hAnsi="Cambria Math" w:cs="Cambria Math"/>
          <w:sz w:val="22"/>
          <w:szCs w:val="22"/>
        </w:rPr>
        <w:t>∈</w:t>
      </w:r>
      <w:r w:rsidR="0029086D" w:rsidRPr="00530959">
        <w:rPr>
          <w:rFonts w:ascii="Arial" w:hAnsi="Arial" w:cs="Arial"/>
          <w:sz w:val="22"/>
          <w:szCs w:val="22"/>
        </w:rPr>
        <w:t>R^(3×3) at each voxel in the scan, providing insights into the microstructural organisation and integrity of neural tissue (Jiang et al., 2006).</w:t>
      </w:r>
    </w:p>
    <w:p w14:paraId="7DE14DC6" w14:textId="28AF0C75" w:rsidR="0029086D" w:rsidRPr="00530959" w:rsidRDefault="0029086D">
      <w:pPr>
        <w:rPr>
          <w:rFonts w:ascii="Arial" w:hAnsi="Arial" w:cs="Arial"/>
          <w:sz w:val="22"/>
          <w:szCs w:val="22"/>
        </w:rPr>
      </w:pPr>
      <w:r w:rsidRPr="00530959">
        <w:rPr>
          <w:rFonts w:ascii="Arial" w:hAnsi="Arial" w:cs="Arial"/>
          <w:sz w:val="22"/>
          <w:szCs w:val="22"/>
        </w:rPr>
        <w:t xml:space="preserve">The physical basis of MRI relies on the nuclear spin properties of hydrogen protons, which possess a magnetic moment that aligns with an externally applied magnetic field. When subjected to a carefully tuned radiofrequency pulse, these aligned protons are excited and begin to </w:t>
      </w:r>
      <w:proofErr w:type="spellStart"/>
      <w:r w:rsidRPr="00530959">
        <w:rPr>
          <w:rFonts w:ascii="Arial" w:hAnsi="Arial" w:cs="Arial"/>
          <w:sz w:val="22"/>
          <w:szCs w:val="22"/>
        </w:rPr>
        <w:t>precess</w:t>
      </w:r>
      <w:proofErr w:type="spellEnd"/>
      <w:r w:rsidRPr="00530959">
        <w:rPr>
          <w:rFonts w:ascii="Arial" w:hAnsi="Arial" w:cs="Arial"/>
          <w:sz w:val="22"/>
          <w:szCs w:val="22"/>
        </w:rPr>
        <w:t xml:space="preserve"> around the direction of the magnetic field. As they relax back to their equilibrium state, they send out signals that are detected by the MRI scanner.</w:t>
      </w:r>
    </w:p>
    <w:p w14:paraId="482EB701" w14:textId="7B5B36DA" w:rsidR="0029086D" w:rsidRPr="00530959" w:rsidRDefault="0029086D">
      <w:pPr>
        <w:rPr>
          <w:rFonts w:ascii="Arial" w:hAnsi="Arial" w:cs="Arial"/>
          <w:sz w:val="22"/>
          <w:szCs w:val="22"/>
        </w:rPr>
      </w:pPr>
      <w:r w:rsidRPr="00530959">
        <w:rPr>
          <w:rFonts w:ascii="Arial" w:hAnsi="Arial" w:cs="Arial"/>
          <w:sz w:val="22"/>
          <w:szCs w:val="22"/>
        </w:rPr>
        <w:t>In DTI, magnetic field gradients are applied in multiple directions, and the resulting changes in signal attenuation caused by the directional diffusion of water, are used to infer the components of the diffusion tensor. This tensor captures the three-dimensional pattern of water diffusion within the brain, allowing for reconstruction of meaningful clinical indicators such as mean diffusivity and fractional anisotropy.</w:t>
      </w:r>
    </w:p>
    <w:p w14:paraId="2EF661FC" w14:textId="77777777" w:rsidR="0029086D" w:rsidRPr="00530959" w:rsidRDefault="0029086D">
      <w:pPr>
        <w:rPr>
          <w:rFonts w:ascii="Arial" w:hAnsi="Arial" w:cs="Arial"/>
          <w:sz w:val="22"/>
          <w:szCs w:val="22"/>
        </w:rPr>
      </w:pPr>
    </w:p>
    <w:p w14:paraId="246013B1" w14:textId="01DB270F" w:rsidR="0029086D" w:rsidRPr="00530959" w:rsidRDefault="0029086D">
      <w:pPr>
        <w:rPr>
          <w:rFonts w:ascii="Arial" w:hAnsi="Arial" w:cs="Arial"/>
          <w:sz w:val="22"/>
          <w:szCs w:val="22"/>
        </w:rPr>
      </w:pPr>
      <w:r w:rsidRPr="00530959">
        <w:rPr>
          <w:rFonts w:ascii="Arial" w:hAnsi="Arial" w:cs="Arial"/>
          <w:sz w:val="22"/>
          <w:szCs w:val="22"/>
        </w:rPr>
        <w:t xml:space="preserve">The acquired MRI signal </w:t>
      </w:r>
      <m:oMath>
        <m:r>
          <w:rPr>
            <w:rFonts w:ascii="Cambria Math" w:hAnsi="Cambria Math" w:cs="Arial"/>
            <w:sz w:val="22"/>
            <w:szCs w:val="22"/>
          </w:rPr>
          <m:t>S</m:t>
        </m:r>
      </m:oMath>
      <w:r w:rsidRPr="00530959">
        <w:rPr>
          <w:rFonts w:ascii="Arial" w:hAnsi="Arial" w:cs="Arial"/>
          <w:sz w:val="22"/>
          <w:szCs w:val="22"/>
        </w:rPr>
        <w:t xml:space="preserve"> under diffusion weighting decays exponentially according to: </w:t>
      </w:r>
    </w:p>
    <w:p w14:paraId="1DBCC4E9" w14:textId="77777777" w:rsidR="0029086D" w:rsidRPr="00530959" w:rsidRDefault="0029086D" w:rsidP="0029086D">
      <w:pPr>
        <w:rPr>
          <w:rFonts w:ascii="Arial" w:hAnsi="Arial" w:cs="Arial"/>
          <w:sz w:val="22"/>
          <w:szCs w:val="22"/>
        </w:rPr>
      </w:pPr>
      <m:oMathPara>
        <m:oMath>
          <m:r>
            <w:rPr>
              <w:rFonts w:ascii="Cambria Math" w:hAnsi="Cambria Math" w:cs="Arial"/>
              <w:sz w:val="22"/>
              <w:szCs w:val="22"/>
            </w:rPr>
            <m:t>S=</m:t>
          </m:r>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0</m:t>
              </m:r>
            </m:sub>
          </m:sSub>
          <m:sSup>
            <m:sSupPr>
              <m:ctrlPr>
                <w:rPr>
                  <w:rFonts w:ascii="Cambria Math" w:hAnsi="Cambria Math" w:cs="Arial"/>
                  <w:i/>
                  <w:sz w:val="22"/>
                  <w:szCs w:val="22"/>
                </w:rPr>
              </m:ctrlPr>
            </m:sSupPr>
            <m:e>
              <m:r>
                <w:rPr>
                  <w:rFonts w:ascii="Cambria Math" w:hAnsi="Cambria Math" w:cs="Arial"/>
                  <w:sz w:val="22"/>
                  <w:szCs w:val="22"/>
                </w:rPr>
                <m:t>e</m:t>
              </m:r>
            </m:e>
            <m:sup>
              <m:r>
                <w:rPr>
                  <w:rFonts w:ascii="Cambria Math" w:hAnsi="Cambria Math" w:cs="Arial"/>
                  <w:sz w:val="22"/>
                  <w:szCs w:val="22"/>
                </w:rPr>
                <m:t>-b</m:t>
              </m:r>
              <m:sSup>
                <m:sSupPr>
                  <m:ctrlPr>
                    <w:rPr>
                      <w:rFonts w:ascii="Cambria Math" w:hAnsi="Cambria Math" w:cs="Arial"/>
                      <w:i/>
                      <w:sz w:val="22"/>
                      <w:szCs w:val="22"/>
                    </w:rPr>
                  </m:ctrlPr>
                </m:sSupPr>
                <m:e>
                  <m:r>
                    <w:rPr>
                      <w:rFonts w:ascii="Cambria Math" w:hAnsi="Cambria Math" w:cs="Arial"/>
                      <w:sz w:val="22"/>
                      <w:szCs w:val="22"/>
                    </w:rPr>
                    <m:t>g</m:t>
                  </m:r>
                </m:e>
                <m:sup>
                  <m:r>
                    <w:rPr>
                      <w:rFonts w:ascii="Cambria Math" w:hAnsi="Cambria Math" w:cs="Arial"/>
                      <w:sz w:val="22"/>
                      <w:szCs w:val="22"/>
                    </w:rPr>
                    <m:t>T</m:t>
                  </m:r>
                </m:sup>
              </m:sSup>
              <m:r>
                <w:rPr>
                  <w:rFonts w:ascii="Cambria Math" w:hAnsi="Cambria Math" w:cs="Arial"/>
                  <w:sz w:val="22"/>
                  <w:szCs w:val="22"/>
                </w:rPr>
                <m:t>Dg</m:t>
              </m:r>
            </m:sup>
          </m:sSup>
        </m:oMath>
      </m:oMathPara>
    </w:p>
    <w:p w14:paraId="6DDADDF5" w14:textId="77777777" w:rsidR="0029086D" w:rsidRPr="00530959" w:rsidRDefault="0029086D" w:rsidP="0029086D">
      <w:pPr>
        <w:rPr>
          <w:rFonts w:ascii="Arial" w:hAnsi="Arial" w:cs="Arial"/>
          <w:sz w:val="22"/>
          <w:szCs w:val="22"/>
        </w:rPr>
      </w:pPr>
      <w:r w:rsidRPr="00530959">
        <w:rPr>
          <w:rFonts w:ascii="Arial" w:hAnsi="Arial" w:cs="Arial"/>
          <w:sz w:val="22"/>
          <w:szCs w:val="22"/>
        </w:rPr>
        <w:t>Where:</w:t>
      </w:r>
    </w:p>
    <w:p w14:paraId="0081EC81" w14:textId="77777777" w:rsidR="0029086D" w:rsidRPr="00530959" w:rsidRDefault="0029086D" w:rsidP="0029086D">
      <w:pPr>
        <w:rPr>
          <w:rFonts w:ascii="Arial" w:hAnsi="Arial" w:cs="Arial"/>
          <w:sz w:val="22"/>
          <w:szCs w:val="22"/>
        </w:rPr>
      </w:pPr>
      <m:oMath>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0</m:t>
            </m:r>
          </m:sub>
        </m:sSub>
      </m:oMath>
      <w:r w:rsidRPr="00530959">
        <w:rPr>
          <w:rFonts w:ascii="Arial" w:hAnsi="Arial" w:cs="Arial"/>
          <w:sz w:val="22"/>
          <w:szCs w:val="22"/>
        </w:rPr>
        <w:t xml:space="preserve"> is the baseline signal obtained without diffusion sensitisation, </w:t>
      </w:r>
    </w:p>
    <w:p w14:paraId="135AC4F1" w14:textId="77777777" w:rsidR="0029086D" w:rsidRPr="00530959" w:rsidRDefault="0029086D" w:rsidP="0029086D">
      <w:pPr>
        <w:rPr>
          <w:rFonts w:ascii="Arial" w:hAnsi="Arial" w:cs="Arial"/>
          <w:sz w:val="22"/>
          <w:szCs w:val="22"/>
        </w:rPr>
      </w:pPr>
      <m:oMath>
        <m:r>
          <w:rPr>
            <w:rFonts w:ascii="Cambria Math" w:hAnsi="Cambria Math" w:cs="Arial"/>
            <w:sz w:val="22"/>
            <w:szCs w:val="22"/>
          </w:rPr>
          <m:t>b</m:t>
        </m:r>
      </m:oMath>
      <w:r w:rsidRPr="00530959">
        <w:rPr>
          <w:rFonts w:ascii="Arial" w:hAnsi="Arial" w:cs="Arial"/>
          <w:sz w:val="22"/>
          <w:szCs w:val="22"/>
        </w:rPr>
        <w:t xml:space="preserve"> is a constant scalar known as the diffusion weighting factor, and</w:t>
      </w:r>
    </w:p>
    <w:p w14:paraId="1C420E3F" w14:textId="77777777" w:rsidR="0029086D" w:rsidRPr="00530959" w:rsidRDefault="0029086D" w:rsidP="0029086D">
      <w:pPr>
        <w:rPr>
          <w:rFonts w:ascii="Arial" w:hAnsi="Arial" w:cs="Arial"/>
          <w:sz w:val="22"/>
          <w:szCs w:val="22"/>
        </w:rPr>
      </w:pPr>
      <m:oMath>
        <m:r>
          <w:rPr>
            <w:rFonts w:ascii="Cambria Math" w:hAnsi="Cambria Math" w:cs="Arial"/>
            <w:sz w:val="22"/>
            <w:szCs w:val="22"/>
          </w:rPr>
          <m:t>g</m:t>
        </m:r>
      </m:oMath>
      <w:r w:rsidRPr="00530959">
        <w:rPr>
          <w:rFonts w:ascii="Arial" w:hAnsi="Arial" w:cs="Arial"/>
          <w:sz w:val="22"/>
          <w:szCs w:val="22"/>
        </w:rPr>
        <w:t xml:space="preserve"> is the normalised gradient direction vector.</w:t>
      </w:r>
    </w:p>
    <w:p w14:paraId="2FD9AC9A" w14:textId="77777777" w:rsidR="00C02F29" w:rsidRPr="00530959" w:rsidRDefault="00C02F29">
      <w:pPr>
        <w:rPr>
          <w:rFonts w:ascii="Arial" w:hAnsi="Arial" w:cs="Arial"/>
          <w:sz w:val="22"/>
          <w:szCs w:val="22"/>
        </w:rPr>
      </w:pPr>
    </w:p>
    <w:p w14:paraId="55B0E965" w14:textId="77777777" w:rsidR="0029086D" w:rsidRPr="00530959" w:rsidRDefault="0029086D" w:rsidP="0029086D">
      <w:pPr>
        <w:rPr>
          <w:rFonts w:ascii="Arial" w:hAnsi="Arial" w:cs="Arial"/>
          <w:sz w:val="22"/>
          <w:szCs w:val="22"/>
        </w:rPr>
      </w:pPr>
      <w:r w:rsidRPr="00530959">
        <w:rPr>
          <w:rFonts w:ascii="Arial" w:hAnsi="Arial" w:cs="Arial"/>
          <w:sz w:val="22"/>
          <w:szCs w:val="22"/>
        </w:rPr>
        <w:t xml:space="preserve">Given the symmetric nature of the diffusion tensor </w:t>
      </w:r>
      <m:oMath>
        <m:r>
          <w:rPr>
            <w:rFonts w:ascii="Cambria Math" w:hAnsi="Cambria Math" w:cs="Arial"/>
            <w:sz w:val="22"/>
            <w:szCs w:val="22"/>
          </w:rPr>
          <m:t>D</m:t>
        </m:r>
      </m:oMath>
      <w:r w:rsidRPr="00530959">
        <w:rPr>
          <w:rFonts w:ascii="Arial" w:hAnsi="Arial" w:cs="Arial"/>
          <w:sz w:val="22"/>
          <w:szCs w:val="22"/>
        </w:rPr>
        <w:t xml:space="preserve">, there are only six independent </w:t>
      </w:r>
      <w:proofErr w:type="spellStart"/>
      <w:r w:rsidRPr="00530959">
        <w:rPr>
          <w:rFonts w:ascii="Arial" w:hAnsi="Arial" w:cs="Arial"/>
          <w:sz w:val="22"/>
          <w:szCs w:val="22"/>
        </w:rPr>
        <w:t>tensor</w:t>
      </w:r>
      <w:proofErr w:type="spellEnd"/>
      <w:r w:rsidRPr="00530959">
        <w:rPr>
          <w:rFonts w:ascii="Arial" w:hAnsi="Arial" w:cs="Arial"/>
          <w:sz w:val="22"/>
          <w:szCs w:val="22"/>
        </w:rPr>
        <w:t xml:space="preserve"> components that must be estimated at each voxel, which are </w:t>
      </w:r>
      <m:oMath>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xx</m:t>
            </m:r>
          </m:sub>
        </m:sSub>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yy</m:t>
            </m:r>
          </m:sub>
        </m:sSub>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zz</m:t>
            </m:r>
          </m:sub>
        </m:sSub>
        <m:r>
          <w:rPr>
            <w:rFonts w:ascii="Cambria Math" w:hAnsi="Cambria Math" w:cs="Arial"/>
            <w:sz w:val="22"/>
            <w:szCs w:val="22"/>
          </w:rPr>
          <m:t xml:space="preserve">, Dxy, </m:t>
        </m:r>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xz</m:t>
            </m:r>
          </m:sub>
        </m:sSub>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yz</m:t>
            </m:r>
          </m:sub>
        </m:sSub>
      </m:oMath>
      <w:r w:rsidRPr="00530959">
        <w:rPr>
          <w:rFonts w:ascii="Arial" w:hAnsi="Arial" w:cs="Arial"/>
          <w:sz w:val="22"/>
          <w:szCs w:val="22"/>
        </w:rPr>
        <w:t>.</w:t>
      </w:r>
    </w:p>
    <w:p w14:paraId="7EF6BB4D" w14:textId="77777777" w:rsidR="0029086D" w:rsidRPr="00530959" w:rsidRDefault="0029086D" w:rsidP="0029086D">
      <w:pPr>
        <w:rPr>
          <w:rFonts w:ascii="Arial" w:hAnsi="Arial" w:cs="Arial"/>
          <w:sz w:val="22"/>
          <w:szCs w:val="22"/>
        </w:rPr>
      </w:pPr>
    </w:p>
    <w:p w14:paraId="5A7C8397" w14:textId="77777777" w:rsidR="0029086D" w:rsidRPr="00530959" w:rsidRDefault="0029086D" w:rsidP="0029086D">
      <w:pPr>
        <w:rPr>
          <w:rFonts w:ascii="Arial" w:hAnsi="Arial" w:cs="Arial"/>
          <w:sz w:val="22"/>
          <w:szCs w:val="22"/>
        </w:rPr>
      </w:pPr>
      <w:r w:rsidRPr="00530959">
        <w:rPr>
          <w:rFonts w:ascii="Arial" w:hAnsi="Arial" w:cs="Arial"/>
          <w:sz w:val="22"/>
          <w:szCs w:val="22"/>
        </w:rPr>
        <w:t xml:space="preserve">To estimate these tensor components, multiple MRI signals </w:t>
      </w:r>
      <m:oMath>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k</m:t>
            </m:r>
          </m:sub>
        </m:sSub>
      </m:oMath>
      <w:r w:rsidRPr="00530959">
        <w:rPr>
          <w:rFonts w:ascii="Arial" w:hAnsi="Arial" w:cs="Arial"/>
          <w:sz w:val="22"/>
          <w:szCs w:val="22"/>
        </w:rPr>
        <w:t xml:space="preserve"> are recorded with gradient pulses applied in various directions </w:t>
      </w:r>
      <m:oMath>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k</m:t>
            </m:r>
          </m:sub>
        </m:sSub>
      </m:oMath>
      <w:r w:rsidRPr="00530959">
        <w:rPr>
          <w:rFonts w:ascii="Arial" w:hAnsi="Arial" w:cs="Arial"/>
          <w:sz w:val="22"/>
          <w:szCs w:val="22"/>
        </w:rPr>
        <w:t>, typically using 30 to 64 different directions to ensure robust estimates. The signal relationship, transformed via logarithms, becomes a linear equation:</w:t>
      </w:r>
    </w:p>
    <w:p w14:paraId="17DABC24" w14:textId="1D0A9F09" w:rsidR="00530959" w:rsidRPr="00530959" w:rsidRDefault="00530959" w:rsidP="0029086D">
      <w:pPr>
        <w:rPr>
          <w:rFonts w:ascii="Arial" w:hAnsi="Arial" w:cs="Arial"/>
          <w:sz w:val="22"/>
          <w:szCs w:val="22"/>
        </w:rPr>
      </w:pPr>
      <m:oMathPara>
        <m:oMath>
          <m:func>
            <m:funcPr>
              <m:ctrlPr>
                <w:rPr>
                  <w:rFonts w:ascii="Cambria Math" w:hAnsi="Cambria Math" w:cs="Arial"/>
                  <w:i/>
                  <w:sz w:val="22"/>
                  <w:szCs w:val="22"/>
                </w:rPr>
              </m:ctrlPr>
            </m:funcPr>
            <m:fName>
              <m:r>
                <m:rPr>
                  <m:sty m:val="p"/>
                </m:rPr>
                <w:rPr>
                  <w:rFonts w:ascii="Cambria Math" w:hAnsi="Cambria Math" w:cs="Arial"/>
                  <w:sz w:val="22"/>
                  <w:szCs w:val="22"/>
                </w:rPr>
                <m:t>ln</m:t>
              </m:r>
            </m:fName>
            <m:e>
              <m:d>
                <m:dPr>
                  <m:ctrlPr>
                    <w:rPr>
                      <w:rFonts w:ascii="Cambria Math" w:hAnsi="Cambria Math" w:cs="Arial"/>
                      <w:i/>
                      <w:sz w:val="22"/>
                      <w:szCs w:val="22"/>
                    </w:rPr>
                  </m:ctrlPr>
                </m:dPr>
                <m:e>
                  <m:f>
                    <m:fPr>
                      <m:ctrlPr>
                        <w:rPr>
                          <w:rFonts w:ascii="Cambria Math" w:hAnsi="Cambria Math" w:cs="Arial"/>
                          <w:i/>
                          <w:sz w:val="22"/>
                          <w:szCs w:val="22"/>
                        </w:rPr>
                      </m:ctrlPr>
                    </m:fPr>
                    <m:num>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k</m:t>
                          </m:r>
                        </m:sub>
                      </m:sSub>
                    </m:num>
                    <m:den>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0</m:t>
                          </m:r>
                        </m:sub>
                      </m:sSub>
                    </m:den>
                  </m:f>
                </m:e>
              </m:d>
            </m:e>
          </m:func>
          <m:r>
            <w:rPr>
              <w:rFonts w:ascii="Cambria Math" w:hAnsi="Cambria Math" w:cs="Arial"/>
              <w:sz w:val="22"/>
              <w:szCs w:val="22"/>
            </w:rPr>
            <m:t>= -b</m:t>
          </m:r>
          <m:sSubSup>
            <m:sSubSupPr>
              <m:ctrlPr>
                <w:rPr>
                  <w:rFonts w:ascii="Cambria Math" w:hAnsi="Cambria Math" w:cs="Arial"/>
                  <w:i/>
                  <w:sz w:val="22"/>
                  <w:szCs w:val="22"/>
                </w:rPr>
              </m:ctrlPr>
            </m:sSubSupPr>
            <m:e>
              <m:r>
                <w:rPr>
                  <w:rFonts w:ascii="Cambria Math" w:hAnsi="Cambria Math" w:cs="Arial"/>
                  <w:sz w:val="22"/>
                  <w:szCs w:val="22"/>
                </w:rPr>
                <m:t>g</m:t>
              </m:r>
            </m:e>
            <m:sub>
              <m:r>
                <w:rPr>
                  <w:rFonts w:ascii="Cambria Math" w:hAnsi="Cambria Math" w:cs="Arial"/>
                  <w:sz w:val="22"/>
                  <w:szCs w:val="22"/>
                </w:rPr>
                <m:t>k</m:t>
              </m:r>
            </m:sub>
            <m:sup>
              <m:r>
                <w:rPr>
                  <w:rFonts w:ascii="Cambria Math" w:hAnsi="Cambria Math" w:cs="Arial"/>
                  <w:sz w:val="22"/>
                  <w:szCs w:val="22"/>
                </w:rPr>
                <m:t>T</m:t>
              </m:r>
            </m:sup>
          </m:sSubSup>
          <m:r>
            <w:rPr>
              <w:rFonts w:ascii="Cambria Math" w:hAnsi="Cambria Math" w:cs="Arial"/>
              <w:sz w:val="22"/>
              <w:szCs w:val="22"/>
            </w:rPr>
            <m:t>D</m:t>
          </m:r>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k</m:t>
              </m:r>
            </m:sub>
          </m:sSub>
        </m:oMath>
      </m:oMathPara>
    </w:p>
    <w:p w14:paraId="7A3E4203" w14:textId="77777777" w:rsidR="00530959" w:rsidRDefault="00530959" w:rsidP="00530959">
      <w:pPr>
        <w:rPr>
          <w:rFonts w:ascii="Arial" w:hAnsi="Arial" w:cs="Arial"/>
          <w:sz w:val="22"/>
          <w:szCs w:val="22"/>
        </w:rPr>
      </w:pPr>
      <w:r w:rsidRPr="00C043CD">
        <w:rPr>
          <w:rFonts w:ascii="Arial" w:hAnsi="Arial" w:cs="Arial"/>
          <w:sz w:val="22"/>
          <w:szCs w:val="22"/>
        </w:rPr>
        <w:t>Rearranging terms yields an overdetermined linear system:</w:t>
      </w:r>
    </w:p>
    <w:p w14:paraId="23394638" w14:textId="77777777" w:rsidR="00530959" w:rsidRPr="00C043CD" w:rsidRDefault="00530959" w:rsidP="00530959">
      <w:pPr>
        <w:rPr>
          <w:rFonts w:ascii="Arial" w:hAnsi="Arial" w:cs="Arial"/>
          <w:sz w:val="22"/>
          <w:szCs w:val="22"/>
        </w:rPr>
      </w:pPr>
    </w:p>
    <w:p w14:paraId="41777276" w14:textId="77777777" w:rsidR="00530959" w:rsidRPr="00C043CD" w:rsidRDefault="00530959" w:rsidP="00530959">
      <w:pPr>
        <w:rPr>
          <w:rFonts w:ascii="Arial" w:hAnsi="Arial" w:cs="Arial"/>
          <w:sz w:val="22"/>
          <w:szCs w:val="22"/>
        </w:rPr>
      </w:pPr>
      <m:oMathPara>
        <m:oMath>
          <m:r>
            <w:rPr>
              <w:rFonts w:ascii="Cambria Math" w:hAnsi="Cambria Math" w:cs="Arial"/>
              <w:sz w:val="22"/>
              <w:szCs w:val="22"/>
            </w:rPr>
            <m:t>AD=B</m:t>
          </m:r>
        </m:oMath>
      </m:oMathPara>
    </w:p>
    <w:p w14:paraId="772FE540" w14:textId="77777777" w:rsidR="00530959" w:rsidRPr="00C043CD" w:rsidRDefault="00530959" w:rsidP="00530959">
      <w:pPr>
        <w:rPr>
          <w:rFonts w:ascii="Arial" w:hAnsi="Arial" w:cs="Arial"/>
          <w:sz w:val="22"/>
          <w:szCs w:val="22"/>
        </w:rPr>
      </w:pPr>
      <w:r w:rsidRPr="00C043CD">
        <w:rPr>
          <w:rFonts w:ascii="Arial" w:hAnsi="Arial" w:cs="Arial"/>
          <w:sz w:val="22"/>
          <w:szCs w:val="22"/>
        </w:rPr>
        <w:lastRenderedPageBreak/>
        <w:t>Where:</w:t>
      </w:r>
    </w:p>
    <w:p w14:paraId="037AB8A5" w14:textId="77777777" w:rsidR="00530959" w:rsidRPr="00C043CD" w:rsidRDefault="00530959" w:rsidP="00530959">
      <w:pPr>
        <w:rPr>
          <w:rFonts w:ascii="Arial" w:hAnsi="Arial" w:cs="Arial"/>
          <w:sz w:val="22"/>
          <w:szCs w:val="22"/>
        </w:rPr>
      </w:pPr>
      <m:oMath>
        <m:r>
          <w:rPr>
            <w:rFonts w:ascii="Cambria Math" w:hAnsi="Cambria Math" w:cs="Arial"/>
            <w:sz w:val="22"/>
            <w:szCs w:val="22"/>
          </w:rPr>
          <m:t>D</m:t>
        </m:r>
      </m:oMath>
      <w:r w:rsidRPr="00C043CD">
        <w:rPr>
          <w:rFonts w:ascii="Arial" w:hAnsi="Arial" w:cs="Arial"/>
          <w:sz w:val="22"/>
          <w:szCs w:val="22"/>
        </w:rPr>
        <w:t xml:space="preserve"> is the 6-component vector of unknown tensor elements, </w:t>
      </w:r>
    </w:p>
    <w:p w14:paraId="160A571A" w14:textId="77777777" w:rsidR="00530959" w:rsidRPr="00C043CD" w:rsidRDefault="00530959" w:rsidP="00530959">
      <w:pPr>
        <w:rPr>
          <w:rFonts w:ascii="Arial" w:hAnsi="Arial" w:cs="Arial"/>
          <w:sz w:val="22"/>
          <w:szCs w:val="22"/>
        </w:rPr>
      </w:pPr>
      <m:oMath>
        <m:r>
          <w:rPr>
            <w:rFonts w:ascii="Cambria Math" w:hAnsi="Cambria Math" w:cs="Arial"/>
            <w:sz w:val="22"/>
            <w:szCs w:val="22"/>
          </w:rPr>
          <m:t>A</m:t>
        </m:r>
      </m:oMath>
      <w:r w:rsidRPr="00C043CD">
        <w:rPr>
          <w:rFonts w:ascii="Arial" w:hAnsi="Arial" w:cs="Arial"/>
          <w:sz w:val="22"/>
          <w:szCs w:val="22"/>
        </w:rPr>
        <w:t xml:space="preserve"> is the matrix composed of known gradient directions, and</w:t>
      </w:r>
    </w:p>
    <w:p w14:paraId="25BC4D06" w14:textId="77777777" w:rsidR="00530959" w:rsidRPr="00C043CD" w:rsidRDefault="00530959" w:rsidP="00530959">
      <w:pPr>
        <w:rPr>
          <w:rFonts w:ascii="Arial" w:hAnsi="Arial" w:cs="Arial"/>
          <w:sz w:val="22"/>
          <w:szCs w:val="22"/>
        </w:rPr>
      </w:pPr>
      <w:r w:rsidRPr="00C043CD">
        <w:rPr>
          <w:rFonts w:ascii="Arial" w:hAnsi="Arial" w:cs="Arial"/>
          <w:sz w:val="22"/>
          <w:szCs w:val="22"/>
        </w:rPr>
        <w:t xml:space="preserve"> </w:t>
      </w:r>
      <m:oMath>
        <m:r>
          <w:rPr>
            <w:rFonts w:ascii="Cambria Math" w:hAnsi="Cambria Math" w:cs="Arial"/>
            <w:sz w:val="22"/>
            <w:szCs w:val="22"/>
          </w:rPr>
          <m:t>B</m:t>
        </m:r>
      </m:oMath>
      <w:r w:rsidRPr="00C043CD">
        <w:rPr>
          <w:rFonts w:ascii="Arial" w:hAnsi="Arial" w:cs="Arial"/>
          <w:sz w:val="22"/>
          <w:szCs w:val="22"/>
        </w:rPr>
        <w:t xml:space="preserve"> is the vector of measured log-signal ratios.</w:t>
      </w:r>
    </w:p>
    <w:p w14:paraId="4A19448F" w14:textId="5533AA73" w:rsidR="00C02F29" w:rsidRPr="00530959" w:rsidRDefault="00F15F26">
      <w:pPr>
        <w:rPr>
          <w:rFonts w:ascii="Arial" w:hAnsi="Arial" w:cs="Arial"/>
          <w:sz w:val="22"/>
          <w:szCs w:val="22"/>
        </w:rPr>
      </w:pPr>
      <w:r w:rsidRPr="00F15F26">
        <w:rPr>
          <w:rFonts w:ascii="Arial" w:hAnsi="Arial" w:cs="Arial"/>
          <w:sz w:val="22"/>
          <w:szCs w:val="22"/>
        </w:rPr>
        <w:t>Jiang et al. (2006) recommend solving this overdetermined system using the pseudo-inverse, although in practice, computational tools such as MATLAB's backslash operator offer equivalent solutions and improved numerical stability.</w:t>
      </w:r>
    </w:p>
    <w:p w14:paraId="1E4D24E5" w14:textId="77777777" w:rsidR="00C02F29" w:rsidRPr="00530959" w:rsidRDefault="00C02F29">
      <w:pPr>
        <w:rPr>
          <w:rFonts w:ascii="Arial" w:hAnsi="Arial" w:cs="Arial"/>
          <w:sz w:val="22"/>
          <w:szCs w:val="22"/>
        </w:rPr>
      </w:pPr>
    </w:p>
    <w:p w14:paraId="1017C860" w14:textId="77777777" w:rsidR="00C02F29" w:rsidRPr="00530959" w:rsidRDefault="00C02F29">
      <w:pPr>
        <w:rPr>
          <w:rFonts w:ascii="Arial" w:hAnsi="Arial" w:cs="Arial"/>
          <w:sz w:val="22"/>
          <w:szCs w:val="22"/>
        </w:rPr>
      </w:pPr>
    </w:p>
    <w:p w14:paraId="4A73FDE2" w14:textId="77777777" w:rsidR="00C02F29" w:rsidRPr="00530959" w:rsidRDefault="00C02F29">
      <w:pPr>
        <w:rPr>
          <w:rFonts w:ascii="Arial" w:hAnsi="Arial" w:cs="Arial"/>
          <w:sz w:val="22"/>
          <w:szCs w:val="22"/>
        </w:rPr>
      </w:pPr>
    </w:p>
    <w:p w14:paraId="19BB1F28" w14:textId="77777777" w:rsidR="00C02F29" w:rsidRPr="00530959" w:rsidRDefault="00C02F29">
      <w:pPr>
        <w:rPr>
          <w:rFonts w:ascii="Arial" w:hAnsi="Arial" w:cs="Arial"/>
          <w:sz w:val="22"/>
          <w:szCs w:val="22"/>
        </w:rPr>
      </w:pPr>
    </w:p>
    <w:p w14:paraId="317D6892" w14:textId="77777777" w:rsidR="00C02F29" w:rsidRPr="00530959" w:rsidRDefault="00C02F29">
      <w:pPr>
        <w:rPr>
          <w:rFonts w:ascii="Arial" w:hAnsi="Arial" w:cs="Arial"/>
          <w:sz w:val="22"/>
          <w:szCs w:val="22"/>
        </w:rPr>
      </w:pPr>
    </w:p>
    <w:sectPr w:rsidR="00C02F29" w:rsidRPr="005309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27"/>
    <w:rsid w:val="001442A0"/>
    <w:rsid w:val="002028B1"/>
    <w:rsid w:val="0029086D"/>
    <w:rsid w:val="002C6F31"/>
    <w:rsid w:val="00530959"/>
    <w:rsid w:val="00621074"/>
    <w:rsid w:val="006E7079"/>
    <w:rsid w:val="008563ED"/>
    <w:rsid w:val="00961765"/>
    <w:rsid w:val="00A651B0"/>
    <w:rsid w:val="00C02F29"/>
    <w:rsid w:val="00EB5027"/>
    <w:rsid w:val="00EF0159"/>
    <w:rsid w:val="00F15F2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8F568"/>
  <w15:chartTrackingRefBased/>
  <w15:docId w15:val="{76E3B13E-909F-420D-B4C7-276C5AC48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0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50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50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50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0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0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0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0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0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0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50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50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50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0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0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0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0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027"/>
    <w:rPr>
      <w:rFonts w:eastAsiaTheme="majorEastAsia" w:cstheme="majorBidi"/>
      <w:color w:val="272727" w:themeColor="text1" w:themeTint="D8"/>
    </w:rPr>
  </w:style>
  <w:style w:type="paragraph" w:styleId="Title">
    <w:name w:val="Title"/>
    <w:basedOn w:val="Normal"/>
    <w:next w:val="Normal"/>
    <w:link w:val="TitleChar"/>
    <w:uiPriority w:val="10"/>
    <w:qFormat/>
    <w:rsid w:val="00EB50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0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0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0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027"/>
    <w:pPr>
      <w:spacing w:before="160"/>
      <w:jc w:val="center"/>
    </w:pPr>
    <w:rPr>
      <w:i/>
      <w:iCs/>
      <w:color w:val="404040" w:themeColor="text1" w:themeTint="BF"/>
    </w:rPr>
  </w:style>
  <w:style w:type="character" w:customStyle="1" w:styleId="QuoteChar">
    <w:name w:val="Quote Char"/>
    <w:basedOn w:val="DefaultParagraphFont"/>
    <w:link w:val="Quote"/>
    <w:uiPriority w:val="29"/>
    <w:rsid w:val="00EB5027"/>
    <w:rPr>
      <w:i/>
      <w:iCs/>
      <w:color w:val="404040" w:themeColor="text1" w:themeTint="BF"/>
    </w:rPr>
  </w:style>
  <w:style w:type="paragraph" w:styleId="ListParagraph">
    <w:name w:val="List Paragraph"/>
    <w:basedOn w:val="Normal"/>
    <w:uiPriority w:val="34"/>
    <w:qFormat/>
    <w:rsid w:val="00EB5027"/>
    <w:pPr>
      <w:ind w:left="720"/>
      <w:contextualSpacing/>
    </w:pPr>
  </w:style>
  <w:style w:type="character" w:styleId="IntenseEmphasis">
    <w:name w:val="Intense Emphasis"/>
    <w:basedOn w:val="DefaultParagraphFont"/>
    <w:uiPriority w:val="21"/>
    <w:qFormat/>
    <w:rsid w:val="00EB5027"/>
    <w:rPr>
      <w:i/>
      <w:iCs/>
      <w:color w:val="0F4761" w:themeColor="accent1" w:themeShade="BF"/>
    </w:rPr>
  </w:style>
  <w:style w:type="paragraph" w:styleId="IntenseQuote">
    <w:name w:val="Intense Quote"/>
    <w:basedOn w:val="Normal"/>
    <w:next w:val="Normal"/>
    <w:link w:val="IntenseQuoteChar"/>
    <w:uiPriority w:val="30"/>
    <w:qFormat/>
    <w:rsid w:val="00EB50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027"/>
    <w:rPr>
      <w:i/>
      <w:iCs/>
      <w:color w:val="0F4761" w:themeColor="accent1" w:themeShade="BF"/>
    </w:rPr>
  </w:style>
  <w:style w:type="character" w:styleId="IntenseReference">
    <w:name w:val="Intense Reference"/>
    <w:basedOn w:val="DefaultParagraphFont"/>
    <w:uiPriority w:val="32"/>
    <w:qFormat/>
    <w:rsid w:val="00EB5027"/>
    <w:rPr>
      <w:b/>
      <w:bCs/>
      <w:smallCaps/>
      <w:color w:val="0F4761" w:themeColor="accent1" w:themeShade="BF"/>
      <w:spacing w:val="5"/>
    </w:rPr>
  </w:style>
  <w:style w:type="character" w:customStyle="1" w:styleId="normaltextrun">
    <w:name w:val="normaltextrun"/>
    <w:basedOn w:val="DefaultParagraphFont"/>
    <w:rsid w:val="00EB5027"/>
  </w:style>
  <w:style w:type="character" w:customStyle="1" w:styleId="eop">
    <w:name w:val="eop"/>
    <w:basedOn w:val="DefaultParagraphFont"/>
    <w:rsid w:val="00EB50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434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394</Words>
  <Characters>2247</Characters>
  <Application>Microsoft Office Word</Application>
  <DocSecurity>0</DocSecurity>
  <Lines>18</Lines>
  <Paragraphs>5</Paragraphs>
  <ScaleCrop>false</ScaleCrop>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Xie</dc:creator>
  <cp:keywords/>
  <dc:description/>
  <cp:lastModifiedBy>Amber Xie</cp:lastModifiedBy>
  <cp:revision>6</cp:revision>
  <dcterms:created xsi:type="dcterms:W3CDTF">2025-05-26T01:19:00Z</dcterms:created>
  <dcterms:modified xsi:type="dcterms:W3CDTF">2025-05-27T04:17:00Z</dcterms:modified>
</cp:coreProperties>
</file>