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EC4A6" w14:textId="77777777" w:rsidR="00C61C17" w:rsidRDefault="00C61C17" w:rsidP="00C61C17">
      <w:pPr>
        <w:pStyle w:val="Heading1"/>
      </w:pPr>
      <w:r>
        <w:t xml:space="preserve">Part II: </w:t>
      </w:r>
      <w:r w:rsidRPr="009B3E98">
        <w:t>Feature Extraction</w:t>
      </w:r>
    </w:p>
    <w:p w14:paraId="1C3AD2DF" w14:textId="77777777" w:rsidR="00C61C17" w:rsidRPr="00350605" w:rsidRDefault="00C61C17" w:rsidP="00C61C17">
      <w:pPr>
        <w:pStyle w:val="Heading2"/>
      </w:pPr>
      <w:r>
        <w:t>Motivation</w:t>
      </w:r>
    </w:p>
    <w:p w14:paraId="17B88231" w14:textId="77777777" w:rsidR="00C61C17" w:rsidRDefault="00C61C17" w:rsidP="00C61C17">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and/or</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are often employed in conjunction to aid such analysis. We will demonstrate one of the common mathematical techniques used within this field. For practicality’s sake, black and white images of human faces will be used as a demonstrative proxy for brain cross-section images.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w:t>
      </w:r>
    </w:p>
    <w:p w14:paraId="1C6748BA" w14:textId="77777777" w:rsidR="00C61C17" w:rsidRDefault="00C61C17" w:rsidP="00C61C17">
      <w:pPr>
        <w:pStyle w:val="Heading2"/>
      </w:pPr>
      <w:r>
        <w:t>Mathematical foundation</w:t>
      </w:r>
    </w:p>
    <w:p w14:paraId="415DC084" w14:textId="77777777" w:rsidR="00C61C17" w:rsidRPr="00097D15" w:rsidRDefault="00C61C17" w:rsidP="00C61C17">
      <w:r>
        <w:rPr>
          <w:rFonts w:ascii="Arial" w:hAnsi="Arial" w:cs="Arial"/>
          <w:sz w:val="22"/>
          <w:szCs w:val="22"/>
        </w:rPr>
        <w:t xml:space="preserve">Say we have a set of </w:t>
      </w:r>
      <m:oMath>
        <m:r>
          <w:rPr>
            <w:rFonts w:ascii="Cambria Math" w:hAnsi="Cambria Math" w:cs="Arial"/>
            <w:sz w:val="22"/>
            <w:szCs w:val="22"/>
          </w:rPr>
          <m:t>n</m:t>
        </m:r>
      </m:oMath>
      <w:del w:id="0" w:author="Microsoft Word" w:date="2025-05-28T13:08:00Z" w16du:dateUtc="2025-05-28T03:08:00Z">
        <w:r>
          <w:rPr>
            <w:rFonts w:ascii="Arial" w:hAnsi="Arial" w:cs="Arial"/>
            <w:sz w:val="22"/>
            <w:szCs w:val="22"/>
          </w:rPr>
          <w:delText xml:space="preserve"> black and white</w:delText>
        </w:r>
      </w:del>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the images. The matrices are first vectorized, i.e., their columns are stacked on top of one another to form vectors:</w:t>
      </w:r>
    </w:p>
    <w:p w14:paraId="44AF6397" w14:textId="77777777" w:rsidR="00C61C17" w:rsidRPr="005E4CC4" w:rsidRDefault="00C61C17" w:rsidP="00C61C17">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178C7751" w14:textId="77777777" w:rsidR="00C61C17" w:rsidRDefault="00C61C17" w:rsidP="00C61C17">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xml:space="preserve">. The resultant vectors are then stacked column-wise to form a matrix containing the data from all </w:t>
      </w:r>
      <m:oMath>
        <m:r>
          <w:rPr>
            <w:rFonts w:ascii="Cambria Math" w:hAnsi="Cambria Math" w:cs="Arial"/>
            <w:sz w:val="22"/>
            <w:szCs w:val="22"/>
          </w:rPr>
          <m:t>n</m:t>
        </m:r>
      </m:oMath>
      <w:r>
        <w:rPr>
          <w:rFonts w:ascii="Arial" w:hAnsi="Arial" w:cs="Arial"/>
          <w:sz w:val="22"/>
          <w:szCs w:val="22"/>
        </w:rPr>
        <w:t xml:space="preserve"> images:</w:t>
      </w:r>
    </w:p>
    <w:p w14:paraId="02CA21A4" w14:textId="77777777" w:rsidR="00C61C17" w:rsidRPr="0061125A" w:rsidRDefault="00C61C17" w:rsidP="00C61C17">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1F79416F" w14:textId="77777777" w:rsidR="00C61C17" w:rsidRDefault="00C61C17" w:rsidP="00C61C17">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09D0034A" w14:textId="77777777" w:rsidR="00C61C17" w:rsidRPr="0061125A" w:rsidRDefault="00C61C17" w:rsidP="00C61C17">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0C1AEEB3" w14:textId="77777777" w:rsidR="00C61C17" w:rsidRDefault="00C61C17" w:rsidP="00C61C17">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00440114" w14:textId="77777777" w:rsidR="00C61C17" w:rsidRPr="00AB7EF1" w:rsidRDefault="00C61C17" w:rsidP="00C61C1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4BEA0AA5" w14:textId="77777777" w:rsidR="00C61C17" w:rsidRDefault="00C61C17" w:rsidP="00C61C17">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w:t>
      </w:r>
    </w:p>
    <w:p w14:paraId="6CA7467D" w14:textId="77777777" w:rsidR="00C61C17" w:rsidRPr="009A3343" w:rsidRDefault="00C61C17" w:rsidP="00C61C1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68481CDF" w14:textId="77777777" w:rsidR="00C61C17" w:rsidRDefault="00C61C17" w:rsidP="00C61C17">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visualised as follows:</w:t>
      </w:r>
    </w:p>
    <w:p w14:paraId="318893C5" w14:textId="77777777" w:rsidR="00C61C17" w:rsidRPr="00AD0CFF" w:rsidRDefault="00C61C17" w:rsidP="00C61C1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b/>
                      <w:bCs/>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m:t>
                        </m:r>
                      </m:sub>
                    </m:sSub>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2</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e>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2</m:t>
                        </m:r>
                      </m:sub>
                    </m:sSub>
                  </m:e>
                  <m:e>
                    <m:r>
                      <w:rPr>
                        <w:rFonts w:ascii="Cambria Math" w:hAnsi="Cambria Math" w:cs="Arial"/>
                        <w:sz w:val="22"/>
                        <w:szCs w:val="22"/>
                      </w:rPr>
                      <m:t>⋱</m:t>
                    </m:r>
                  </m:e>
                  <m:e>
                    <m:r>
                      <m:rPr>
                        <m:sty m:val="bi"/>
                      </m:rPr>
                      <w:rPr>
                        <w:rFonts w:ascii="Cambria Math" w:hAnsi="Cambria Math" w:cs="Arial"/>
                        <w:sz w:val="22"/>
                        <w:szCs w:val="22"/>
                      </w:rPr>
                      <m:t>⋮</m:t>
                    </m:r>
                  </m:e>
                </m:mr>
                <m:mr>
                  <m:e>
                    <m:r>
                      <m:rPr>
                        <m:sty m:val="bi"/>
                      </m:rP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b/>
                      <w:bCs/>
                      <w:i/>
                      <w:sz w:val="22"/>
                      <w:szCs w:val="22"/>
                    </w:rPr>
                  </m:ctrlPr>
                </m:mP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1</m:t>
                        </m:r>
                      </m:sub>
                      <m:sup>
                        <m:r>
                          <m:rPr>
                            <m:sty m:val="bi"/>
                          </m:rPr>
                          <w:rPr>
                            <w:rFonts w:ascii="Cambria Math" w:hAnsi="Cambria Math" w:cs="Arial"/>
                            <w:sz w:val="22"/>
                            <w:szCs w:val="22"/>
                          </w:rPr>
                          <m:t>T</m:t>
                        </m:r>
                      </m:sup>
                    </m:sSubSup>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2</m:t>
                        </m:r>
                      </m:sub>
                      <m:sup>
                        <m:r>
                          <m:rPr>
                            <m:sty m:val="bi"/>
                          </m:rPr>
                          <w:rPr>
                            <w:rFonts w:ascii="Cambria Math" w:hAnsi="Cambria Math" w:cs="Arial"/>
                            <w:sz w:val="22"/>
                            <w:szCs w:val="22"/>
                          </w:rPr>
                          <m:t>T</m:t>
                        </m:r>
                      </m:sup>
                    </m:sSubSup>
                  </m:e>
                </m:mr>
                <m:mr>
                  <m:e>
                    <m:r>
                      <m:rPr>
                        <m:sty m:val="bi"/>
                      </m:rPr>
                      <w:rPr>
                        <w:rFonts w:ascii="Cambria Math" w:hAnsi="Cambria Math" w:cs="Arial"/>
                        <w:sz w:val="22"/>
                        <w:szCs w:val="22"/>
                      </w:rPr>
                      <m:t>⋮</m:t>
                    </m:r>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n</m:t>
                        </m:r>
                      </m:sub>
                      <m:sup>
                        <m:r>
                          <m:rPr>
                            <m:sty m:val="bi"/>
                          </m:rPr>
                          <w:rPr>
                            <w:rFonts w:ascii="Cambria Math" w:hAnsi="Cambria Math" w:cs="Arial"/>
                            <w:sz w:val="22"/>
                            <w:szCs w:val="22"/>
                          </w:rPr>
                          <m:t>T</m:t>
                        </m:r>
                      </m:sup>
                    </m:sSubSup>
                  </m:e>
                </m:mr>
              </m:m>
            </m:e>
          </m:d>
        </m:oMath>
      </m:oMathPara>
    </w:p>
    <w:p w14:paraId="5F99B09A" w14:textId="77777777" w:rsidR="00C61C17" w:rsidRDefault="00C61C17" w:rsidP="00C61C17">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r>
          <m:rPr>
            <m:sty m:val="bi"/>
          </m:rP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ctrlPr>
              <w:rPr>
                <w:rFonts w:ascii="Cambria Math" w:hAnsi="Cambria Math" w:cs="Arial"/>
                <w:b/>
                <w:bCs/>
                <w:i/>
                <w:iCs/>
                <w:sz w:val="22"/>
                <w:szCs w:val="22"/>
              </w:rPr>
            </m:ctrlPr>
          </m:e>
          <m:sup>
            <m:r>
              <w:rPr>
                <w:rFonts w:ascii="Cambria Math" w:hAnsi="Cambria Math" w:cs="Arial"/>
                <w:sz w:val="22"/>
                <w:szCs w:val="22"/>
              </w:rPr>
              <m:t>m</m:t>
            </m:r>
          </m:sup>
        </m:sSup>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iCs/>
          <w:sz w:val="22"/>
          <w:szCs w:val="22"/>
        </w:rPr>
        <w:t xml:space="preserve"> denote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w:t>
      </w:r>
      <w:r>
        <w:rPr>
          <w:rFonts w:ascii="Arial" w:hAnsi="Arial" w:cs="Arial"/>
          <w:sz w:val="22"/>
          <w:szCs w:val="22"/>
        </w:rPr>
        <w:t xml:space="preserve"> The RHS can be rearranged to form a sum of rank one matrices:</w:t>
      </w:r>
    </w:p>
    <w:p w14:paraId="2618DB17" w14:textId="77777777" w:rsidR="00C61C17" w:rsidRPr="00C82330" w:rsidRDefault="00C61C17" w:rsidP="00C61C17">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2299BE59" w14:textId="77777777" w:rsidR="00C61C17" w:rsidRDefault="00C61C17" w:rsidP="00C61C17">
      <w:pPr>
        <w:rPr>
          <w:rFonts w:ascii="Arial" w:hAnsi="Arial" w:cs="Arial"/>
          <w:sz w:val="22"/>
          <w:szCs w:val="22"/>
        </w:rPr>
      </w:pPr>
      <w:r>
        <w:rPr>
          <w:rFonts w:ascii="Arial" w:hAnsi="Arial" w:cs="Arial"/>
          <w:iCs/>
          <w:sz w:val="22"/>
          <w:szCs w:val="22"/>
        </w:rPr>
        <w:t xml:space="preserve">Since by their construction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also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can often be very well approximated by </w:t>
      </w:r>
    </w:p>
    <w:p w14:paraId="7F28309F" w14:textId="77777777" w:rsidR="00C61C17" w:rsidRPr="00BA1736" w:rsidRDefault="00C61C17" w:rsidP="00C61C17">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43DE513A" w14:textId="77777777" w:rsidR="00C61C17" w:rsidRDefault="00C61C17" w:rsidP="00C61C17">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ν&lt;n</m:t>
        </m:r>
      </m:oMath>
      <w:r>
        <w:rPr>
          <w:rFonts w:ascii="Arial" w:hAnsi="Arial" w:cs="Arial"/>
          <w:sz w:val="22"/>
          <w:szCs w:val="22"/>
        </w:rPr>
        <w:t xml:space="preserve"> or even </w:t>
      </w:r>
      <m:oMath>
        <m:r>
          <w:rPr>
            <w:rFonts w:ascii="Cambria Math" w:hAnsi="Cambria Math" w:cs="Arial"/>
            <w:sz w:val="22"/>
            <w:szCs w:val="22"/>
          </w:rPr>
          <m:t>ν≪n</m:t>
        </m:r>
      </m:oMath>
      <w:r>
        <w:rPr>
          <w:rFonts w:ascii="Arial" w:hAnsi="Arial" w:cs="Arial"/>
          <w:sz w:val="22"/>
          <w:szCs w:val="22"/>
        </w:rPr>
        <w:t>. Returning to matrix format this can be expressed as</w:t>
      </w:r>
    </w:p>
    <w:p w14:paraId="42DEF583" w14:textId="77777777" w:rsidR="00C61C17" w:rsidRPr="00FD62C4" w:rsidRDefault="00C61C17" w:rsidP="00C61C17">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7E7D7B74" w14:textId="77777777" w:rsidR="00C61C17" w:rsidRDefault="00C61C17" w:rsidP="00C61C17">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oMath>
      <w:r>
        <w:rPr>
          <w:rFonts w:ascii="Arial" w:hAnsi="Arial" w:cs="Arial"/>
          <w:sz w:val="22"/>
          <w:szCs w:val="22"/>
        </w:rPr>
        <w:t>:</w:t>
      </w:r>
    </w:p>
    <w:p w14:paraId="2EF5FB51" w14:textId="77777777" w:rsidR="00C61C17" w:rsidRPr="00AC32C6" w:rsidRDefault="00C61C17" w:rsidP="00C61C17">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2DB714BD" w14:textId="77777777" w:rsidR="00C61C17" w:rsidRDefault="00C61C17" w:rsidP="00C61C17">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or more intuitively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w:r>
        <w:rPr>
          <w:rFonts w:ascii="Arial" w:hAnsi="Arial" w:cs="Arial"/>
          <w:sz w:val="22"/>
          <w:szCs w:val="22"/>
        </w:rPr>
        <w:t>.</w:t>
      </w:r>
    </w:p>
    <w:p w14:paraId="63A366FB" w14:textId="77777777" w:rsidR="00C61C17" w:rsidRDefault="00C61C17" w:rsidP="00C61C17">
      <w:pPr>
        <w:pStyle w:val="Heading2"/>
      </w:pPr>
      <w:r>
        <w:t>Eigenfaces</w:t>
      </w:r>
    </w:p>
    <w:p w14:paraId="0EB2A099" w14:textId="77777777" w:rsidR="00C61C17" w:rsidRDefault="00C61C17" w:rsidP="00C61C17">
      <w:pPr>
        <w:rPr>
          <w:rFonts w:ascii="Arial" w:hAnsi="Arial" w:cs="Arial"/>
          <w:sz w:val="22"/>
          <w:szCs w:val="22"/>
        </w:rPr>
      </w:pPr>
      <w:r>
        <w:rPr>
          <w:rFonts w:ascii="Arial" w:hAnsi="Arial" w:cs="Arial"/>
          <w:sz w:val="22"/>
          <w:szCs w:val="22"/>
        </w:rPr>
        <w:t xml:space="preserve">The columns of </w:t>
      </w:r>
      <m:oMath>
        <m:r>
          <w:rPr>
            <w:rFonts w:ascii="Cambria Math" w:hAnsi="Cambria Math" w:cs="Arial"/>
            <w:sz w:val="22"/>
            <w:szCs w:val="22"/>
          </w:rPr>
          <m:t>U</m:t>
        </m:r>
      </m:oMath>
      <w:r>
        <w:rPr>
          <w:rFonts w:ascii="Arial" w:hAnsi="Arial" w:cs="Arial"/>
          <w:sz w:val="22"/>
          <w:szCs w:val="22"/>
        </w:rPr>
        <w:t xml:space="preserve"> are called eigenfaces. They represent the principal components of the data. More specifically they are the vectors that minimise total squared reconstruction error,</w:t>
      </w:r>
    </w:p>
    <w:p w14:paraId="75C7D942" w14:textId="77777777" w:rsidR="00C61C17" w:rsidRPr="000B707B" w:rsidRDefault="00C61C17" w:rsidP="00C61C17">
      <w:pPr>
        <w:rPr>
          <w:rFonts w:ascii="Arial" w:hAnsi="Arial" w:cs="Arial"/>
          <w:sz w:val="22"/>
          <w:szCs w:val="22"/>
        </w:rPr>
      </w:pPr>
      <m:oMathPara>
        <m:oMath>
          <m:nary>
            <m:naryPr>
              <m:chr m:val="∑"/>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e>
                  </m:d>
                </m:e>
                <m:sup>
                  <m:r>
                    <w:rPr>
                      <w:rFonts w:ascii="Cambria Math" w:hAnsi="Cambria Math" w:cs="Arial"/>
                      <w:sz w:val="22"/>
                      <w:szCs w:val="22"/>
                    </w:rPr>
                    <m:t>2</m:t>
                  </m:r>
                </m:sup>
              </m:sSup>
            </m:e>
          </m:nary>
        </m:oMath>
      </m:oMathPara>
    </w:p>
    <w:p w14:paraId="0EE6A45A" w14:textId="77777777" w:rsidR="00C61C17" w:rsidRPr="000B707B" w:rsidRDefault="00C61C17" w:rsidP="00C61C17">
      <w:pPr>
        <w:rPr>
          <w:rFonts w:ascii="Arial" w:hAnsi="Arial" w:cs="Arial"/>
          <w:sz w:val="22"/>
          <w:szCs w:val="22"/>
        </w:rPr>
      </w:pPr>
      <w:r>
        <w:rPr>
          <w:rFonts w:ascii="Arial" w:hAnsi="Arial" w:cs="Arial"/>
          <w:sz w:val="22"/>
          <w:szCs w:val="22"/>
        </w:rPr>
        <w:t>or equivalently,</w:t>
      </w:r>
    </w:p>
    <w:p w14:paraId="413BCF69" w14:textId="77777777" w:rsidR="00C61C17" w:rsidRPr="0077668A" w:rsidRDefault="00C61C17" w:rsidP="00C61C17">
      <w:pPr>
        <w:rPr>
          <w:rFonts w:ascii="Arial" w:hAnsi="Arial" w:cs="Arial"/>
          <w:sz w:val="22"/>
          <w:szCs w:val="22"/>
        </w:rPr>
      </w:pPr>
      <m:oMathPara>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e>
              </m:d>
            </m:e>
            <m:sup>
              <m:r>
                <w:rPr>
                  <w:rFonts w:ascii="Cambria Math" w:hAnsi="Cambria Math" w:cs="Arial"/>
                  <w:sz w:val="22"/>
                  <w:szCs w:val="22"/>
                </w:rPr>
                <m:t>2</m:t>
              </m:r>
            </m:sup>
          </m:sSup>
        </m:oMath>
      </m:oMathPara>
    </w:p>
    <w:p w14:paraId="2E90CA42" w14:textId="77777777" w:rsidR="00C61C17" w:rsidRDefault="00C61C17" w:rsidP="00C61C17">
      <w:pPr>
        <w:rPr>
          <w:rFonts w:ascii="Arial" w:hAnsi="Arial" w:cs="Arial"/>
          <w:sz w:val="22"/>
          <w:szCs w:val="22"/>
        </w:rPr>
      </w:pPr>
      <w:r>
        <w:rPr>
          <w:rFonts w:ascii="Arial" w:hAnsi="Arial" w:cs="Arial"/>
          <w:sz w:val="22"/>
          <w:szCs w:val="22"/>
        </w:rPr>
        <w:t xml:space="preserve">for all </w:t>
      </w:r>
      <m:oMath>
        <m:r>
          <w:rPr>
            <w:rFonts w:ascii="Cambria Math" w:hAnsi="Cambria Math" w:cs="Arial"/>
            <w:sz w:val="22"/>
            <w:szCs w:val="22"/>
          </w:rPr>
          <m:t>ν</m:t>
        </m:r>
      </m:oMath>
      <w:r>
        <w:rPr>
          <w:rFonts w:ascii="Arial" w:hAnsi="Arial" w:cs="Arial"/>
          <w:sz w:val="22"/>
          <w:szCs w:val="22"/>
        </w:rPr>
        <w:t xml:space="preserve">. If the system is underdetermined, that is, </w:t>
      </w:r>
      <m:oMath>
        <m:r>
          <m:rPr>
            <m:sty m:val="p"/>
          </m:rPr>
          <w:rPr>
            <w:rFonts w:ascii="Cambria Math" w:hAnsi="Cambria Math" w:cs="Arial"/>
            <w:sz w:val="22"/>
            <w:szCs w:val="22"/>
          </w:rPr>
          <m:t>rank</m:t>
        </m:r>
        <m:d>
          <m:dPr>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e>
        </m:d>
        <m:r>
          <w:rPr>
            <w:rFonts w:ascii="Cambria Math" w:hAnsi="Cambria Math" w:cs="Arial"/>
            <w:sz w:val="22"/>
            <w:szCs w:val="22"/>
          </w:rPr>
          <m:t>&lt;n</m:t>
        </m:r>
      </m:oMath>
      <w:r>
        <w:rPr>
          <w:rFonts w:ascii="Arial" w:hAnsi="Arial" w:cs="Arial"/>
          <w:sz w:val="22"/>
          <w:szCs w:val="22"/>
        </w:rPr>
        <w:t xml:space="preserve">, then </w:t>
      </w:r>
      <m:oMath>
        <m:r>
          <w:rPr>
            <w:rFonts w:ascii="Cambria Math" w:hAnsi="Cambria Math" w:cs="Arial"/>
            <w:sz w:val="22"/>
            <w:szCs w:val="22"/>
          </w:rPr>
          <m:t>U</m:t>
        </m:r>
      </m:oMath>
      <w:r>
        <w:rPr>
          <w:rFonts w:ascii="Arial" w:hAnsi="Arial" w:cs="Arial"/>
          <w:sz w:val="22"/>
          <w:szCs w:val="22"/>
        </w:rPr>
        <w:t xml:space="preserve"> is simply the minimum-norm solution among all valid orthonormal </w:t>
      </w:r>
      <w:r w:rsidRPr="003E1F0D">
        <w:rPr>
          <w:rFonts w:ascii="Arial" w:hAnsi="Arial" w:cs="Arial"/>
          <w:sz w:val="22"/>
          <w:szCs w:val="22"/>
        </w:rPr>
        <w:t>bases</w:t>
      </w:r>
      <w:r>
        <w:rPr>
          <w:rFonts w:ascii="Arial" w:hAnsi="Arial" w:cs="Arial"/>
          <w:sz w:val="22"/>
          <w:szCs w:val="22"/>
        </w:rPr>
        <w:t xml:space="preserve">. Eigenfaces can be visualised by de-vectorizing the columns of </w:t>
      </w:r>
      <m:oMath>
        <m:r>
          <w:rPr>
            <w:rFonts w:ascii="Cambria Math" w:hAnsi="Cambria Math" w:cs="Arial"/>
            <w:sz w:val="22"/>
            <w:szCs w:val="22"/>
          </w:rPr>
          <m:t>U</m:t>
        </m:r>
      </m:oMath>
      <w:r>
        <w:rPr>
          <w:rFonts w:ascii="Arial" w:hAnsi="Arial" w:cs="Arial"/>
          <w:sz w:val="22"/>
          <w:szCs w:val="22"/>
        </w:rPr>
        <w:t xml:space="preserve"> and viewing the resulting matrices as images.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eigenface of </w:t>
      </w:r>
      <m:oMath>
        <m:r>
          <w:rPr>
            <w:rFonts w:ascii="Cambria Math" w:hAnsi="Cambria Math" w:cs="Arial"/>
            <w:sz w:val="22"/>
            <w:szCs w:val="22"/>
          </w:rPr>
          <m:t>A</m:t>
        </m:r>
      </m:oMath>
      <w:r>
        <w:rPr>
          <w:rFonts w:ascii="Arial" w:hAnsi="Arial" w:cs="Arial"/>
          <w:sz w:val="22"/>
          <w:szCs w:val="22"/>
        </w:rPr>
        <w:t xml:space="preserve"> is given by:</w:t>
      </w:r>
    </w:p>
    <w:p w14:paraId="03AC1B06" w14:textId="77777777" w:rsidR="00C61C17" w:rsidRPr="003470DF" w:rsidRDefault="00C61C17" w:rsidP="00C61C17">
      <w:pPr>
        <w:rPr>
          <w:rFonts w:ascii="Arial" w:hAnsi="Arial" w:cs="Arial"/>
          <w:sz w:val="22"/>
          <w:szCs w:val="22"/>
        </w:rPr>
      </w:pPr>
      <m:oMathPara>
        <m:oMath>
          <m:sSup>
            <m:sSupPr>
              <m:ctrlPr>
                <w:rPr>
                  <w:rFonts w:ascii="Cambria Math" w:hAnsi="Cambria Math" w:cs="Arial"/>
                  <w:sz w:val="22"/>
                  <w:szCs w:val="22"/>
                </w:rPr>
              </m:ctrlPr>
            </m:sSupPr>
            <m:e>
              <m:r>
                <m:rPr>
                  <m:sty m:val="p"/>
                </m:rPr>
                <w:rPr>
                  <w:rFonts w:ascii="Cambria Math" w:hAnsi="Cambria Math" w:cs="Arial"/>
                  <w:sz w:val="22"/>
                  <w:szCs w:val="22"/>
                </w:rPr>
                <m:t>vec</m:t>
              </m:r>
            </m:e>
            <m:sup>
              <m:r>
                <m:rPr>
                  <m:sty m:val="p"/>
                </m:rPr>
                <w:rPr>
                  <w:rFonts w:ascii="Cambria Math" w:hAnsi="Cambria Math" w:cs="Arial"/>
                  <w:sz w:val="22"/>
                  <w:szCs w:val="22"/>
                </w:rPr>
                <m:t>-1</m:t>
              </m:r>
            </m:sup>
          </m:sSup>
          <m:d>
            <m:dPr>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oMath>
      </m:oMathPara>
    </w:p>
    <w:p w14:paraId="7C956EDF" w14:textId="77777777" w:rsidR="00C61C17" w:rsidRDefault="00C61C17" w:rsidP="00C61C17">
      <w:pPr>
        <w:rPr>
          <w:rFonts w:ascii="Arial" w:hAnsi="Arial" w:cs="Arial"/>
          <w:sz w:val="22"/>
          <w:szCs w:val="22"/>
        </w:rPr>
      </w:pPr>
      <w:r>
        <w:rPr>
          <w:rFonts w:ascii="Arial" w:hAnsi="Arial" w:cs="Arial"/>
          <w:sz w:val="22"/>
          <w:szCs w:val="22"/>
        </w:rPr>
        <w:lastRenderedPageBreak/>
        <w:t>When visualised, eigenfaces often take the form of ghostly human faces, each representing different ways in which the faces in the dataset deviate from the mean face.</w:t>
      </w:r>
    </w:p>
    <w:p w14:paraId="0BCB5BF9" w14:textId="77777777" w:rsidR="00C61C17" w:rsidRPr="0020597A" w:rsidRDefault="00C61C17" w:rsidP="00C61C17">
      <w:pPr>
        <w:pStyle w:val="Heading2"/>
      </w:pPr>
      <w:r>
        <w:t>Other useful stuff</w:t>
      </w:r>
    </w:p>
    <w:p w14:paraId="139415C8" w14:textId="77777777" w:rsidR="00C61C17" w:rsidRDefault="00C61C17" w:rsidP="00C61C17">
      <w:pPr>
        <w:rPr>
          <w:rFonts w:ascii="Arial" w:hAnsi="Arial" w:cs="Arial"/>
          <w:sz w:val="22"/>
          <w:szCs w:val="22"/>
        </w:rPr>
      </w:pPr>
      <w:r>
        <w:rPr>
          <w:rFonts w:ascii="Arial" w:hAnsi="Arial" w:cs="Arial"/>
          <w:sz w:val="22"/>
          <w:szCs w:val="22"/>
        </w:rPr>
        <w:t>Recall that:</w:t>
      </w:r>
    </w:p>
    <w:p w14:paraId="33146795" w14:textId="77777777" w:rsidR="00C61C17" w:rsidRDefault="00C61C17" w:rsidP="00C61C17">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oMath>
      </m:oMathPara>
    </w:p>
    <w:p w14:paraId="30D6955F" w14:textId="77777777" w:rsidR="00C61C17" w:rsidRPr="00535415" w:rsidRDefault="00C61C17" w:rsidP="00C61C17">
      <w:pPr>
        <w:rPr>
          <w:rFonts w:ascii="Arial" w:hAnsi="Arial" w:cs="Arial"/>
          <w:sz w:val="22"/>
          <w:szCs w:val="22"/>
        </w:rPr>
      </w:pPr>
      <w:r>
        <w:rPr>
          <w:rFonts w:ascii="Arial" w:hAnsi="Arial" w:cs="Arial"/>
          <w:sz w:val="22"/>
          <w:szCs w:val="22"/>
        </w:rPr>
        <w:t xml:space="preserve">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xml:space="preserve">. </w:t>
      </w:r>
      <w:r>
        <w:rPr>
          <w:rFonts w:ascii="Arial" w:hAnsi="Arial" w:cs="Arial"/>
          <w:sz w:val="22"/>
          <w:szCs w:val="22"/>
        </w:rPr>
        <w:t>This enables the expression above to be rewritten as</w:t>
      </w:r>
      <w:r w:rsidRPr="00535415">
        <w:rPr>
          <w:rFonts w:ascii="Arial" w:hAnsi="Arial" w:cs="Arial"/>
          <w:sz w:val="22"/>
          <w:szCs w:val="22"/>
        </w:rPr>
        <w:t>:</w:t>
      </w:r>
    </w:p>
    <w:p w14:paraId="332D39F9" w14:textId="77777777" w:rsidR="00C61C17" w:rsidRPr="00535415" w:rsidRDefault="00C61C17" w:rsidP="00C61C17">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m:oMathPara>
    </w:p>
    <w:p w14:paraId="6915E4D7" w14:textId="77777777" w:rsidR="00C61C17" w:rsidRDefault="00C61C17" w:rsidP="00C61C17">
      <w:pPr>
        <w:rPr>
          <w:rFonts w:ascii="Arial" w:hAnsi="Arial" w:cs="Arial"/>
          <w:sz w:val="22"/>
          <w:szCs w:val="22"/>
        </w:rPr>
      </w:pPr>
      <w:r>
        <w:rPr>
          <w:rFonts w:ascii="Arial" w:hAnsi="Arial" w:cs="Arial"/>
          <w:sz w:val="22"/>
          <w:szCs w:val="22"/>
        </w:rPr>
        <w:t xml:space="preserve">Having done this 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acc>
              <m:accPr>
                <m:chr m:val="̃"/>
                <m:ctrlPr>
                  <w:rPr>
                    <w:rFonts w:ascii="Cambria Math" w:hAnsi="Cambria Math" w:cs="Arial"/>
                    <w:b/>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oMath>
      <w:r>
        <w:rPr>
          <w:rFonts w:ascii="Arial" w:hAnsi="Arial" w:cs="Arial"/>
          <w:sz w:val="22"/>
          <w:szCs w:val="22"/>
        </w:rPr>
        <w:t xml:space="preserve"> onto the lower rank </w:t>
      </w:r>
      <w:r w:rsidRPr="00BB24AD">
        <w:rPr>
          <w:rFonts w:ascii="Arial" w:hAnsi="Arial" w:cs="Arial"/>
          <w:sz w:val="22"/>
          <w:szCs w:val="22"/>
        </w:rPr>
        <w:t xml:space="preserve">bearing </w:t>
      </w:r>
      <w:r>
        <w:rPr>
          <w:rFonts w:ascii="Arial" w:hAnsi="Arial" w:cs="Arial"/>
          <w:sz w:val="22"/>
          <w:szCs w:val="22"/>
        </w:rPr>
        <w:t xml:space="preserve">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i.e.:</w:t>
      </w:r>
    </w:p>
    <w:p w14:paraId="07F8EEB7" w14:textId="77777777" w:rsidR="00C61C17" w:rsidRDefault="00C61C17" w:rsidP="00C61C17">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ν,j</m:t>
              </m:r>
            </m:sub>
          </m:sSub>
        </m:oMath>
      </m:oMathPara>
    </w:p>
    <w:p w14:paraId="73EA9774" w14:textId="77777777" w:rsidR="00C61C17" w:rsidRDefault="00C61C17" w:rsidP="00C61C17">
      <w:pPr>
        <w:rPr>
          <w:rFonts w:ascii="Arial" w:hAnsi="Arial" w:cs="Arial"/>
          <w:sz w:val="22"/>
          <w:szCs w:val="22"/>
        </w:rPr>
      </w:pPr>
      <w:r>
        <w:rPr>
          <w:rFonts w:ascii="Arial" w:hAnsi="Arial" w:cs="Arial"/>
          <w:sz w:val="22"/>
          <w:szCs w:val="22"/>
        </w:rPr>
        <w:t xml:space="preserve">Now let’s say we have a new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To do this we would first have to mean centre the image:</w:t>
      </w:r>
    </w:p>
    <w:p w14:paraId="09C12718" w14:textId="77777777" w:rsidR="00C61C17" w:rsidRDefault="00C61C17" w:rsidP="00C61C17">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r>
            <w:rPr>
              <w:rFonts w:ascii="Cambria Math" w:hAnsi="Cambria Math" w:cs="Arial"/>
              <w:sz w:val="22"/>
              <w:szCs w:val="22"/>
            </w:rPr>
            <m:t>=</m:t>
          </m:r>
          <m:r>
            <m:rPr>
              <m:sty m:val="bi"/>
            </m:rPr>
            <w:rPr>
              <w:rFonts w:ascii="Cambria Math" w:hAnsi="Cambria Math" w:cs="Arial"/>
              <w:sz w:val="22"/>
              <w:szCs w:val="22"/>
            </w:rPr>
            <m:t>T</m:t>
          </m:r>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5205710D" w14:textId="77777777" w:rsidR="00C61C17" w:rsidRDefault="00C61C17" w:rsidP="00C61C17">
      <w:pPr>
        <w:rPr>
          <w:rFonts w:ascii="Arial" w:hAnsi="Arial" w:cs="Arial"/>
          <w:sz w:val="22"/>
          <w:szCs w:val="22"/>
        </w:rPr>
      </w:pPr>
      <w:r>
        <w:rPr>
          <w:rFonts w:ascii="Arial" w:hAnsi="Arial" w:cs="Arial"/>
          <w:sz w:val="22"/>
          <w:szCs w:val="22"/>
        </w:rPr>
        <w:t xml:space="preserve">We would then find the projection of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35CED571" w14:textId="77777777" w:rsidR="00C61C17" w:rsidRPr="0005432F" w:rsidRDefault="00C61C17" w:rsidP="00C61C17">
      <w:pPr>
        <w:rPr>
          <w:rFonts w:ascii="Arial" w:hAnsi="Arial" w:cs="Arial"/>
          <w:b/>
          <w:bCs/>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m:oMathPara>
    </w:p>
    <w:p w14:paraId="5ADF2219" w14:textId="77777777" w:rsidR="00C61C17" w:rsidRDefault="00C61C17" w:rsidP="00C61C17">
      <w:pPr>
        <w:rPr>
          <w:rFonts w:ascii="Arial" w:hAnsi="Arial" w:cs="Arial"/>
          <w:sz w:val="22"/>
          <w:szCs w:val="22"/>
        </w:rPr>
      </w:pPr>
      <w:r>
        <w:rPr>
          <w:rFonts w:ascii="Arial" w:hAnsi="Arial" w:cs="Arial"/>
          <w:sz w:val="22"/>
          <w:szCs w:val="22"/>
        </w:rPr>
        <w:t>This can then be expressed in terms of the standard basis as follows:</w:t>
      </w:r>
    </w:p>
    <w:p w14:paraId="3D2BEEF3" w14:textId="77777777" w:rsidR="00C61C17" w:rsidRPr="00DE549F" w:rsidRDefault="00C61C17" w:rsidP="00C61C17">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m:t>
              </m:r>
            </m:sub>
          </m:sSub>
        </m:oMath>
      </m:oMathPara>
    </w:p>
    <w:p w14:paraId="597AC042" w14:textId="77777777" w:rsidR="00C61C17" w:rsidRPr="00DE549F" w:rsidRDefault="00C61C17" w:rsidP="00C61C17">
      <w:pPr>
        <w:rPr>
          <w:rFonts w:ascii="Arial" w:hAnsi="Arial" w:cs="Arial"/>
          <w:sz w:val="22"/>
          <w:szCs w:val="22"/>
        </w:rPr>
      </w:pPr>
      <w:r>
        <w:rPr>
          <w:rFonts w:ascii="Arial" w:hAnsi="Arial" w:cs="Arial"/>
          <w:sz w:val="22"/>
          <w:szCs w:val="22"/>
        </w:rPr>
        <w:t>Adding the mean returns a vectorized approximation of the original image:</w:t>
      </w:r>
      <w:r>
        <w:rPr>
          <w:rFonts w:ascii="Arial" w:hAnsi="Arial" w:cs="Arial"/>
          <w:sz w:val="22"/>
          <w:szCs w:val="22"/>
        </w:rPr>
        <w:br/>
      </w: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r>
                    <m:rPr>
                      <m:sty m:val="bi"/>
                    </m:rPr>
                    <w:rPr>
                      <w:rFonts w:ascii="Cambria Math" w:hAnsi="Cambria Math" w:cs="Arial"/>
                      <w:sz w:val="22"/>
                      <w:szCs w:val="22"/>
                    </w:rPr>
                    <m:t>T</m:t>
                  </m:r>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w:rPr>
                  <w:rFonts w:ascii="Cambria Math" w:hAnsi="Cambria Math" w:cs="Arial"/>
                  <w:sz w:val="22"/>
                  <w:szCs w:val="22"/>
                </w:rPr>
                <m:t>ν</m:t>
              </m:r>
            </m:sub>
          </m:sSub>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552E97F7" w14:textId="77777777" w:rsidR="00C61C17" w:rsidRDefault="00C61C17" w:rsidP="00C61C17">
      <w:pPr>
        <w:rPr>
          <w:rFonts w:ascii="Arial" w:hAnsi="Arial" w:cs="Arial"/>
          <w:sz w:val="22"/>
          <w:szCs w:val="22"/>
        </w:rPr>
      </w:pPr>
      <w:r>
        <w:rPr>
          <w:rFonts w:ascii="Arial" w:hAnsi="Arial" w:cs="Arial"/>
          <w:sz w:val="22"/>
          <w:szCs w:val="22"/>
        </w:rPr>
        <w:t xml:space="preserve">It is fairly easy to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oMath>
      <w:r>
        <w:rPr>
          <w:rFonts w:ascii="Arial" w:hAnsi="Arial" w:cs="Arial"/>
          <w:b/>
          <w:bCs/>
          <w:sz w:val="22"/>
          <w:szCs w:val="22"/>
        </w:rPr>
        <w:t xml:space="preserve"> </w:t>
      </w:r>
      <w:r>
        <w:rPr>
          <w:rFonts w:ascii="Arial" w:hAnsi="Arial" w:cs="Arial"/>
          <w:sz w:val="22"/>
          <w:szCs w:val="22"/>
        </w:rPr>
        <w:t>is essentially just vector of the amounts of each of the eigenfaces present in the mean centred image.</w:t>
      </w:r>
    </w:p>
    <w:p w14:paraId="7788BF76" w14:textId="77777777" w:rsidR="00C61C17" w:rsidRPr="00692B30" w:rsidRDefault="00C61C17" w:rsidP="00C61C17">
      <w:pPr>
        <w:rPr>
          <w:rFonts w:ascii="Arial" w:hAnsi="Arial" w:cs="Arial"/>
          <w:sz w:val="22"/>
          <w:szCs w:val="22"/>
        </w:rPr>
      </w:pPr>
      <w:r>
        <w:rPr>
          <w:rFonts w:ascii="Arial" w:hAnsi="Arial" w:cs="Arial"/>
          <w:sz w:val="22"/>
          <w:szCs w:val="22"/>
        </w:rPr>
        <w:t>With the mathematical explanation out of the way, we will now explain how we can use this technique to create a rudimentary moustache detector.</w:t>
      </w:r>
    </w:p>
    <w:p w14:paraId="0BA87BA4" w14:textId="6B287C20" w:rsidR="006D7F17" w:rsidRPr="00C61C17" w:rsidRDefault="006D7F17" w:rsidP="00C61C17"/>
    <w:sectPr w:rsidR="006D7F17" w:rsidRPr="00C61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C6275"/>
    <w:rsid w:val="002028B1"/>
    <w:rsid w:val="002C6F31"/>
    <w:rsid w:val="00621074"/>
    <w:rsid w:val="00624E58"/>
    <w:rsid w:val="006D35C0"/>
    <w:rsid w:val="006D7F17"/>
    <w:rsid w:val="006E7079"/>
    <w:rsid w:val="008F4E14"/>
    <w:rsid w:val="00961765"/>
    <w:rsid w:val="00B46C14"/>
    <w:rsid w:val="00C61C17"/>
    <w:rsid w:val="00D72BD9"/>
    <w:rsid w:val="00DD4636"/>
    <w:rsid w:val="00E45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17"/>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7</cp:revision>
  <dcterms:created xsi:type="dcterms:W3CDTF">2025-05-26T01:22:00Z</dcterms:created>
  <dcterms:modified xsi:type="dcterms:W3CDTF">2025-05-28T13:11:00Z</dcterms:modified>
</cp:coreProperties>
</file>