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CA7F" w14:textId="2869BE7C" w:rsidR="00B46C14" w:rsidRDefault="00B46C14" w:rsidP="00B46C14">
      <w:pPr>
        <w:pStyle w:val="Heading1"/>
      </w:pPr>
      <w:r>
        <w:t xml:space="preserve">Part II: </w:t>
      </w:r>
      <w:r w:rsidRPr="009B3E98">
        <w:t>Feature Extraction</w:t>
      </w:r>
    </w:p>
    <w:p w14:paraId="69C00102" w14:textId="489FA354" w:rsidR="00E45053" w:rsidRPr="00E45053" w:rsidRDefault="00E45053" w:rsidP="00E45053">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techniques explained below, however since we will be mainly focusing on the mathematics, our detector will be highly rudimentary at best and will not rely on any machine learning techniques.</w:t>
      </w:r>
    </w:p>
    <w:p w14:paraId="33CC1273" w14:textId="77777777" w:rsidR="00B46C14" w:rsidRDefault="00B46C14" w:rsidP="00B46C14">
      <w:pPr>
        <w:rPr>
          <w:rFonts w:ascii="Arial" w:hAnsi="Arial" w:cs="Arial"/>
          <w:sz w:val="22"/>
          <w:szCs w:val="22"/>
        </w:rPr>
      </w:pPr>
      <w:r>
        <w:rPr>
          <w:rFonts w:ascii="Arial" w:hAnsi="Arial" w:cs="Arial"/>
          <w:sz w:val="22"/>
          <w:szCs w:val="22"/>
        </w:rPr>
        <w:t xml:space="preserve">Say we have a set of </w:t>
      </w:r>
      <m:oMath>
        <m:r>
          <w:rPr>
            <w:rFonts w:ascii="Cambria Math" w:hAnsi="Cambria Math" w:cs="Arial"/>
            <w:sz w:val="22"/>
            <w:szCs w:val="22"/>
          </w:rPr>
          <m:t>n</m:t>
        </m:r>
      </m:oMath>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images not found in the original dataset. The matrices are first vectorized, i.e., their columns are stacked on top of one another to form vectors:</w:t>
      </w:r>
    </w:p>
    <w:p w14:paraId="36EC94FA" w14:textId="77777777" w:rsidR="00B46C14" w:rsidRPr="005E4CC4" w:rsidRDefault="00000000" w:rsidP="00B46C14">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2D1C1470"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The resultant vectors are then stacked column-wise to form a matrix containing all the images:</w:t>
      </w:r>
    </w:p>
    <w:p w14:paraId="2948C975" w14:textId="77777777" w:rsidR="00B46C14" w:rsidRPr="0061125A" w:rsidRDefault="00B46C14" w:rsidP="00B46C14">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68654CE4" w14:textId="77777777" w:rsidR="00B46C14" w:rsidRDefault="00B46C14" w:rsidP="00B46C14">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1143BA4C" w14:textId="77777777" w:rsidR="00B46C14" w:rsidRPr="0061125A" w:rsidRDefault="00000000" w:rsidP="00B46C14">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6E4EA590" w14:textId="77777777" w:rsidR="00B46C14" w:rsidRDefault="00B46C14" w:rsidP="00B46C14">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5A3268BE" w14:textId="77777777" w:rsidR="00B46C14" w:rsidRPr="00AB7EF1" w:rsidRDefault="00000000"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5AE91C5C" w14:textId="77777777" w:rsidR="00B46C14" w:rsidRDefault="00B46C14" w:rsidP="00B46C14">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w:t>
      </w:r>
    </w:p>
    <w:p w14:paraId="3BF1DF5F" w14:textId="77777777" w:rsidR="00B46C14" w:rsidRPr="009A3343" w:rsidRDefault="00000000"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49131335"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rewritten as a sum of rank one matrices:</w:t>
      </w:r>
    </w:p>
    <w:p w14:paraId="7BD4ADF8" w14:textId="77777777" w:rsidR="00B46C14" w:rsidRPr="00C82330" w:rsidRDefault="00000000" w:rsidP="00B46C14">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922FB81" w14:textId="77777777" w:rsidR="00B46C14" w:rsidRDefault="00B46C14" w:rsidP="00B46C14">
      <w:pPr>
        <w:rPr>
          <w:rFonts w:ascii="Arial" w:hAnsi="Arial" w:cs="Arial"/>
          <w:sz w:val="22"/>
          <w:szCs w:val="22"/>
        </w:rPr>
      </w:pPr>
      <w:r>
        <w:rPr>
          <w:rFonts w:ascii="Arial" w:hAnsi="Arial" w:cs="Arial"/>
          <w:sz w:val="22"/>
          <w:szCs w:val="22"/>
        </w:rPr>
        <w:lastRenderedPageBreak/>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oMath>
      <w:r>
        <w:rPr>
          <w:rFonts w:ascii="Arial" w:hAnsi="Arial" w:cs="Arial"/>
          <w:iCs/>
          <w:sz w:val="22"/>
          <w:szCs w:val="22"/>
        </w:rPr>
        <w:t xml:space="preserve"> are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 Since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can often be very well approximated by </w:t>
      </w:r>
    </w:p>
    <w:p w14:paraId="3E1759CE" w14:textId="77777777" w:rsidR="00B46C14" w:rsidRPr="00BA1736" w:rsidRDefault="00000000" w:rsidP="00B46C14">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0DD1ACA" w14:textId="77777777" w:rsidR="00B46C14" w:rsidRDefault="00B46C14" w:rsidP="00B46C14">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ν≪n</m:t>
        </m:r>
      </m:oMath>
      <w:r>
        <w:rPr>
          <w:rFonts w:ascii="Arial" w:hAnsi="Arial" w:cs="Arial"/>
          <w:sz w:val="22"/>
          <w:szCs w:val="22"/>
        </w:rPr>
        <w:t>. Returning to matrix format this can be expressed as</w:t>
      </w:r>
    </w:p>
    <w:p w14:paraId="5D5980E3" w14:textId="77777777" w:rsidR="00B46C14" w:rsidRPr="00FD62C4" w:rsidRDefault="00000000" w:rsidP="00B46C14">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4DB26592" w14:textId="77777777" w:rsidR="00B46C14" w:rsidRDefault="00B46C14" w:rsidP="00B46C14">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r>
          <w:rPr>
            <w:rFonts w:ascii="Cambria Math" w:hAnsi="Cambria Math" w:cs="Arial"/>
            <w:sz w:val="22"/>
            <w:szCs w:val="22"/>
          </w:rPr>
          <m:t>A</m:t>
        </m:r>
      </m:oMath>
      <w:r>
        <w:rPr>
          <w:rFonts w:ascii="Arial" w:hAnsi="Arial" w:cs="Arial"/>
          <w:sz w:val="22"/>
          <w:szCs w:val="22"/>
        </w:rPr>
        <w:t>:</w:t>
      </w:r>
    </w:p>
    <w:p w14:paraId="4FEF7B76" w14:textId="77777777" w:rsidR="00B46C14" w:rsidRPr="00AC32C6" w:rsidRDefault="00000000" w:rsidP="00B46C14">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31604D83" w14:textId="77777777" w:rsidR="00B46C14" w:rsidRPr="00535415" w:rsidRDefault="00B46C14" w:rsidP="00B46C14">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Thus:</w:t>
      </w:r>
    </w:p>
    <w:p w14:paraId="568A66CA" w14:textId="77777777" w:rsidR="00B46C14" w:rsidRPr="00535415" w:rsidRDefault="00000000" w:rsidP="00B46C14">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1696492C" w14:textId="77777777" w:rsidR="00B46C14" w:rsidRDefault="00B46C14" w:rsidP="00B46C14">
      <w:pPr>
        <w:rPr>
          <w:rFonts w:ascii="Arial" w:hAnsi="Arial" w:cs="Arial"/>
          <w:sz w:val="22"/>
          <w:szCs w:val="22"/>
        </w:rPr>
      </w:pPr>
      <w:r>
        <w:rPr>
          <w:rFonts w:ascii="Arial" w:hAnsi="Arial" w:cs="Arial"/>
          <w:sz w:val="22"/>
          <w:szCs w:val="22"/>
        </w:rPr>
        <w:t xml:space="preserve">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c,j</m:t>
            </m:r>
          </m:sub>
        </m:sSub>
      </m:oMath>
      <w:r>
        <w:rPr>
          <w:rFonts w:ascii="Arial" w:hAnsi="Arial" w:cs="Arial"/>
          <w:sz w:val="22"/>
          <w:szCs w:val="22"/>
        </w:rPr>
        <w:t xml:space="preserve"> onto the lower rank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To do this one would simply find the projection of </w:t>
      </w:r>
      <m:oMath>
        <m:r>
          <m:rPr>
            <m:sty m:val="bi"/>
          </m:rPr>
          <w:rPr>
            <w:rFonts w:ascii="Cambria Math" w:hAnsi="Cambria Math" w:cs="Arial"/>
            <w:sz w:val="22"/>
            <w:szCs w:val="22"/>
          </w:rPr>
          <m:t>T</m:t>
        </m:r>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1E81E525" w14:textId="77777777" w:rsidR="00B46C14" w:rsidRPr="0005432F" w:rsidRDefault="00000000" w:rsidP="00B46C14">
      <w:pPr>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r>
            <m:rPr>
              <m:sty m:val="bi"/>
            </m:rPr>
            <w:rPr>
              <w:rFonts w:ascii="Cambria Math" w:hAnsi="Cambria Math" w:cs="Arial"/>
              <w:sz w:val="22"/>
              <w:szCs w:val="22"/>
            </w:rPr>
            <m:t>T</m:t>
          </m:r>
        </m:oMath>
      </m:oMathPara>
    </w:p>
    <w:p w14:paraId="78406CD8" w14:textId="77777777" w:rsidR="00B46C14" w:rsidRDefault="00B46C14" w:rsidP="00B46C14">
      <w:pPr>
        <w:rPr>
          <w:rFonts w:ascii="Arial" w:hAnsi="Arial" w:cs="Arial"/>
          <w:sz w:val="22"/>
          <w:szCs w:val="22"/>
        </w:rPr>
      </w:pPr>
      <w:r>
        <w:rPr>
          <w:rFonts w:ascii="Arial" w:hAnsi="Arial" w:cs="Arial"/>
          <w:sz w:val="22"/>
          <w:szCs w:val="22"/>
        </w:rPr>
        <w:t>This can then be expressed in terms of the standard basis as follow:</w:t>
      </w:r>
    </w:p>
    <w:p w14:paraId="5A9C8158" w14:textId="77777777" w:rsidR="00B46C14" w:rsidRPr="004B2EB3" w:rsidRDefault="00000000" w:rsidP="00B46C14">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m:oMathPara>
    </w:p>
    <w:p w14:paraId="0BA87BA4" w14:textId="77777777" w:rsidR="006D7F17" w:rsidRDefault="006D7F17"/>
    <w:sectPr w:rsidR="006D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7F17"/>
    <w:rsid w:val="006E7079"/>
    <w:rsid w:val="00961765"/>
    <w:rsid w:val="00B46C14"/>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4"/>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3</cp:revision>
  <dcterms:created xsi:type="dcterms:W3CDTF">2025-05-26T01:22:00Z</dcterms:created>
  <dcterms:modified xsi:type="dcterms:W3CDTF">2025-05-27T14:29:00Z</dcterms:modified>
</cp:coreProperties>
</file>