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316F5" w14:textId="77777777" w:rsidR="00D454A5" w:rsidRDefault="00000000">
      <w:pPr>
        <w:pStyle w:val="Heading1"/>
      </w:pPr>
      <w:r>
        <w:t>Business Requirement Document (BRD)</w:t>
      </w:r>
    </w:p>
    <w:p w14:paraId="6504725E" w14:textId="77777777" w:rsidR="00D454A5" w:rsidRDefault="00000000">
      <w:pPr>
        <w:pStyle w:val="Heading2"/>
        <w:spacing w:after="240"/>
      </w:pPr>
      <w:r>
        <w:pict w14:anchorId="0B9D3F94">
          <v:rect id="_x0000_i1025" style="width:0;height:1.5pt" o:hralign="center" o:hrstd="t" o:hr="t" fillcolor="#a0a0a0" stroked="f"/>
        </w:pict>
      </w:r>
      <w:r>
        <w:t>1. Document Control &amp; Overview</w:t>
      </w:r>
    </w:p>
    <w:p w14:paraId="76A47748" w14:textId="77777777" w:rsidR="00D454A5" w:rsidRDefault="00000000">
      <w:pPr>
        <w:pStyle w:val="Heading3"/>
        <w:spacing w:before="0"/>
      </w:pPr>
      <w:r>
        <w:t>1.1 Project Title</w:t>
      </w:r>
    </w:p>
    <w:p w14:paraId="1E80FE05" w14:textId="77777777" w:rsidR="00D454A5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Murex XVA (CVA &amp; FVA) Pricing, Provisioning, and Risk Management Framework</w:t>
      </w:r>
    </w:p>
    <w:p w14:paraId="559DB8D7" w14:textId="77777777" w:rsidR="00D454A5" w:rsidRDefault="00000000">
      <w:pPr>
        <w:pStyle w:val="Heading3"/>
        <w:spacing w:before="0"/>
      </w:pPr>
      <w:r>
        <w:t>1.2 Business Objective</w:t>
      </w:r>
    </w:p>
    <w:p w14:paraId="1EC904B2" w14:textId="77777777" w:rsidR="00D454A5" w:rsidRDefault="00000000">
      <w:pPr>
        <w:pBdr>
          <w:top w:val="nil"/>
          <w:left w:val="nil"/>
          <w:bottom w:val="nil"/>
          <w:right w:val="nil"/>
          <w:between w:val="nil"/>
        </w:pBdr>
        <w:ind w:left="600"/>
      </w:pPr>
      <w:r>
        <w:t>The primary business objective is to implement a robust, enterprise-wide valuation adjustment framework within Murex (MX.3). The platform must support two core operational workflows:</w:t>
      </w:r>
    </w:p>
    <w:p w14:paraId="20C5EC6B" w14:textId="77777777" w:rsidR="00D454A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Real-Time Pre-Deal Incremental Pricing:</w:t>
      </w:r>
      <w:r>
        <w:t xml:space="preserve"> Allow Front Office trading desks to calculate incremental counterparty credit and funding risk charges on new transactions or market operations prior to deal execution.</w:t>
      </w:r>
    </w:p>
    <w:p w14:paraId="640B90D9" w14:textId="6F92246A" w:rsidR="00D454A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End-of-Day Provisioning &amp; Monitoring:</w:t>
      </w:r>
      <w:r>
        <w:t xml:space="preserve"> Provide an immutable batch calculation engine for the </w:t>
      </w:r>
      <w:r w:rsidR="00E51683">
        <w:t>PCVA</w:t>
      </w:r>
      <w:r>
        <w:t xml:space="preserve"> desk, Finance (Product Control), and Risk Oversight to track daily XVA provisions, analyze risk sensitivities, calculate regulatory capital, and execute market hedges.</w:t>
      </w:r>
    </w:p>
    <w:p w14:paraId="2AC0B5B7" w14:textId="77777777" w:rsidR="00D454A5" w:rsidRDefault="00000000">
      <w:pPr>
        <w:pStyle w:val="Heading2"/>
        <w:spacing w:after="240"/>
      </w:pPr>
      <w:r>
        <w:pict w14:anchorId="4D8D1327">
          <v:rect id="_x0000_i1026" style="width:0;height:1.5pt" o:hralign="center" o:hrstd="t" o:hr="t" fillcolor="#a0a0a0" stroked="f"/>
        </w:pict>
      </w:r>
      <w:r>
        <w:t>2. Business Scope &amp; Valuation Adjustments</w:t>
      </w:r>
    </w:p>
    <w:p w14:paraId="3E080200" w14:textId="77777777" w:rsidR="00D454A5" w:rsidRDefault="00000000">
      <w:pPr>
        <w:pStyle w:val="Heading3"/>
        <w:spacing w:before="0"/>
      </w:pPr>
      <w:r>
        <w:t>2.1 In-Scope Valuation Adjustments</w:t>
      </w:r>
    </w:p>
    <w:p w14:paraId="54418FA4" w14:textId="77777777" w:rsidR="00D454A5" w:rsidRDefault="00000000">
      <w:pPr>
        <w:pBdr>
          <w:top w:val="nil"/>
          <w:left w:val="nil"/>
          <w:bottom w:val="nil"/>
          <w:right w:val="nil"/>
          <w:between w:val="nil"/>
        </w:pBdr>
        <w:ind w:left="600"/>
      </w:pPr>
      <w:r>
        <w:t>The system must calculate and report the following specific valuation adjustments:</w:t>
      </w:r>
    </w:p>
    <w:p w14:paraId="72307804" w14:textId="77777777" w:rsidR="00D454A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Credit Valuation Adjustment (CVA):</w:t>
      </w:r>
      <w:r>
        <w:t xml:space="preserve"> Measures counterparty credit risk by adjusting derivative transaction prices based on the potential loss if a counterparty defaults.</w:t>
      </w:r>
    </w:p>
    <w:p w14:paraId="487931CE" w14:textId="77777777" w:rsidR="00D454A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Funding Valuation Adjustment (FVA):</w:t>
      </w:r>
      <w:r>
        <w:t xml:space="preserve"> Accounts for uncollateralized exposure funding costs and benefits, split strictly into:</w:t>
      </w:r>
    </w:p>
    <w:p w14:paraId="6C788B84" w14:textId="77777777" w:rsidR="00D454A5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Funding Cost Adjustment (FCA):</w:t>
      </w:r>
      <w:r>
        <w:t xml:space="preserve"> Incurred when a positive Mark-to-Market (MTM) trade with an uncollateralized counterparty is hedged in the collateralized interbank market, requiring collateral to be funded.</w:t>
      </w:r>
    </w:p>
    <w:p w14:paraId="678D456E" w14:textId="77777777" w:rsidR="00D454A5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Funding Benefit Adjustment (FBA):</w:t>
      </w:r>
      <w:r>
        <w:t xml:space="preserve"> Incurred when a negative MTM with an uncollateralized counterparty yields collateral from the interbank market hedge without posting collateral back.</w:t>
      </w:r>
    </w:p>
    <w:p w14:paraId="31AD7E2E" w14:textId="77777777" w:rsidR="00D454A5" w:rsidRDefault="00000000">
      <w:pPr>
        <w:pStyle w:val="Heading3"/>
      </w:pPr>
      <w:r>
        <w:t>2.2 Out-of-Scope Valuation Adjustments</w:t>
      </w:r>
    </w:p>
    <w:p w14:paraId="67CE6FCB" w14:textId="77777777" w:rsidR="00D454A5" w:rsidRDefault="00000000">
      <w:pPr>
        <w:pBdr>
          <w:top w:val="nil"/>
          <w:left w:val="nil"/>
          <w:bottom w:val="nil"/>
          <w:right w:val="nil"/>
          <w:between w:val="nil"/>
        </w:pBdr>
        <w:ind w:left="600"/>
      </w:pPr>
      <w:r>
        <w:t>The following adjustments are explicitly excluded from calculation within the current platform scope:</w:t>
      </w:r>
    </w:p>
    <w:p w14:paraId="75A3AAB7" w14:textId="77777777" w:rsidR="00D454A5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t>Debit Valuation Adjustment (DVA)</w:t>
      </w:r>
    </w:p>
    <w:p w14:paraId="22D924DF" w14:textId="77777777" w:rsidR="00D454A5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t>Collateral Valuation Adjustment (</w:t>
      </w:r>
      <w:proofErr w:type="spellStart"/>
      <w:r>
        <w:t>ColVA</w:t>
      </w:r>
      <w:proofErr w:type="spellEnd"/>
      <w:r>
        <w:t>)</w:t>
      </w:r>
    </w:p>
    <w:p w14:paraId="7F68322F" w14:textId="77777777" w:rsidR="00D454A5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t>Capital Valuation Adjustment (KVA)</w:t>
      </w:r>
    </w:p>
    <w:p w14:paraId="5B5A3799" w14:textId="77777777" w:rsidR="00D454A5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lastRenderedPageBreak/>
        <w:t>Margin Valuation Adjustment (MVA)</w:t>
      </w:r>
    </w:p>
    <w:p w14:paraId="2F13D29B" w14:textId="77777777" w:rsidR="00D454A5" w:rsidRDefault="00000000">
      <w:pPr>
        <w:pStyle w:val="Heading2"/>
      </w:pPr>
      <w:r>
        <w:pict w14:anchorId="2CE8A989">
          <v:rect id="_x0000_i1027" style="width:0;height:1.5pt" o:hralign="center" o:hrstd="t" o:hr="t" fillcolor="#a0a0a0" stroked="f"/>
        </w:pict>
      </w:r>
      <w:r>
        <w:t>3. Stakeholders &amp; User Roles</w:t>
      </w: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D454A5" w14:paraId="48DC1382" w14:textId="77777777">
        <w:trPr>
          <w:tblHeader/>
        </w:trPr>
        <w:tc>
          <w:tcPr>
            <w:tcW w:w="46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835EF9" w14:textId="77777777" w:rsidR="00D454A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Stakeholder Group</w:t>
            </w:r>
          </w:p>
        </w:tc>
        <w:tc>
          <w:tcPr>
            <w:tcW w:w="46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DF480F" w14:textId="77777777" w:rsidR="00D454A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Role &amp; Primary Business Responsibilities</w:t>
            </w:r>
          </w:p>
        </w:tc>
      </w:tr>
      <w:tr w:rsidR="00D454A5" w14:paraId="0F0FF31E" w14:textId="77777777">
        <w:tc>
          <w:tcPr>
            <w:tcW w:w="46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E53493" w14:textId="77777777" w:rsidR="00D454A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Front Office Trading Desks</w:t>
            </w:r>
          </w:p>
          <w:p w14:paraId="1D1EB6C8" w14:textId="77777777" w:rsidR="00D454A5" w:rsidRDefault="00D454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</w:p>
          <w:p w14:paraId="3E56E628" w14:textId="77777777" w:rsidR="00D454A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</w:rPr>
            </w:pPr>
            <w:r>
              <w:rPr>
                <w:i/>
                <w:iCs/>
              </w:rPr>
              <w:t>(Rates, FX &amp; FX Options, Commodities, Credit)</w:t>
            </w:r>
          </w:p>
        </w:tc>
        <w:tc>
          <w:tcPr>
            <w:tcW w:w="46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C85BA8" w14:textId="77777777" w:rsidR="00D454A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• Execute real-time pre-deal checks in the Trade Pad before booking.</w:t>
            </w:r>
          </w:p>
          <w:p w14:paraId="6F710EAD" w14:textId="77777777" w:rsidR="00D454A5" w:rsidRDefault="00D454A5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5F4CEA19" w14:textId="77777777" w:rsidR="00D454A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• Evaluate incremental XVA risk charges.</w:t>
            </w:r>
          </w:p>
          <w:p w14:paraId="24BDA69D" w14:textId="77777777" w:rsidR="00D454A5" w:rsidRDefault="00D454A5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1AAD8D3C" w14:textId="77777777" w:rsidR="00D454A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• Pass XVA costs to clients via trade margins/spreads where applicable.</w:t>
            </w:r>
          </w:p>
        </w:tc>
      </w:tr>
      <w:tr w:rsidR="00D454A5" w14:paraId="6725F7D8" w14:textId="77777777">
        <w:tc>
          <w:tcPr>
            <w:tcW w:w="46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EE81D7" w14:textId="1725C5A5" w:rsidR="00D454A5" w:rsidRDefault="00E516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PCVA</w:t>
            </w:r>
            <w:r w:rsidR="00000000">
              <w:rPr>
                <w:b/>
                <w:bCs/>
              </w:rPr>
              <w:t xml:space="preserve"> Desk</w:t>
            </w:r>
          </w:p>
          <w:p w14:paraId="65F7FAEE" w14:textId="77777777" w:rsidR="00D454A5" w:rsidRDefault="00D454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</w:p>
          <w:p w14:paraId="756276F7" w14:textId="77777777" w:rsidR="00D454A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</w:rPr>
            </w:pPr>
            <w:r>
              <w:rPr>
                <w:i/>
                <w:iCs/>
              </w:rPr>
              <w:t>(Pricing, Capital Valuations &amp; Adjustments)</w:t>
            </w:r>
          </w:p>
        </w:tc>
        <w:tc>
          <w:tcPr>
            <w:tcW w:w="46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7AE142" w14:textId="77777777" w:rsidR="00D454A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• Manage bank-wide XVA risk and receive trade-level XVA broker flows.</w:t>
            </w:r>
          </w:p>
          <w:p w14:paraId="4E2080CF" w14:textId="77777777" w:rsidR="00D454A5" w:rsidRDefault="00D454A5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4FFA6B40" w14:textId="77777777" w:rsidR="00D454A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• Monitor EOD book-level CVA/FVA provisions and sensitivities.</w:t>
            </w:r>
          </w:p>
          <w:p w14:paraId="54F15F39" w14:textId="77777777" w:rsidR="00D454A5" w:rsidRDefault="00D454A5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4ADEF9E7" w14:textId="77777777" w:rsidR="00D454A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• Execute market hedges using Credit Default Swaps (CDS) and ITRAXX indices.</w:t>
            </w:r>
          </w:p>
        </w:tc>
      </w:tr>
      <w:tr w:rsidR="00D454A5" w14:paraId="1A9D6C60" w14:textId="77777777">
        <w:tc>
          <w:tcPr>
            <w:tcW w:w="46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A20D02" w14:textId="77777777" w:rsidR="00D454A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Product Control Valuations</w:t>
            </w:r>
          </w:p>
          <w:p w14:paraId="01D9E304" w14:textId="77777777" w:rsidR="00D454A5" w:rsidRDefault="00D454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</w:p>
          <w:p w14:paraId="1EE6C967" w14:textId="77777777" w:rsidR="00D454A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</w:rPr>
            </w:pPr>
            <w:r>
              <w:rPr>
                <w:i/>
                <w:iCs/>
              </w:rPr>
              <w:t>(Finance)</w:t>
            </w:r>
          </w:p>
        </w:tc>
        <w:tc>
          <w:tcPr>
            <w:tcW w:w="46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C929B2" w14:textId="77777777" w:rsidR="00D454A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• Validate daily End-of-Day CVA/FVA provision figures.</w:t>
            </w:r>
          </w:p>
          <w:p w14:paraId="3E5161C3" w14:textId="77777777" w:rsidR="00D454A5" w:rsidRDefault="00D454A5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53205659" w14:textId="77777777" w:rsidR="00D454A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• Perform multi-iteration P&amp;L Explain reporting to isolate day-over-day risk factor impacts.</w:t>
            </w:r>
          </w:p>
        </w:tc>
      </w:tr>
      <w:tr w:rsidR="00D454A5" w14:paraId="686F3D97" w14:textId="77777777">
        <w:tc>
          <w:tcPr>
            <w:tcW w:w="46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5362C3" w14:textId="77777777" w:rsidR="00D454A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Risk Oversight</w:t>
            </w:r>
          </w:p>
        </w:tc>
        <w:tc>
          <w:tcPr>
            <w:tcW w:w="46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009C0C" w14:textId="77777777" w:rsidR="00D454A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• Track and monitor bank-wide XVA risk sensitivities.</w:t>
            </w:r>
          </w:p>
        </w:tc>
      </w:tr>
      <w:tr w:rsidR="00D454A5" w14:paraId="5898A2F2" w14:textId="77777777">
        <w:tc>
          <w:tcPr>
            <w:tcW w:w="46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9AC3C4" w14:textId="77777777" w:rsidR="00D454A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Downstream Risk &amp; Capital Teams</w:t>
            </w:r>
          </w:p>
        </w:tc>
        <w:tc>
          <w:tcPr>
            <w:tcW w:w="46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54FDFC" w14:textId="77777777" w:rsidR="00D454A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• </w:t>
            </w:r>
            <w:r>
              <w:rPr>
                <w:b/>
                <w:bCs/>
              </w:rPr>
              <w:t>Rex (Risk Explorer):</w:t>
            </w:r>
            <w:r>
              <w:t xml:space="preserve"> Consumes market risk sensitivities.</w:t>
            </w:r>
          </w:p>
          <w:p w14:paraId="71A086D5" w14:textId="77777777" w:rsidR="00D454A5" w:rsidRDefault="00D454A5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366194DD" w14:textId="77777777" w:rsidR="00D454A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• </w:t>
            </w:r>
            <w:r>
              <w:rPr>
                <w:b/>
                <w:bCs/>
              </w:rPr>
              <w:t>GTRS:</w:t>
            </w:r>
            <w:r>
              <w:t xml:space="preserve"> Consumes exposure data for regulatory capital calculations.</w:t>
            </w:r>
          </w:p>
        </w:tc>
      </w:tr>
    </w:tbl>
    <w:p w14:paraId="72B014BF" w14:textId="77777777" w:rsidR="00D454A5" w:rsidRDefault="00000000">
      <w:pPr>
        <w:pStyle w:val="Heading2"/>
      </w:pPr>
      <w:r>
        <w:pict w14:anchorId="62AEC01F">
          <v:rect id="_x0000_i1028" style="width:0;height:1.5pt" o:hralign="center" o:hrstd="t" o:hr="t" fillcolor="#a0a0a0" stroked="f"/>
        </w:pict>
      </w:r>
      <w:r>
        <w:t>4. Product &amp; Portfolio Eligibility Rules</w:t>
      </w:r>
    </w:p>
    <w:p w14:paraId="6818E6BC" w14:textId="77777777" w:rsidR="00D454A5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The system must determine deal eligibility based on strict multi-layered criteria:</w:t>
      </w:r>
    </w:p>
    <w:p w14:paraId="1E58A42C" w14:textId="77777777" w:rsidR="00D454A5" w:rsidRDefault="00000000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Courier" w:eastAsia="Courier" w:hAnsi="Courier" w:cs="Courier"/>
        </w:rPr>
      </w:pPr>
      <w:r>
        <w:rPr>
          <w:rFonts w:ascii="Courier" w:eastAsia="Courier" w:hAnsi="Courier" w:cs="Courier"/>
        </w:rPr>
        <w:t xml:space="preserve">                       +-----------------------------------+</w:t>
      </w:r>
      <w:r>
        <w:rPr>
          <w:rFonts w:ascii="Courier" w:eastAsia="Courier" w:hAnsi="Courier" w:cs="Courier"/>
        </w:rPr>
        <w:br/>
        <w:t xml:space="preserve">                       |    Incoming Trade Candidate       |</w:t>
      </w:r>
      <w:r>
        <w:rPr>
          <w:rFonts w:ascii="Courier" w:eastAsia="Courier" w:hAnsi="Courier" w:cs="Courier"/>
        </w:rPr>
        <w:br/>
        <w:t xml:space="preserve">                       +-----------------------------------+</w:t>
      </w:r>
      <w:r>
        <w:rPr>
          <w:rFonts w:ascii="Courier" w:eastAsia="Courier" w:hAnsi="Courier" w:cs="Courier"/>
        </w:rPr>
        <w:br/>
        <w:t xml:space="preserve">                                         |</w:t>
      </w:r>
      <w:r>
        <w:rPr>
          <w:rFonts w:ascii="Courier" w:eastAsia="Courier" w:hAnsi="Courier" w:cs="Courier"/>
        </w:rPr>
        <w:br/>
        <w:t xml:space="preserve">                                         v</w:t>
      </w:r>
      <w:r>
        <w:rPr>
          <w:rFonts w:ascii="Courier" w:eastAsia="Courier" w:hAnsi="Courier" w:cs="Courier"/>
        </w:rPr>
        <w:br/>
        <w:t xml:space="preserve">               +--------------------------------------------------+</w:t>
      </w:r>
      <w:r>
        <w:rPr>
          <w:rFonts w:ascii="Courier" w:eastAsia="Courier" w:hAnsi="Courier" w:cs="Courier"/>
        </w:rPr>
        <w:br/>
        <w:t xml:space="preserve">               </w:t>
      </w:r>
      <w:proofErr w:type="gramStart"/>
      <w:r>
        <w:rPr>
          <w:rFonts w:ascii="Courier" w:eastAsia="Courier" w:hAnsi="Courier" w:cs="Courier"/>
        </w:rPr>
        <w:t>|  Is</w:t>
      </w:r>
      <w:proofErr w:type="gramEnd"/>
      <w:r>
        <w:rPr>
          <w:rFonts w:ascii="Courier" w:eastAsia="Courier" w:hAnsi="Courier" w:cs="Courier"/>
        </w:rPr>
        <w:t xml:space="preserve"> Typology In-Scope for XVA?                   |</w:t>
      </w:r>
      <w:r>
        <w:rPr>
          <w:rFonts w:ascii="Courier" w:eastAsia="Courier" w:hAnsi="Courier" w:cs="Courier"/>
        </w:rPr>
        <w:br/>
        <w:t xml:space="preserve">               |  - IN: IRS, FX Forwards, FX Options, Commodities  |</w:t>
      </w:r>
      <w:r>
        <w:rPr>
          <w:rFonts w:ascii="Courier" w:eastAsia="Courier" w:hAnsi="Courier" w:cs="Courier"/>
        </w:rPr>
        <w:br/>
        <w:t xml:space="preserve">               |  - OUT: FX Spot, Fixed Income (Bonds)            |</w:t>
      </w:r>
      <w:r>
        <w:rPr>
          <w:rFonts w:ascii="Courier" w:eastAsia="Courier" w:hAnsi="Courier" w:cs="Courier"/>
        </w:rPr>
        <w:br/>
        <w:t xml:space="preserve">               +--------------------------------------------------+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lastRenderedPageBreak/>
        <w:t xml:space="preserve">                                  |            |</w:t>
      </w:r>
      <w:r>
        <w:rPr>
          <w:rFonts w:ascii="Courier" w:eastAsia="Courier" w:hAnsi="Courier" w:cs="Courier"/>
        </w:rPr>
        <w:br/>
        <w:t xml:space="preserve">                                 YES           NO ---&gt; [ Exclude ]</w:t>
      </w:r>
      <w:r>
        <w:rPr>
          <w:rFonts w:ascii="Courier" w:eastAsia="Courier" w:hAnsi="Courier" w:cs="Courier"/>
        </w:rPr>
        <w:br/>
        <w:t xml:space="preserve">                                  |</w:t>
      </w:r>
      <w:r>
        <w:rPr>
          <w:rFonts w:ascii="Courier" w:eastAsia="Courier" w:hAnsi="Courier" w:cs="Courier"/>
        </w:rPr>
        <w:br/>
        <w:t xml:space="preserve">                                  v</w:t>
      </w:r>
      <w:r>
        <w:rPr>
          <w:rFonts w:ascii="Courier" w:eastAsia="Courier" w:hAnsi="Courier" w:cs="Courier"/>
        </w:rPr>
        <w:br/>
        <w:t xml:space="preserve">               +--------------------------------------------------+</w:t>
      </w:r>
      <w:r>
        <w:rPr>
          <w:rFonts w:ascii="Courier" w:eastAsia="Courier" w:hAnsi="Courier" w:cs="Courier"/>
        </w:rPr>
        <w:br/>
        <w:t xml:space="preserve">               |  Is Portfolio Flagged as "XVA Eligible = Y"?      |</w:t>
      </w:r>
      <w:r>
        <w:rPr>
          <w:rFonts w:ascii="Courier" w:eastAsia="Courier" w:hAnsi="Courier" w:cs="Courier"/>
        </w:rPr>
        <w:br/>
        <w:t xml:space="preserve">               </w:t>
      </w:r>
      <w:proofErr w:type="gramStart"/>
      <w:r>
        <w:rPr>
          <w:rFonts w:ascii="Courier" w:eastAsia="Courier" w:hAnsi="Courier" w:cs="Courier"/>
        </w:rPr>
        <w:t>|  -</w:t>
      </w:r>
      <w:proofErr w:type="gramEnd"/>
      <w:r>
        <w:rPr>
          <w:rFonts w:ascii="Courier" w:eastAsia="Courier" w:hAnsi="Courier" w:cs="Courier"/>
        </w:rPr>
        <w:t xml:space="preserve"> Checked via Murex UDS synced to MLC           |</w:t>
      </w:r>
      <w:r>
        <w:rPr>
          <w:rFonts w:ascii="Courier" w:eastAsia="Courier" w:hAnsi="Courier" w:cs="Courier"/>
        </w:rPr>
        <w:br/>
        <w:t xml:space="preserve">               +--------------------------------------------------+</w:t>
      </w:r>
      <w:r>
        <w:rPr>
          <w:rFonts w:ascii="Courier" w:eastAsia="Courier" w:hAnsi="Courier" w:cs="Courier"/>
        </w:rPr>
        <w:br/>
        <w:t xml:space="preserve">                                  |            |</w:t>
      </w:r>
      <w:r>
        <w:rPr>
          <w:rFonts w:ascii="Courier" w:eastAsia="Courier" w:hAnsi="Courier" w:cs="Courier"/>
        </w:rPr>
        <w:br/>
        <w:t xml:space="preserve">                                 YES           NO ---&gt; [ </w:t>
      </w:r>
      <w:proofErr w:type="gramStart"/>
      <w:r>
        <w:rPr>
          <w:rFonts w:ascii="Courier" w:eastAsia="Courier" w:hAnsi="Courier" w:cs="Courier"/>
        </w:rPr>
        <w:t>Exclude ]</w:t>
      </w:r>
      <w:proofErr w:type="gramEnd"/>
      <w:r>
        <w:rPr>
          <w:rFonts w:ascii="Courier" w:eastAsia="Courier" w:hAnsi="Courier" w:cs="Courier"/>
        </w:rPr>
        <w:br/>
        <w:t xml:space="preserve">                                  |</w:t>
      </w:r>
      <w:r>
        <w:rPr>
          <w:rFonts w:ascii="Courier" w:eastAsia="Courier" w:hAnsi="Courier" w:cs="Courier"/>
        </w:rPr>
        <w:br/>
        <w:t xml:space="preserve">                                  v</w:t>
      </w:r>
      <w:r>
        <w:rPr>
          <w:rFonts w:ascii="Courier" w:eastAsia="Courier" w:hAnsi="Courier" w:cs="Courier"/>
        </w:rPr>
        <w:br/>
        <w:t xml:space="preserve">               +--------------------------------------------------+</w:t>
      </w:r>
      <w:r>
        <w:rPr>
          <w:rFonts w:ascii="Courier" w:eastAsia="Courier" w:hAnsi="Courier" w:cs="Courier"/>
        </w:rPr>
        <w:br/>
        <w:t xml:space="preserve">               </w:t>
      </w:r>
      <w:proofErr w:type="gramStart"/>
      <w:r>
        <w:rPr>
          <w:rFonts w:ascii="Courier" w:eastAsia="Courier" w:hAnsi="Courier" w:cs="Courier"/>
        </w:rPr>
        <w:t>|  Is</w:t>
      </w:r>
      <w:proofErr w:type="gramEnd"/>
      <w:r>
        <w:rPr>
          <w:rFonts w:ascii="Courier" w:eastAsia="Courier" w:hAnsi="Courier" w:cs="Courier"/>
        </w:rPr>
        <w:t xml:space="preserve"> Counterparty Flagged as XVA Eligible?         |</w:t>
      </w:r>
      <w:r>
        <w:rPr>
          <w:rFonts w:ascii="Courier" w:eastAsia="Courier" w:hAnsi="Courier" w:cs="Courier"/>
        </w:rPr>
        <w:br/>
        <w:t xml:space="preserve">               +--------------------------------------------------+</w:t>
      </w:r>
      <w:r>
        <w:rPr>
          <w:rFonts w:ascii="Courier" w:eastAsia="Courier" w:hAnsi="Courier" w:cs="Courier"/>
        </w:rPr>
        <w:br/>
        <w:t xml:space="preserve">                                  |            |</w:t>
      </w:r>
      <w:r>
        <w:rPr>
          <w:rFonts w:ascii="Courier" w:eastAsia="Courier" w:hAnsi="Courier" w:cs="Courier"/>
        </w:rPr>
        <w:br/>
        <w:t xml:space="preserve">                                 YES           NO ---&gt; [ </w:t>
      </w:r>
      <w:proofErr w:type="gramStart"/>
      <w:r>
        <w:rPr>
          <w:rFonts w:ascii="Courier" w:eastAsia="Courier" w:hAnsi="Courier" w:cs="Courier"/>
        </w:rPr>
        <w:t>Exclude ]</w:t>
      </w:r>
      <w:proofErr w:type="gramEnd"/>
      <w:r>
        <w:rPr>
          <w:rFonts w:ascii="Courier" w:eastAsia="Courier" w:hAnsi="Courier" w:cs="Courier"/>
        </w:rPr>
        <w:br/>
        <w:t xml:space="preserve">                                  |</w:t>
      </w:r>
      <w:r>
        <w:rPr>
          <w:rFonts w:ascii="Courier" w:eastAsia="Courier" w:hAnsi="Courier" w:cs="Courier"/>
        </w:rPr>
        <w:br/>
        <w:t xml:space="preserve">                                  v</w:t>
      </w:r>
      <w:r>
        <w:rPr>
          <w:rFonts w:ascii="Courier" w:eastAsia="Courier" w:hAnsi="Courier" w:cs="Courier"/>
        </w:rPr>
        <w:br/>
        <w:t xml:space="preserve">               +--------------------------------------------------+</w:t>
      </w:r>
      <w:r>
        <w:rPr>
          <w:rFonts w:ascii="Courier" w:eastAsia="Courier" w:hAnsi="Courier" w:cs="Courier"/>
        </w:rPr>
        <w:br/>
        <w:t xml:space="preserve">               |    Include Trade in XVA Calculation Scope        |</w:t>
      </w:r>
      <w:r>
        <w:rPr>
          <w:rFonts w:ascii="Courier" w:eastAsia="Courier" w:hAnsi="Courier" w:cs="Courier"/>
        </w:rPr>
        <w:br/>
        <w:t xml:space="preserve">               +--------------------------------------------------+</w:t>
      </w:r>
    </w:p>
    <w:p w14:paraId="499EF8B6" w14:textId="77777777" w:rsidR="00D454A5" w:rsidRDefault="00000000">
      <w:pPr>
        <w:pStyle w:val="Heading3"/>
        <w:spacing w:before="0"/>
      </w:pPr>
      <w:r>
        <w:t>4.1 Eligibility Criteria Summary</w:t>
      </w:r>
    </w:p>
    <w:p w14:paraId="72B837F4" w14:textId="77777777" w:rsidR="00D454A5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Product Typology Scope:</w:t>
      </w:r>
    </w:p>
    <w:p w14:paraId="204783AE" w14:textId="77777777" w:rsidR="00D454A5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Eligible:</w:t>
      </w:r>
      <w:r>
        <w:t xml:space="preserve"> Interest Rate Swaps (IRS), FX Forwards, FX Options, and Commodity derivatives.</w:t>
      </w:r>
    </w:p>
    <w:p w14:paraId="72935D62" w14:textId="77777777" w:rsidR="00D454A5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Ineligible:</w:t>
      </w:r>
      <w:r>
        <w:t xml:space="preserve"> Short-settlement trades (FX Spot) and Fixed Income cash instruments (Bonds).</w:t>
      </w:r>
    </w:p>
    <w:p w14:paraId="1A727B21" w14:textId="77777777" w:rsidR="00D454A5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Portfolio &amp; Counterparty Rules:</w:t>
      </w:r>
      <w:r>
        <w:t xml:space="preserve"> Portfolios (including Wall Street feed source portfolios) and counterparties must be explicitly flagged with XVA Eligibility = True.</w:t>
      </w:r>
    </w:p>
    <w:p w14:paraId="34EA64A6" w14:textId="77777777" w:rsidR="00D454A5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P&amp;L Acceptance Filter (EOD vs. Live Engine):</w:t>
      </w:r>
    </w:p>
    <w:p w14:paraId="1F240EF8" w14:textId="77777777" w:rsidR="00D454A5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EOD Viewer:</w:t>
      </w:r>
      <w:r>
        <w:t xml:space="preserve"> Restricted exclusively to P&amp;L Accepted deals.</w:t>
      </w:r>
    </w:p>
    <w:p w14:paraId="455F11B1" w14:textId="30AA92C9" w:rsidR="00D454A5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Live Engine (</w:t>
      </w:r>
      <w:r w:rsidR="00E51683">
        <w:rPr>
          <w:b/>
          <w:bCs/>
        </w:rPr>
        <w:t>RTLIM</w:t>
      </w:r>
      <w:r>
        <w:rPr>
          <w:b/>
          <w:bCs/>
        </w:rPr>
        <w:t>):</w:t>
      </w:r>
      <w:r>
        <w:t xml:space="preserve"> Evaluates all active, existing deals in the system regardless of P&amp;L acceptance state to capture full active market risk.</w:t>
      </w:r>
    </w:p>
    <w:p w14:paraId="6B3685B8" w14:textId="77777777" w:rsidR="00D454A5" w:rsidRDefault="00000000">
      <w:pPr>
        <w:pStyle w:val="Heading2"/>
        <w:spacing w:after="240"/>
      </w:pPr>
      <w:r>
        <w:pict w14:anchorId="650D508F">
          <v:rect id="_x0000_i1029" style="width:0;height:1.5pt" o:hralign="center" o:hrstd="t" o:hr="t" fillcolor="#a0a0a0" stroked="f"/>
        </w:pict>
      </w:r>
      <w:r>
        <w:t>5. Functional Requirements</w:t>
      </w:r>
    </w:p>
    <w:p w14:paraId="25B4DC8E" w14:textId="689BFBE8" w:rsidR="00D454A5" w:rsidRDefault="00000000">
      <w:pPr>
        <w:pStyle w:val="Heading3"/>
        <w:spacing w:before="0"/>
      </w:pPr>
      <w:r>
        <w:t>5.1 Real-Time Live Engine (</w:t>
      </w:r>
      <w:r w:rsidR="00E51683">
        <w:t>RTLIM</w:t>
      </w:r>
      <w:r>
        <w:t>) Workflow</w:t>
      </w:r>
    </w:p>
    <w:p w14:paraId="267DFF0A" w14:textId="1F730F16" w:rsidR="00D454A5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Start-of-Day Baseline Build:</w:t>
      </w:r>
      <w:r>
        <w:t xml:space="preserve"> The live engine (</w:t>
      </w:r>
      <w:r w:rsidR="00E51683">
        <w:t>RTLIM</w:t>
      </w:r>
      <w:r>
        <w:t>) must generate every morning (target completion between 05:00 AM and 07:00 AM) using updated market data to establish current portfolio risk baselines.</w:t>
      </w:r>
    </w:p>
    <w:p w14:paraId="4AADF91A" w14:textId="77777777" w:rsidR="00D454A5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Pre-Deal Check Functionality:</w:t>
      </w:r>
      <w:r>
        <w:t xml:space="preserve"> Traders must be able to execute a pre-deal check from the Trade Pad.</w:t>
      </w:r>
    </w:p>
    <w:p w14:paraId="0F3A2574" w14:textId="77777777" w:rsidR="00D454A5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Incremental Risk Calculation:</w:t>
      </w:r>
      <w:r>
        <w:t xml:space="preserve"> The engine must evaluate the candidate deal against current portfolio risks and output isolated incremental CVA and FVA charges.</w:t>
      </w:r>
    </w:p>
    <w:p w14:paraId="44BB7FCC" w14:textId="11916E50" w:rsidR="00D454A5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Broker Flow Generation:</w:t>
      </w:r>
      <w:r>
        <w:t xml:space="preserve"> Incremental risk charges must attach automatically as broker </w:t>
      </w:r>
      <w:r>
        <w:lastRenderedPageBreak/>
        <w:t xml:space="preserve">flows payable to the </w:t>
      </w:r>
      <w:r w:rsidR="00E51683">
        <w:t>PCVA</w:t>
      </w:r>
      <w:r>
        <w:t xml:space="preserve"> desk. Opposite-direction trades that reduce overall portfolio risk must output negative values (risk releases).</w:t>
      </w:r>
    </w:p>
    <w:p w14:paraId="682298D6" w14:textId="77777777" w:rsidR="00D454A5" w:rsidRDefault="00000000">
      <w:pPr>
        <w:pStyle w:val="Heading3"/>
      </w:pPr>
      <w:r>
        <w:t>5.2 End-of-Day Viewer (CVA Viewer) Workflow</w:t>
      </w:r>
    </w:p>
    <w:p w14:paraId="124E40E2" w14:textId="77777777" w:rsidR="00D454A5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Static Aggregate Calculations:</w:t>
      </w:r>
      <w:r>
        <w:t xml:space="preserve"> Compute daily EOD XVA provisions using a fixed snapshot of the </w:t>
      </w:r>
      <w:r>
        <w:rPr>
          <w:b/>
          <w:bCs/>
        </w:rPr>
        <w:t>Sydney Closing CSA</w:t>
      </w:r>
      <w:r>
        <w:t xml:space="preserve"> market dataset.</w:t>
      </w:r>
    </w:p>
    <w:p w14:paraId="5F1BCA3C" w14:textId="77777777" w:rsidR="00D454A5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Immutability:</w:t>
      </w:r>
      <w:r>
        <w:t xml:space="preserve"> EOD viewer figures must remain static once calculated to preserve official end-of-day audit trails.</w:t>
      </w:r>
    </w:p>
    <w:p w14:paraId="482A391C" w14:textId="77777777" w:rsidR="00D454A5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Multi-View Dashboards:</w:t>
      </w:r>
      <w:r>
        <w:t xml:space="preserve"> Results must display through structured dashboard views, enabling users to drill down from parent-level counterparties to trade-level attributions and risk factor sensitivities.</w:t>
      </w:r>
    </w:p>
    <w:p w14:paraId="16DDD4CB" w14:textId="77777777" w:rsidR="00D454A5" w:rsidRDefault="00000000">
      <w:pPr>
        <w:pStyle w:val="Heading3"/>
      </w:pPr>
      <w:r>
        <w:t>5.3 Technical Calculation Methodology &amp; Input Rules</w:t>
      </w:r>
    </w:p>
    <w:p w14:paraId="57393F9E" w14:textId="77777777" w:rsidR="00D454A5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Monte Carlo Simulation:</w:t>
      </w:r>
      <w:r>
        <w:t xml:space="preserve"> Exposure calculation must use Monte Carlo simulations diffusing market risk factors across 8,190 scenario paths over a 40-year horizon.</w:t>
      </w:r>
    </w:p>
    <w:p w14:paraId="4A4A825D" w14:textId="77777777" w:rsidR="00D454A5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Discretized Time Bucketing:</w:t>
      </w:r>
      <w:r>
        <w:t xml:space="preserve"> Simulations must evaluate exposures across ~200 discrete future maturity buckets (compact daily steps for days 1–14, transitioning to weekly, monthly, quarterly, and yearly intervals).</w:t>
      </w:r>
    </w:p>
    <w:p w14:paraId="27780E31" w14:textId="77777777" w:rsidR="00D454A5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Positive Exposure Grid:</w:t>
      </w:r>
      <w:r>
        <w:t xml:space="preserve"> CVA calculations must evaluate strictly positive MTM values ($</w:t>
      </w:r>
      <w:proofErr w:type="gramStart"/>
      <w:r>
        <w:t>Max(</w:t>
      </w:r>
      <w:proofErr w:type="gramEnd"/>
      <w:r>
        <w:t xml:space="preserve">MTM, </w:t>
      </w:r>
      <w:proofErr w:type="gramStart"/>
      <w:r>
        <w:t>0)$</w:t>
      </w:r>
      <w:proofErr w:type="gramEnd"/>
      <w:r>
        <w:t>).</w:t>
      </w:r>
    </w:p>
    <w:p w14:paraId="43C53090" w14:textId="77777777" w:rsidR="00D454A5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Credit Parameters:</w:t>
      </w:r>
      <w:r>
        <w:t xml:space="preserve"> Probability of Default (PD) must draw from specific counterparty credit curves or generic sector/region/rating curves. Loss Given Default (LGD) must default to 40% (60% recovery rate).</w:t>
      </w:r>
    </w:p>
    <w:p w14:paraId="7EE4D814" w14:textId="77777777" w:rsidR="00D454A5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Rate &amp; FX Diffusion Process:</w:t>
      </w:r>
    </w:p>
    <w:p w14:paraId="2C427A51" w14:textId="77777777" w:rsidR="00D454A5" w:rsidRDefault="00000000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</w:pPr>
      <w:r>
        <w:t>Rate processes across currencies must use the Single-Factor Hull-White (1F) model.</w:t>
      </w:r>
    </w:p>
    <w:p w14:paraId="0D5B436E" w14:textId="77777777" w:rsidR="00D454A5" w:rsidRDefault="00000000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All FX risk factor diffusions must be processed against </w:t>
      </w:r>
      <w:r>
        <w:rPr>
          <w:b/>
          <w:bCs/>
        </w:rPr>
        <w:t>USD</w:t>
      </w:r>
      <w:r>
        <w:t xml:space="preserve"> as the primary diffusion and funding currency.</w:t>
      </w:r>
    </w:p>
    <w:p w14:paraId="013689D0" w14:textId="77777777" w:rsidR="00D454A5" w:rsidRDefault="00000000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</w:pPr>
      <w:r>
        <w:t>Output reporting currency must be set to Australian Dollars (</w:t>
      </w:r>
      <w:r>
        <w:rPr>
          <w:b/>
          <w:bCs/>
        </w:rPr>
        <w:t>AUD</w:t>
      </w:r>
      <w:r>
        <w:t>).</w:t>
      </w:r>
    </w:p>
    <w:p w14:paraId="2451A28B" w14:textId="77777777" w:rsidR="00D454A5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Segregated Variation Margin (VM) Special Handling:</w:t>
      </w:r>
      <w:r>
        <w:t xml:space="preserve"> For counterparties holding Segregated VM CSAs, the engine must force the Funding Benefit Adjustment (FBA) parameter to zero due to legal collateral re-hypothecation restrictions.</w:t>
      </w:r>
    </w:p>
    <w:p w14:paraId="6AD567E4" w14:textId="77777777" w:rsidR="00D454A5" w:rsidRDefault="00000000">
      <w:pPr>
        <w:pStyle w:val="Heading2"/>
      </w:pPr>
      <w:r>
        <w:pict w14:anchorId="4AD85BFC">
          <v:rect id="_x0000_i1030" style="width:0;height:1.5pt" o:hralign="center" o:hrstd="t" o:hr="t" fillcolor="#a0a0a0" stroked="f"/>
        </w:pict>
      </w:r>
      <w:r>
        <w:t>6. Enterprise Integration &amp; Data Flow</w:t>
      </w:r>
    </w:p>
    <w:p w14:paraId="17FF806B" w14:textId="57B5F847" w:rsidR="00D454A5" w:rsidRDefault="00000000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Courier" w:eastAsia="Courier" w:hAnsi="Courier" w:cs="Courier"/>
        </w:rPr>
      </w:pPr>
      <w:r>
        <w:rPr>
          <w:rFonts w:ascii="Courier" w:eastAsia="Courier" w:hAnsi="Courier" w:cs="Courier"/>
        </w:rPr>
        <w:t>+-----------------------------------------------------------------------------------+</w:t>
      </w:r>
      <w:r>
        <w:rPr>
          <w:rFonts w:ascii="Courier" w:eastAsia="Courier" w:hAnsi="Courier" w:cs="Courier"/>
        </w:rPr>
        <w:br/>
        <w:t>|                                  DATA SOURCES                                     |</w:t>
      </w:r>
      <w:r>
        <w:rPr>
          <w:rFonts w:ascii="Courier" w:eastAsia="Courier" w:hAnsi="Courier" w:cs="Courier"/>
        </w:rPr>
        <w:br/>
        <w:t>|  - Market Data: Sydney Closing CSA Dataset                                        |</w:t>
      </w:r>
      <w:r>
        <w:rPr>
          <w:rFonts w:ascii="Courier" w:eastAsia="Courier" w:hAnsi="Courier" w:cs="Courier"/>
        </w:rPr>
        <w:br/>
        <w:t>|  - Trade Feeds: Murex Front Office &amp; Wall Street Real-Time Trades                 |</w:t>
      </w:r>
      <w:r>
        <w:rPr>
          <w:rFonts w:ascii="Courier" w:eastAsia="Courier" w:hAnsi="Courier" w:cs="Courier"/>
        </w:rPr>
        <w:br/>
        <w:t>|  - Legal/Static: SAP BP Counterparty Hierarchy &amp; GMD Netting/Collateral Agreements|</w:t>
      </w:r>
      <w:r>
        <w:rPr>
          <w:rFonts w:ascii="Courier" w:eastAsia="Courier" w:hAnsi="Courier" w:cs="Courier"/>
        </w:rPr>
        <w:br/>
        <w:t>+----------------------------------------+------------------------------------------+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lastRenderedPageBreak/>
        <w:t xml:space="preserve">                                         |</w:t>
      </w:r>
      <w:r>
        <w:rPr>
          <w:rFonts w:ascii="Courier" w:eastAsia="Courier" w:hAnsi="Courier" w:cs="Courier"/>
        </w:rPr>
        <w:br/>
        <w:t xml:space="preserve">                                         v</w:t>
      </w:r>
      <w:r>
        <w:rPr>
          <w:rFonts w:ascii="Courier" w:eastAsia="Courier" w:hAnsi="Courier" w:cs="Courier"/>
        </w:rPr>
        <w:br/>
        <w:t>+-----------------------------------------------------------------------------------+</w:t>
      </w:r>
      <w:r>
        <w:rPr>
          <w:rFonts w:ascii="Courier" w:eastAsia="Courier" w:hAnsi="Courier" w:cs="Courier"/>
        </w:rPr>
        <w:br/>
        <w:t>|                           MUREX LIMITS CONTROLLER (MLC)                           |</w:t>
      </w:r>
      <w:r>
        <w:rPr>
          <w:rFonts w:ascii="Courier" w:eastAsia="Courier" w:hAnsi="Courier" w:cs="Courier"/>
        </w:rPr>
        <w:br/>
        <w:t>|  - LTS XML Scripts sync portfolio flags &amp; typology eligibility tables             |</w:t>
      </w:r>
      <w:r>
        <w:rPr>
          <w:rFonts w:ascii="Courier" w:eastAsia="Courier" w:hAnsi="Courier" w:cs="Courier"/>
        </w:rPr>
        <w:br/>
        <w:t>|  - Evaluates Netting Agreements &amp; Collateral CSAs (Thresholds / MTAs)             |</w:t>
      </w:r>
      <w:r>
        <w:rPr>
          <w:rFonts w:ascii="Courier" w:eastAsia="Courier" w:hAnsi="Courier" w:cs="Courier"/>
        </w:rPr>
        <w:br/>
        <w:t>|  - Runs Hull-White 1F Monte Carlo Diffusions (USD Funding / AUD Base)             |</w:t>
      </w:r>
      <w:r>
        <w:rPr>
          <w:rFonts w:ascii="Courier" w:eastAsia="Courier" w:hAnsi="Courier" w:cs="Courier"/>
        </w:rPr>
        <w:br/>
        <w:t>+----------------------------------------+------------------------------------------+</w:t>
      </w:r>
      <w:r>
        <w:rPr>
          <w:rFonts w:ascii="Courier" w:eastAsia="Courier" w:hAnsi="Courier" w:cs="Courier"/>
        </w:rPr>
        <w:br/>
        <w:t xml:space="preserve">                                         |</w:t>
      </w:r>
      <w:r>
        <w:rPr>
          <w:rFonts w:ascii="Courier" w:eastAsia="Courier" w:hAnsi="Courier" w:cs="Courier"/>
        </w:rPr>
        <w:br/>
        <w:t xml:space="preserve">                   +---------------------+---------------------+</w:t>
      </w:r>
      <w:r>
        <w:rPr>
          <w:rFonts w:ascii="Courier" w:eastAsia="Courier" w:hAnsi="Courier" w:cs="Courier"/>
        </w:rPr>
        <w:br/>
        <w:t xml:space="preserve">                   |                                           |</w:t>
      </w:r>
      <w:r>
        <w:rPr>
          <w:rFonts w:ascii="Courier" w:eastAsia="Courier" w:hAnsi="Courier" w:cs="Courier"/>
        </w:rPr>
        <w:br/>
        <w:t xml:space="preserve">                   v                                           </w:t>
      </w:r>
      <w:proofErr w:type="spellStart"/>
      <w:r>
        <w:rPr>
          <w:rFonts w:ascii="Courier" w:eastAsia="Courier" w:hAnsi="Courier" w:cs="Courier"/>
        </w:rPr>
        <w:t>v</w:t>
      </w:r>
      <w:proofErr w:type="spellEnd"/>
      <w:r>
        <w:rPr>
          <w:rFonts w:ascii="Courier" w:eastAsia="Courier" w:hAnsi="Courier" w:cs="Courier"/>
        </w:rPr>
        <w:br/>
        <w:t>+------------------------------------+     +----------------------------------------+</w:t>
      </w:r>
      <w:r>
        <w:rPr>
          <w:rFonts w:ascii="Courier" w:eastAsia="Courier" w:hAnsi="Courier" w:cs="Courier"/>
        </w:rPr>
        <w:br/>
        <w:t>| REAL-TIME ENGINE (</w:t>
      </w:r>
      <w:r w:rsidR="00E51683">
        <w:rPr>
          <w:rFonts w:ascii="Courier" w:eastAsia="Courier" w:hAnsi="Courier" w:cs="Courier"/>
        </w:rPr>
        <w:t>RTLIM</w:t>
      </w:r>
      <w:r>
        <w:rPr>
          <w:rFonts w:ascii="Courier" w:eastAsia="Courier" w:hAnsi="Courier" w:cs="Courier"/>
        </w:rPr>
        <w:t>)        |     | END-OF-DAY VIEWER (CVA VIEWER)         |</w:t>
      </w:r>
      <w:r>
        <w:rPr>
          <w:rFonts w:ascii="Courier" w:eastAsia="Courier" w:hAnsi="Courier" w:cs="Courier"/>
        </w:rPr>
        <w:br/>
        <w:t xml:space="preserve">| - Model Template: </w:t>
      </w:r>
      <w:r w:rsidR="00E51683">
        <w:rPr>
          <w:rFonts w:ascii="Courier" w:eastAsia="Courier" w:hAnsi="Courier" w:cs="Courier"/>
        </w:rPr>
        <w:t>RTLIM</w:t>
      </w:r>
      <w:r>
        <w:rPr>
          <w:rFonts w:ascii="Courier" w:eastAsia="Courier" w:hAnsi="Courier" w:cs="Courier"/>
        </w:rPr>
        <w:t xml:space="preserve">         |     | - Model Template: PRODUCTION           |</w:t>
      </w:r>
      <w:r>
        <w:rPr>
          <w:rFonts w:ascii="Courier" w:eastAsia="Courier" w:hAnsi="Courier" w:cs="Courier"/>
        </w:rPr>
        <w:br/>
        <w:t>| - Database Table: XVA_MV_RTM_REP   |     | - Database Table: XVA_MV_REP           |</w:t>
      </w:r>
      <w:r>
        <w:rPr>
          <w:rFonts w:ascii="Courier" w:eastAsia="Courier" w:hAnsi="Courier" w:cs="Courier"/>
        </w:rPr>
        <w:br/>
        <w:t>| - Feeder Script: XVA_MV_RTM_BF     |     | - Feeder Script: XVA_MV_EOD_BF         |</w:t>
      </w:r>
      <w:r>
        <w:rPr>
          <w:rFonts w:ascii="Courier" w:eastAsia="Courier" w:hAnsi="Courier" w:cs="Courier"/>
        </w:rPr>
        <w:br/>
        <w:t>| - Trade Scope: All Active Trades   |     | - Trade Scope: P&amp;L Accepted Trades     |</w:t>
      </w:r>
      <w:r>
        <w:rPr>
          <w:rFonts w:ascii="Courier" w:eastAsia="Courier" w:hAnsi="Courier" w:cs="Courier"/>
        </w:rPr>
        <w:br/>
        <w:t>+------------------+-----------------+     +-------------------+--------------------+</w:t>
      </w:r>
      <w:r>
        <w:rPr>
          <w:rFonts w:ascii="Courier" w:eastAsia="Courier" w:hAnsi="Courier" w:cs="Courier"/>
        </w:rPr>
        <w:br/>
        <w:t xml:space="preserve">                   |                                           |</w:t>
      </w:r>
      <w:r>
        <w:rPr>
          <w:rFonts w:ascii="Courier" w:eastAsia="Courier" w:hAnsi="Courier" w:cs="Courier"/>
        </w:rPr>
        <w:br/>
        <w:t xml:space="preserve">                   v                                           </w:t>
      </w:r>
      <w:proofErr w:type="spellStart"/>
      <w:r>
        <w:rPr>
          <w:rFonts w:ascii="Courier" w:eastAsia="Courier" w:hAnsi="Courier" w:cs="Courier"/>
        </w:rPr>
        <w:t>v</w:t>
      </w:r>
      <w:proofErr w:type="spellEnd"/>
      <w:r>
        <w:rPr>
          <w:rFonts w:ascii="Courier" w:eastAsia="Courier" w:hAnsi="Courier" w:cs="Courier"/>
        </w:rPr>
        <w:br/>
        <w:t>+------------------------------------+     +----------------------------------------+</w:t>
      </w:r>
      <w:r>
        <w:rPr>
          <w:rFonts w:ascii="Courier" w:eastAsia="Courier" w:hAnsi="Courier" w:cs="Courier"/>
        </w:rPr>
        <w:br/>
        <w:t>| FRONT OFFICE TRADE PAD             |     | DOWNSTREAM CONSUMERS                   |</w:t>
      </w:r>
      <w:r>
        <w:rPr>
          <w:rFonts w:ascii="Courier" w:eastAsia="Courier" w:hAnsi="Courier" w:cs="Courier"/>
        </w:rPr>
        <w:br/>
        <w:t xml:space="preserve">| - Pre-Deal Checks                  |     | - </w:t>
      </w:r>
      <w:r w:rsidR="00E51683">
        <w:rPr>
          <w:rFonts w:ascii="Courier" w:eastAsia="Courier" w:hAnsi="Courier" w:cs="Courier"/>
        </w:rPr>
        <w:t>PCVA</w:t>
      </w:r>
      <w:r>
        <w:rPr>
          <w:rFonts w:ascii="Courier" w:eastAsia="Courier" w:hAnsi="Courier" w:cs="Courier"/>
        </w:rPr>
        <w:t xml:space="preserve"> Desk (Provisions &amp; CDS Hedging) |</w:t>
      </w:r>
      <w:r>
        <w:rPr>
          <w:rFonts w:ascii="Courier" w:eastAsia="Courier" w:hAnsi="Courier" w:cs="Courier"/>
        </w:rPr>
        <w:br/>
        <w:t>| - Broker Flow Pricing Adjustments  |     | - Product Control (P&amp;L Explain)        |</w:t>
      </w:r>
      <w:r>
        <w:rPr>
          <w:rFonts w:ascii="Courier" w:eastAsia="Courier" w:hAnsi="Courier" w:cs="Courier"/>
        </w:rPr>
        <w:br/>
        <w:t>|                                    |     | - Rex (Market Risk Sensitivities)      |</w:t>
      </w:r>
      <w:r>
        <w:rPr>
          <w:rFonts w:ascii="Courier" w:eastAsia="Courier" w:hAnsi="Courier" w:cs="Courier"/>
        </w:rPr>
        <w:br/>
        <w:t>|                                    |     | - GTRS (Regulatory Capital)            |</w:t>
      </w:r>
      <w:r>
        <w:rPr>
          <w:rFonts w:ascii="Courier" w:eastAsia="Courier" w:hAnsi="Courier" w:cs="Courier"/>
        </w:rPr>
        <w:br/>
        <w:t>+------------------------------------+     +----------------------------------------+</w:t>
      </w:r>
    </w:p>
    <w:p w14:paraId="3FEE3800" w14:textId="77777777" w:rsidR="00D454A5" w:rsidRDefault="00000000">
      <w:pPr>
        <w:pStyle w:val="Heading3"/>
        <w:spacing w:before="0"/>
      </w:pPr>
      <w:r>
        <w:t>6.1 Downstream Systems Integration</w:t>
      </w:r>
    </w:p>
    <w:p w14:paraId="30E73B82" w14:textId="77777777" w:rsidR="00D454A5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lastRenderedPageBreak/>
        <w:t>Product Control Valuations Data Mart:</w:t>
      </w:r>
      <w:r>
        <w:t xml:space="preserve"> Consumes multi-run iterations to generate daily P&amp;L Explain reports.</w:t>
      </w:r>
    </w:p>
    <w:p w14:paraId="31E2A618" w14:textId="77777777" w:rsidR="00D454A5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Risk Explorer (Rex):</w:t>
      </w:r>
      <w:r>
        <w:t xml:space="preserve"> Receives XVA market risk sensitivities for consolidated risk management.</w:t>
      </w:r>
    </w:p>
    <w:p w14:paraId="090D6A2C" w14:textId="570BE790" w:rsidR="00D454A5" w:rsidRDefault="00000000" w:rsidP="001C04E5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GTRS System:</w:t>
      </w:r>
      <w:r>
        <w:t xml:space="preserve"> Receives exposure and sensitivity outputs for calculating enterprise regulatory capital requirements.</w:t>
      </w:r>
    </w:p>
    <w:sectPr w:rsidR="00D454A5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5AC4F420-2AA6-4808-A016-95EB24FABC28}"/>
  </w:font>
  <w:font w:name="Courier">
    <w:altName w:val="Courier New"/>
    <w:panose1 w:val="020704090202050204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52C35D0-3C9D-4D3A-8F4F-7DD59E2C2CFC}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0C6C63E-CF09-43AF-B62E-69C7A174610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E4382"/>
    <w:multiLevelType w:val="multilevel"/>
    <w:tmpl w:val="2326D7A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316158A"/>
    <w:multiLevelType w:val="multilevel"/>
    <w:tmpl w:val="0EF8843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51C0EAD"/>
    <w:multiLevelType w:val="multilevel"/>
    <w:tmpl w:val="51E8CAD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3A297EFF"/>
    <w:multiLevelType w:val="multilevel"/>
    <w:tmpl w:val="A6AED2C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3A4A78E4"/>
    <w:multiLevelType w:val="multilevel"/>
    <w:tmpl w:val="437431B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45BC0474"/>
    <w:multiLevelType w:val="multilevel"/>
    <w:tmpl w:val="04F200FC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493A0184"/>
    <w:multiLevelType w:val="multilevel"/>
    <w:tmpl w:val="CA048EE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4D7A1740"/>
    <w:multiLevelType w:val="multilevel"/>
    <w:tmpl w:val="35E02AC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5228151B"/>
    <w:multiLevelType w:val="multilevel"/>
    <w:tmpl w:val="CA2CAD12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5256035F"/>
    <w:multiLevelType w:val="multilevel"/>
    <w:tmpl w:val="E8467AC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5BC557B6"/>
    <w:multiLevelType w:val="multilevel"/>
    <w:tmpl w:val="659EF75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5CC712FE"/>
    <w:multiLevelType w:val="multilevel"/>
    <w:tmpl w:val="7DEC6B5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7B3D139D"/>
    <w:multiLevelType w:val="multilevel"/>
    <w:tmpl w:val="682E447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698311622">
    <w:abstractNumId w:val="5"/>
  </w:num>
  <w:num w:numId="2" w16cid:durableId="2097819888">
    <w:abstractNumId w:val="7"/>
  </w:num>
  <w:num w:numId="3" w16cid:durableId="356925719">
    <w:abstractNumId w:val="11"/>
  </w:num>
  <w:num w:numId="4" w16cid:durableId="292757168">
    <w:abstractNumId w:val="0"/>
  </w:num>
  <w:num w:numId="5" w16cid:durableId="702052042">
    <w:abstractNumId w:val="3"/>
  </w:num>
  <w:num w:numId="6" w16cid:durableId="1957255237">
    <w:abstractNumId w:val="12"/>
  </w:num>
  <w:num w:numId="7" w16cid:durableId="1969386064">
    <w:abstractNumId w:val="4"/>
  </w:num>
  <w:num w:numId="8" w16cid:durableId="420567137">
    <w:abstractNumId w:val="10"/>
  </w:num>
  <w:num w:numId="9" w16cid:durableId="1711957998">
    <w:abstractNumId w:val="1"/>
  </w:num>
  <w:num w:numId="10" w16cid:durableId="1513496332">
    <w:abstractNumId w:val="6"/>
  </w:num>
  <w:num w:numId="11" w16cid:durableId="1579244691">
    <w:abstractNumId w:val="9"/>
  </w:num>
  <w:num w:numId="12" w16cid:durableId="1595478204">
    <w:abstractNumId w:val="8"/>
  </w:num>
  <w:num w:numId="13" w16cid:durableId="10111052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54A5"/>
    <w:rsid w:val="001C04E5"/>
    <w:rsid w:val="005A09AF"/>
    <w:rsid w:val="00D454A5"/>
    <w:rsid w:val="00E51683"/>
    <w:rsid w:val="00F45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3C39F"/>
  <w15:docId w15:val="{086B0D5F-D077-442D-AD80-EAEF5B760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1670</Words>
  <Characters>9524</Characters>
  <Application>Microsoft Office Word</Application>
  <DocSecurity>0</DocSecurity>
  <Lines>79</Lines>
  <Paragraphs>22</Paragraphs>
  <ScaleCrop>false</ScaleCrop>
  <Company/>
  <LinksUpToDate>false</LinksUpToDate>
  <CharactersWithSpaces>11172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2</cp:revision>
  <dcterms:created xsi:type="dcterms:W3CDTF">2026-09-16T19:07:00Z</dcterms:created>
  <dcterms:modified xsi:type="dcterms:W3CDTF">2026-09-16T19:07:00Z</dcterms:modified>
</cp:coreProperties>
</file>