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33349" w14:textId="77777777" w:rsidR="00175A76" w:rsidRDefault="00000000">
      <w:pPr>
        <w:spacing w:after="40"/>
        <w:jc w:val="center"/>
      </w:pPr>
      <w:r>
        <w:rPr>
          <w:rFonts w:ascii="Calibri" w:hAnsi="Calibri"/>
          <w:b/>
          <w:color w:val="1B365D"/>
          <w:sz w:val="36"/>
        </w:rPr>
        <w:t>NEERAJ MAHESHWARI</w:t>
      </w:r>
    </w:p>
    <w:p w14:paraId="58D33EDA" w14:textId="77777777" w:rsidR="00175A76" w:rsidRDefault="00000000">
      <w:pPr>
        <w:spacing w:after="60"/>
        <w:jc w:val="center"/>
      </w:pPr>
      <w:r>
        <w:rPr>
          <w:rFonts w:ascii="Calibri" w:hAnsi="Calibri"/>
          <w:b/>
          <w:color w:val="333333"/>
        </w:rPr>
        <w:t>Technical Product Manager | Senior Business Analyst (Core Banking, Mortgages, Agentic AI &amp; Payments)</w:t>
      </w:r>
    </w:p>
    <w:p w14:paraId="3B1F080A" w14:textId="77777777" w:rsidR="0090078B" w:rsidRPr="00705984" w:rsidRDefault="00000000" w:rsidP="0090078B">
      <w:pPr>
        <w:spacing w:after="100"/>
        <w:jc w:val="center"/>
        <w:rPr>
          <w:b/>
          <w:bCs/>
        </w:rPr>
      </w:pPr>
      <w:r>
        <w:rPr>
          <w:rFonts w:ascii="Calibri" w:hAnsi="Calibri"/>
          <w:color w:val="555555"/>
          <w:sz w:val="19"/>
        </w:rPr>
        <w:t>neeraj.mh99@gmail.com  |  +91-9897610958  |  Bangalore, India</w:t>
      </w:r>
      <w:r>
        <w:rPr>
          <w:rFonts w:ascii="Calibri" w:hAnsi="Calibri"/>
          <w:color w:val="555555"/>
          <w:sz w:val="19"/>
        </w:rPr>
        <w:br/>
      </w:r>
      <w:hyperlink r:id="rId6" w:history="1">
        <w:r w:rsidR="0090078B" w:rsidRPr="00EA6883">
          <w:rPr>
            <w:rStyle w:val="Hyperlink"/>
            <w:rFonts w:ascii="Arial" w:hAnsi="Arial"/>
            <w:b/>
            <w:bCs/>
            <w:sz w:val="17"/>
          </w:rPr>
          <w:t>LinkedIn</w:t>
        </w:r>
      </w:hyperlink>
      <w:r w:rsidR="0090078B">
        <w:rPr>
          <w:rFonts w:ascii="Arial" w:hAnsi="Arial"/>
          <w:b/>
          <w:bCs/>
          <w:color w:val="646E78"/>
          <w:sz w:val="17"/>
        </w:rPr>
        <w:t xml:space="preserve"> |</w:t>
      </w:r>
      <w:r w:rsidR="0090078B" w:rsidRPr="00705984">
        <w:rPr>
          <w:rFonts w:ascii="Arial" w:hAnsi="Arial"/>
          <w:b/>
          <w:bCs/>
          <w:color w:val="646E78"/>
          <w:sz w:val="17"/>
        </w:rPr>
        <w:t xml:space="preserve"> Portfolio: </w:t>
      </w:r>
      <w:hyperlink r:id="rId7" w:history="1">
        <w:r w:rsidR="0090078B">
          <w:rPr>
            <w:rStyle w:val="Hyperlink"/>
            <w:rFonts w:ascii="Arial" w:hAnsi="Arial"/>
            <w:b/>
            <w:bCs/>
            <w:sz w:val="17"/>
          </w:rPr>
          <w:t>https://neeraj-mh.github.io/Portfolio</w:t>
        </w:r>
      </w:hyperlink>
      <w:r w:rsidR="0090078B" w:rsidRPr="00705984">
        <w:rPr>
          <w:rFonts w:ascii="Arial" w:hAnsi="Arial"/>
          <w:b/>
          <w:bCs/>
          <w:color w:val="646E78"/>
          <w:sz w:val="17"/>
        </w:rPr>
        <w:t xml:space="preserve">  |  GitHub: </w:t>
      </w:r>
      <w:hyperlink r:id="rId8" w:history="1">
        <w:r w:rsidR="0090078B">
          <w:rPr>
            <w:rStyle w:val="Hyperlink"/>
            <w:rFonts w:ascii="Arial" w:hAnsi="Arial"/>
            <w:b/>
            <w:bCs/>
            <w:sz w:val="17"/>
          </w:rPr>
          <w:t>https://github.com/Neeraj-Mh</w:t>
        </w:r>
      </w:hyperlink>
    </w:p>
    <w:p w14:paraId="30842F1E" w14:textId="77777777" w:rsidR="00175A76" w:rsidRDefault="00000000" w:rsidP="0090078B">
      <w:pPr>
        <w:spacing w:after="160"/>
        <w:jc w:val="center"/>
      </w:pPr>
      <w:r>
        <w:rPr>
          <w:rFonts w:ascii="Calibri" w:hAnsi="Calibri"/>
          <w:b/>
          <w:color w:val="1B365D"/>
          <w:sz w:val="23"/>
        </w:rPr>
        <w:t>PROFESSIONAL SUMMARY</w:t>
      </w:r>
    </w:p>
    <w:p w14:paraId="5A105050" w14:textId="742743F8" w:rsidR="00175A76" w:rsidRDefault="00000000">
      <w:pPr>
        <w:spacing w:before="40" w:after="80"/>
      </w:pPr>
      <w:r>
        <w:rPr>
          <w:rFonts w:ascii="Calibri" w:hAnsi="Calibri"/>
          <w:color w:val="333333"/>
          <w:sz w:val="20"/>
        </w:rPr>
        <w:t xml:space="preserve">Dynamic Technical Product Manager and Senior Business Analyst with 14+ years of cross-functional experience leading digital transformation across Core Banking Systems (CBS), Australian Mortgage Lending, Agentic AI workflows, Cross-Border Payments, and Institutional Investment Banking. Proven track record of directing the end-to-end Software Product Lifecycle (SDLC)—from multi-stakeholder discovery and microservices functional design to sprint execution and executive MIS reporting. Expert at deploying autonomous multi-agent architectures that automate lending workflows while enforcing strict risk controls and PCI DSS compliance. </w:t>
      </w:r>
      <w:r w:rsidR="00C715CC">
        <w:rPr>
          <w:rFonts w:ascii="Calibri" w:hAnsi="Calibri"/>
          <w:color w:val="333333"/>
          <w:sz w:val="20"/>
        </w:rPr>
        <w:t>B</w:t>
      </w:r>
      <w:r>
        <w:rPr>
          <w:rFonts w:ascii="Calibri" w:hAnsi="Calibri"/>
          <w:color w:val="333333"/>
          <w:sz w:val="20"/>
        </w:rPr>
        <w:t>ackground in global payments debt/equity capital markets, and post-trade lifecycle workflows, complemented by targeted exposure to Murex MX.3 front-office booking.</w:t>
      </w:r>
    </w:p>
    <w:p w14:paraId="3EE5F2AA" w14:textId="77777777" w:rsidR="00175A76" w:rsidRDefault="00000000">
      <w:pPr>
        <w:keepNext/>
        <w:pBdr>
          <w:bottom w:val="single" w:sz="8" w:space="2" w:color="1B365D"/>
        </w:pBdr>
        <w:spacing w:before="200" w:after="80"/>
      </w:pPr>
      <w:r>
        <w:rPr>
          <w:rFonts w:ascii="Calibri" w:hAnsi="Calibri"/>
          <w:b/>
          <w:color w:val="1B365D"/>
          <w:sz w:val="23"/>
        </w:rPr>
        <w:t>CORE COMPETENCIES &amp; TECHNICAL SKILLS</w:t>
      </w:r>
    </w:p>
    <w:p w14:paraId="169B494A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Core Banking &amp; Mortgages: </w:t>
      </w:r>
      <w:r>
        <w:rPr>
          <w:rFonts w:ascii="Calibri" w:hAnsi="Calibri"/>
          <w:color w:val="333333"/>
          <w:sz w:val="20"/>
        </w:rPr>
        <w:t>CommSee Core Banking Software, Core Banking Systems (CBS) Lending Modules, Australian Mortgage Origination, Construction Loans &amp; Progressive Drawdowns, Loan Account Lifecycle, Deposit Management, Redraw Facilities, General Ledger (GL) Postings, Interest Accrual Engines, Responsible Lending Governance.</w:t>
      </w:r>
    </w:p>
    <w:p w14:paraId="5E575414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Agentic AI &amp; Automation: </w:t>
      </w:r>
      <w:r>
        <w:rPr>
          <w:rFonts w:ascii="Calibri" w:hAnsi="Calibri"/>
          <w:color w:val="333333"/>
          <w:sz w:val="20"/>
        </w:rPr>
        <w:t>Autonomous AI Agents, Multi-Modal Invoice Verification, Multi-Agent Orchestration, Tool Calling / API Schemas, Human-in-the-Loop (HITL) Checkpoints, Deterministic Fallbacks, Guardrails &amp; Evaluation Metrics.</w:t>
      </w:r>
    </w:p>
    <w:p w14:paraId="02F0D739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Investment Banking &amp; Capital Markets: </w:t>
      </w:r>
      <w:r>
        <w:rPr>
          <w:rFonts w:ascii="Calibri" w:hAnsi="Calibri"/>
          <w:color w:val="333333"/>
          <w:sz w:val="20"/>
        </w:rPr>
        <w:t>Debt &amp; Equity Capital Markets (DCM/ECM), Syndicated Lending, Trade Lifecycle, Front-to-Back STP, CCP Clearing, Collateral &amp; Margin Management, Counterparty Credit Risk (CCR).</w:t>
      </w:r>
    </w:p>
    <w:p w14:paraId="219F1D0F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Product Leadership &amp; Governance: </w:t>
      </w:r>
      <w:r>
        <w:rPr>
          <w:rFonts w:ascii="Calibri" w:hAnsi="Calibri"/>
          <w:color w:val="333333"/>
          <w:sz w:val="20"/>
        </w:rPr>
        <w:t>End-to-End Product Lifecycle, Technical Presales &amp; RFP/RFI Bids, Client Discovery &amp; PoCs, Backlog Grooming, Feature Roadmapping, Epic/Story Creation, Sprint Planning, Jira, Confluence, BRDs/FSDs, Risk Analytics, Power BI, SQL, Python, Murex MX.3 FO.</w:t>
      </w:r>
    </w:p>
    <w:p w14:paraId="219F1D0F" w14:textId="77777777" w:rsidR="00175A76" w:rsidRDefault="00000000">
      <w:pPr>
        <w:pStyle w:val="ListBullet"/>
      </w:pPr>
      <w:r>
        <w:rPr>
          <w:rFonts w:ascii="Calibri" w:hAnsi="Calibri"/>
          <w:b/>
          <w:sz w:val="20"/>
        </w:rPr>
        <w:t xml:space="preserve">Business Analysis &amp; Requirements Engineering: </w:t>
      </w:r>
      <w:r>
        <w:rPr>
          <w:rFonts w:ascii="Calibri" w:hAnsi="Calibri"/>
          <w:b w:val="0"/>
          <w:sz w:val="20"/>
        </w:rPr>
        <w:t>Requirements Gathering &amp; Elicitation, Business Requirements Documents (BRDs), Functional Specification Documents (FSDs), User Stories &amp; Acceptance Criteria, As-Is/To-Be Process Modeling, UML &amp; Activity Diagrams, Gap Analysis, Stakeholder Management.</w:t>
      </w:r>
    </w:p>
    <w:p w14:paraId="219F1D0F" w14:textId="77777777" w:rsidR="00175A76" w:rsidRDefault="00000000">
      <w:pPr>
        <w:pStyle w:val="ListBullet"/>
      </w:pPr>
      <w:r>
        <w:rPr>
          <w:rFonts w:ascii="Calibri" w:hAnsi="Calibri"/>
          <w:b/>
          <w:sz w:val="20"/>
        </w:rPr>
        <w:t xml:space="preserve">Quality Assurance &amp; Testing: </w:t>
      </w:r>
      <w:r>
        <w:rPr>
          <w:rFonts w:ascii="Calibri" w:hAnsi="Calibri"/>
          <w:b w:val="0"/>
          <w:sz w:val="20"/>
        </w:rPr>
        <w:t>Manual Functional Testing, User Acceptance Testing (UAT), End-to-End System Integration Testing (SIT), Requirement Traceability Matrix (RTM), Test Case Design &amp; Scenario Planning, Regression &amp; Sanity Testing, Defect Lifecycle Management, Core Banking &amp; OFS Interface Validation.</w:t>
      </w:r>
    </w:p>
    <w:p w14:paraId="702A8B5C" w14:textId="77777777" w:rsidR="00175A76" w:rsidRDefault="00000000">
      <w:pPr>
        <w:keepNext/>
        <w:pBdr>
          <w:bottom w:val="single" w:sz="8" w:space="2" w:color="1B365D"/>
        </w:pBdr>
        <w:spacing w:before="200" w:after="80"/>
      </w:pPr>
      <w:r>
        <w:rPr>
          <w:rFonts w:ascii="Calibri" w:hAnsi="Calibri"/>
          <w:b/>
          <w:color w:val="1B365D"/>
          <w:sz w:val="23"/>
        </w:rPr>
        <w:t>PROFESSIONAL EXPERIENCE</w:t>
      </w:r>
    </w:p>
    <w:p w14:paraId="2B312A21" w14:textId="77777777" w:rsidR="00175A76" w:rsidRDefault="00000000">
      <w:pPr>
        <w:keepNext/>
        <w:spacing w:before="120" w:after="40"/>
      </w:pPr>
      <w:r>
        <w:rPr>
          <w:rFonts w:ascii="Calibri" w:hAnsi="Calibri"/>
          <w:b/>
          <w:color w:val="1B365D"/>
          <w:sz w:val="21"/>
        </w:rPr>
        <w:t>Product Manager (Core Banking, Mortgages &amp; Agentic AI)</w:t>
      </w:r>
      <w:r>
        <w:rPr>
          <w:rFonts w:ascii="Calibri" w:hAnsi="Calibri"/>
          <w:b/>
          <w:color w:val="1B365D"/>
          <w:sz w:val="21"/>
        </w:rPr>
        <w:br/>
      </w:r>
      <w:r>
        <w:rPr>
          <w:rFonts w:ascii="Calibri" w:hAnsi="Calibri"/>
          <w:b/>
          <w:color w:val="333333"/>
          <w:sz w:val="20"/>
        </w:rPr>
        <w:t xml:space="preserve">Commonwealth Bank of Australia — Bangalore, India  |  </w:t>
      </w:r>
      <w:r>
        <w:rPr>
          <w:rFonts w:ascii="Calibri" w:hAnsi="Calibri"/>
          <w:i/>
          <w:color w:val="555555"/>
          <w:sz w:val="19"/>
        </w:rPr>
        <w:t>Mar 2023 – Present</w:t>
      </w:r>
    </w:p>
    <w:p w14:paraId="182A086F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Product Vision, Roadmap &amp; Backlog: </w:t>
      </w:r>
      <w:r>
        <w:rPr>
          <w:rFonts w:ascii="Calibri" w:hAnsi="Calibri"/>
          <w:color w:val="333333"/>
          <w:sz w:val="20"/>
        </w:rPr>
        <w:t>Own the end-to-end product lifecycle across international matrix environments; translate business strategy into prioritized roadmaps and maintain a high-value Jira product backlog with detailed epics, user stories, and acceptance criteria.</w:t>
      </w:r>
    </w:p>
    <w:p w14:paraId="1F925900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Agentic AI Construction Loan Automation: </w:t>
      </w:r>
      <w:r>
        <w:rPr>
          <w:rFonts w:ascii="Calibri" w:hAnsi="Calibri"/>
          <w:color w:val="333333"/>
          <w:sz w:val="20"/>
        </w:rPr>
        <w:t>Spearheaded the discovery and rollout of an Agentic AI Invoice Verification platform, deploying autonomous multi-modal agents to parse, extract, and reconcile builder claims and cost breakdowns against contracts—driving a 34% reduction in manual verification effort.</w:t>
      </w:r>
    </w:p>
    <w:p w14:paraId="4C6D2433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Multi-Agent Progressive Drawdown Validation: </w:t>
      </w:r>
      <w:r>
        <w:rPr>
          <w:rFonts w:ascii="Calibri" w:hAnsi="Calibri"/>
          <w:color w:val="333333"/>
          <w:sz w:val="20"/>
        </w:rPr>
        <w:t>Architected autonomous multi-agent validation pipelines orchestrating real-time tool calling across Core Banking loan records, quantity surveyor (QS) reports, builder licenses, and property titles to flag billing anomalies and cost overruns prior to disbursement.</w:t>
      </w:r>
    </w:p>
    <w:p w14:paraId="12129225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Core Banking Systems (CBS) &amp; Mortgage Lifecycle: </w:t>
      </w:r>
      <w:r>
        <w:rPr>
          <w:rFonts w:ascii="Calibri" w:hAnsi="Calibri"/>
          <w:color w:val="333333"/>
          <w:sz w:val="20"/>
        </w:rPr>
        <w:t>Defined functional specifications for CBS lending modules, governing automated loan account origination, progressive disbursement ledger postings, redraw facilities, construction interest accruals, and EOD batch reconciliation.</w:t>
      </w:r>
    </w:p>
    <w:p w14:paraId="6D7D5235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Australian Mortgage Origination &amp; Government Schemes: </w:t>
      </w:r>
      <w:r>
        <w:rPr>
          <w:rFonts w:ascii="Calibri" w:hAnsi="Calibri"/>
          <w:color w:val="333333"/>
          <w:sz w:val="20"/>
        </w:rPr>
        <w:t>Guided the digital mortgage journey, integrating automated borrowing power calculators, serviceability checks, automated valuation triggers, and Australian Government Home Guarantee Schemes (HGS/FHBG).</w:t>
      </w:r>
    </w:p>
    <w:p w14:paraId="7BC7A101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Microservices &amp; API Integration: </w:t>
      </w:r>
      <w:r>
        <w:rPr>
          <w:rFonts w:ascii="Calibri" w:hAnsi="Calibri"/>
          <w:color w:val="333333"/>
          <w:sz w:val="20"/>
        </w:rPr>
        <w:t>Collaborated with architects to design scalable microservices and RESTful APIs connecting digital origination front-ends to downstream Core Banking deposit ledgers and credit assessment engines.</w:t>
      </w:r>
    </w:p>
    <w:p w14:paraId="347896FB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lastRenderedPageBreak/>
        <w:t xml:space="preserve">Risk Analytics &amp; AI Governance: </w:t>
      </w:r>
      <w:r>
        <w:rPr>
          <w:rFonts w:ascii="Calibri" w:hAnsi="Calibri"/>
          <w:color w:val="333333"/>
          <w:sz w:val="20"/>
        </w:rPr>
        <w:t>Established agent guardrails, prompt engineering standards, and deterministic fallback controls aligned with credit policy; integrated risk analytics into origination workflows to ensure responsible lending compliance.</w:t>
      </w:r>
    </w:p>
    <w:p w14:paraId="1144D927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Investment Banking &amp; Capital Markets Solutions: </w:t>
      </w:r>
      <w:r>
        <w:rPr>
          <w:rFonts w:ascii="Calibri" w:hAnsi="Calibri"/>
          <w:color w:val="333333"/>
          <w:sz w:val="20"/>
        </w:rPr>
        <w:t>Partnered with Global Markets teams to define workflow specifications for syndicated facilities and debt/equity capital allocations, ensuring end-to-end STP integration.</w:t>
      </w:r>
    </w:p>
    <w:p w14:paraId="194B68F7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Murex Front Office Platform Support: </w:t>
      </w:r>
      <w:r>
        <w:rPr>
          <w:rFonts w:ascii="Calibri" w:hAnsi="Calibri"/>
          <w:color w:val="333333"/>
          <w:sz w:val="20"/>
        </w:rPr>
        <w:t>Managed minor functional configurations for Murex MX.3 Deal Capture and trade booking workflows, validating downstream STP flow into core ledgers.</w:t>
      </w:r>
    </w:p>
    <w:p w14:paraId="7D067D41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Data Flow Architecture &amp; MIS Reporting: </w:t>
      </w:r>
      <w:r>
        <w:rPr>
          <w:rFonts w:ascii="Calibri" w:hAnsi="Calibri"/>
          <w:color w:val="333333"/>
          <w:sz w:val="20"/>
        </w:rPr>
        <w:t>Mapped critical data journeys from client intake to backend reporting, delivering operational MIS reports and Power BI executive dashboards.</w:t>
      </w:r>
    </w:p>
    <w:p w14:paraId="7D002949" w14:textId="77777777" w:rsidR="00175A76" w:rsidRDefault="00000000">
      <w:pPr>
        <w:keepNext/>
        <w:spacing w:before="120" w:after="40"/>
      </w:pPr>
      <w:r>
        <w:rPr>
          <w:rFonts w:ascii="Calibri" w:hAnsi="Calibri"/>
          <w:b/>
          <w:color w:val="1B365D"/>
          <w:sz w:val="21"/>
        </w:rPr>
        <w:t>Senior Business Analyst (Investment Banking, Payments &amp; Trading Systems)</w:t>
      </w:r>
      <w:r>
        <w:rPr>
          <w:rFonts w:ascii="Calibri" w:hAnsi="Calibri"/>
          <w:b/>
          <w:color w:val="1B365D"/>
          <w:sz w:val="21"/>
        </w:rPr>
        <w:br/>
      </w:r>
      <w:r>
        <w:rPr>
          <w:rFonts w:ascii="Calibri" w:hAnsi="Calibri"/>
          <w:b/>
          <w:color w:val="333333"/>
          <w:sz w:val="20"/>
        </w:rPr>
        <w:t xml:space="preserve">HCL Technologies Ltd. — Noida / Bangalore, India  |  </w:t>
      </w:r>
      <w:r>
        <w:rPr>
          <w:rFonts w:ascii="Calibri" w:hAnsi="Calibri"/>
          <w:i/>
          <w:color w:val="555555"/>
          <w:sz w:val="19"/>
        </w:rPr>
        <w:t>Dec 2017 – Feb 2023</w:t>
      </w:r>
    </w:p>
    <w:p w14:paraId="0A3CCD55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Investment Banking Trade Lifecycle &amp; STP: </w:t>
      </w:r>
      <w:r>
        <w:rPr>
          <w:rFonts w:ascii="Calibri" w:hAnsi="Calibri"/>
          <w:color w:val="333333"/>
          <w:sz w:val="20"/>
        </w:rPr>
        <w:t>Served as Lead Business Analyst for global investment banking engagements, mapping front-to-back lifecycles across deal capture, order routing, execution, CCP clearing, and settlement.</w:t>
      </w:r>
    </w:p>
    <w:p w14:paraId="599DFA70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Capital Markets Deal Structuring: </w:t>
      </w:r>
      <w:r>
        <w:rPr>
          <w:rFonts w:ascii="Calibri" w:hAnsi="Calibri"/>
          <w:color w:val="333333"/>
          <w:sz w:val="20"/>
        </w:rPr>
        <w:t>Documented functional requirements for institutional desks across Debt &amp; Equity Capital Markets (DCM/ECM), Fixed Income, FX Cash/Derivatives, and Money Markets.</w:t>
      </w:r>
    </w:p>
    <w:p w14:paraId="5F9EBD4D" w14:textId="7170B347" w:rsidR="00DD4D08" w:rsidRDefault="00DD4D08" w:rsidP="00DD4D08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Payments &amp; Compliance: </w:t>
      </w:r>
      <w:r>
        <w:rPr>
          <w:rFonts w:ascii="Calibri" w:hAnsi="Calibri"/>
          <w:color w:val="333333"/>
          <w:sz w:val="20"/>
        </w:rPr>
        <w:t>Cross-Border Payments, SWIFT ISO 20022 XML (pacs.008, pacs.009, camt.053, pain.001), Clearing &amp; Settlement, Nostro/Vostro Reconciliations, PCI DSS Compliance, Sanctions Screening.</w:t>
      </w:r>
    </w:p>
    <w:p w14:paraId="60B44364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Counterparty Credit Risk Analytics: </w:t>
      </w:r>
      <w:r>
        <w:rPr>
          <w:rFonts w:ascii="Calibri" w:hAnsi="Calibri"/>
          <w:color w:val="333333"/>
          <w:sz w:val="20"/>
        </w:rPr>
        <w:t>Collaborated with risk teams to specify pre-trade credit limit rules (MLC), margin call calculations, and Potential Future Exposure (PFE) metrics.</w:t>
      </w:r>
    </w:p>
    <w:p w14:paraId="7E8A509B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Murex FO Configuration Support: </w:t>
      </w:r>
      <w:r>
        <w:rPr>
          <w:rFonts w:ascii="Calibri" w:hAnsi="Calibri"/>
          <w:color w:val="333333"/>
          <w:sz w:val="20"/>
        </w:rPr>
        <w:t>Assisted institutional desks with Murex Front Office trade booking templates and basic pricing parameters for multi-asset transactions.</w:t>
      </w:r>
    </w:p>
    <w:p w14:paraId="1B433F20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Agile Delivery &amp; Governance: </w:t>
      </w:r>
      <w:r>
        <w:rPr>
          <w:rFonts w:ascii="Calibri" w:hAnsi="Calibri"/>
          <w:color w:val="333333"/>
          <w:sz w:val="20"/>
        </w:rPr>
        <w:t>Authored BRDs, FSDs, and user stories; managed Jira sprint boards, maintained system documentation in Confluence, and led UAT defect triage through to production sign-off.</w:t>
      </w:r>
    </w:p>
    <w:p w14:paraId="7DD968FE" w14:textId="77777777" w:rsidR="00942EBD" w:rsidRDefault="00000000">
      <w:pPr>
        <w:pStyle w:val="ListBullet"/>
      </w:pPr>
      <w:r>
        <w:rPr>
          <w:rFonts w:ascii="Calibri" w:hAnsi="Calibri"/>
          <w:b/>
          <w:color w:val="222222"/>
          <w:sz w:val="20"/>
        </w:rPr>
        <w:t xml:space="preserve">Presales &amp; Solution Consulting (RFP / RFI): </w:t>
      </w:r>
      <w:r>
        <w:rPr>
          <w:rFonts w:ascii="Calibri" w:hAnsi="Calibri"/>
          <w:color w:val="333333"/>
          <w:sz w:val="20"/>
        </w:rPr>
        <w:t>Spearheaded technical presales solutioning, bid responses, and architectural blueprints for global capital markets and payments RFPs/RFIs; formulated delivery estimates and Statements of Work (SOW) contributing to multi-million dollar banking accounts.</w:t>
      </w:r>
    </w:p>
    <w:p w14:paraId="189DC539" w14:textId="77777777" w:rsidR="00942EBD" w:rsidRDefault="00000000">
      <w:pPr>
        <w:pStyle w:val="ListBullet"/>
      </w:pPr>
      <w:r>
        <w:rPr>
          <w:rFonts w:ascii="Calibri" w:hAnsi="Calibri"/>
          <w:b/>
          <w:color w:val="222222"/>
          <w:sz w:val="20"/>
        </w:rPr>
        <w:t xml:space="preserve">Client Pitching &amp; PoC Demonstrations: </w:t>
      </w:r>
      <w:r>
        <w:rPr>
          <w:rFonts w:ascii="Calibri" w:hAnsi="Calibri"/>
          <w:color w:val="333333"/>
          <w:sz w:val="20"/>
        </w:rPr>
        <w:t>Delivered consultative product demos and custom Proof-of-Concepts (PoCs) to C-suite and institutional trading stakeholders, bridging complex business requirements with technical trade capture and ISO 20022 payment capabilities.</w:t>
      </w:r>
    </w:p>
    <w:p w14:paraId="77A3D360" w14:textId="77777777" w:rsidR="00175A76" w:rsidRDefault="00000000">
      <w:pPr>
        <w:keepNext/>
        <w:spacing w:before="120" w:after="40"/>
      </w:pPr>
      <w:r>
        <w:rPr>
          <w:rFonts w:ascii="Calibri" w:hAnsi="Calibri"/>
          <w:b/>
          <w:color w:val="1B365D"/>
          <w:sz w:val="21"/>
        </w:rPr>
        <w:t>Senior Test Automation Engineer (Trading Systems &amp; Integration)</w:t>
      </w:r>
      <w:r>
        <w:rPr>
          <w:rFonts w:ascii="Calibri" w:hAnsi="Calibri"/>
          <w:b/>
          <w:color w:val="1B365D"/>
          <w:sz w:val="21"/>
        </w:rPr>
        <w:br/>
      </w:r>
      <w:r>
        <w:rPr>
          <w:rFonts w:ascii="Calibri" w:hAnsi="Calibri"/>
          <w:b/>
          <w:color w:val="333333"/>
          <w:sz w:val="20"/>
        </w:rPr>
        <w:t xml:space="preserve">Cigniti Technologies Ltd. — Hyderabad, India  |  </w:t>
      </w:r>
      <w:r>
        <w:rPr>
          <w:rFonts w:ascii="Calibri" w:hAnsi="Calibri"/>
          <w:i/>
          <w:color w:val="555555"/>
          <w:sz w:val="19"/>
        </w:rPr>
        <w:t>Sep 2016 – Dec 2017</w:t>
      </w:r>
    </w:p>
    <w:p w14:paraId="62F10881" w14:textId="77777777" w:rsidR="00942EBD" w:rsidRDefault="00000000">
      <w:pPr>
        <w:pStyle w:val="ListBullet"/>
      </w:pPr>
      <w:r>
        <w:rPr>
          <w:rFonts w:ascii="Calibri" w:hAnsi="Calibri"/>
          <w:b/>
          <w:color w:val="222222"/>
          <w:sz w:val="20"/>
        </w:rPr>
        <w:t xml:space="preserve">Sales Engineering &amp; Pre-Sales Enablement: </w:t>
      </w:r>
      <w:r>
        <w:rPr>
          <w:rFonts w:ascii="Calibri" w:hAnsi="Calibri"/>
          <w:color w:val="333333"/>
          <w:sz w:val="20"/>
        </w:rPr>
        <w:t>Partnered with regional enterprise sales teams as a Solutions/Sales Engineer to qualify client opportunities, lead technical discovery sessions, author technical proposals, and deliver high-impact live PoCs demonstrating automated trading and API integration testing frameworks.</w:t>
      </w:r>
    </w:p>
    <w:p w14:paraId="53E015CD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sz w:val="20"/>
        </w:rPr>
        <w:t xml:space="preserve">Temenos T24 Manual Functional Testing: </w:t>
      </w:r>
      <w:r>
        <w:rPr>
          <w:rFonts w:ascii="Calibri" w:hAnsi="Calibri"/>
          <w:sz w:val="20"/>
        </w:rPr>
        <w:t>Formulated test scenarios and conducted manual functional, sanity, and exploratory testing across core Temenos T24 modules (CUSTOMER, ACCOUNT, FUNDS.TRANSFER, and TELLER); validated screen-level field rules, mandatory inputs, multi-currency constraints, and dual-authorization / override approval workflows.</w:t>
      </w:r>
    </w:p>
    <w:p w14:paraId="56B14A9D" w14:textId="77777777" w:rsidR="00175A76" w:rsidRDefault="00000000">
      <w:pPr>
        <w:pStyle w:val="ListBullet"/>
      </w:pPr>
      <w:r>
        <w:rPr>
          <w:rFonts w:ascii="Calibri" w:hAnsi="Calibri"/>
          <w:b/>
          <w:sz w:val="20"/>
        </w:rPr>
        <w:t xml:space="preserve">Test Automation &amp; Gateway Verification: </w:t>
      </w:r>
      <w:r>
        <w:rPr>
          <w:rFonts w:ascii="Calibri" w:hAnsi="Calibri"/>
          <w:sz w:val="20"/>
        </w:rPr>
        <w:t>Developed automated test suites validating electronic transaction states, distributed messaging middleware queues, API interfaces, and exchange connectivity gateways; tracked defect lifecycles and Requirement Traceability Matrices (RTM) in Jira and Confluence.</w:t>
      </w:r>
    </w:p>
    <w:p w14:paraId="6A884D83" w14:textId="77777777" w:rsidR="00175A76" w:rsidRDefault="00000000">
      <w:pPr>
        <w:pStyle w:val="ListBullet"/>
      </w:pPr>
      <w:r>
        <w:rPr>
          <w:rFonts w:ascii="Calibri" w:hAnsi="Calibri"/>
          <w:b/>
          <w:sz w:val="20"/>
        </w:rPr>
        <w:t xml:space="preserve">Robotic Process Automation (RPA) &amp; Workflow Automation: </w:t>
      </w:r>
      <w:r>
        <w:rPr>
          <w:rFonts w:ascii="Calibri" w:hAnsi="Calibri"/>
          <w:sz w:val="20"/>
        </w:rPr>
        <w:t>Designed, configured, and deployed RPA bots (UiPath) to automate repetitive banking transaction verifications, synthetic test data provisioning, and trade reconciliation workflows, eliminating manual execution bottlenecks and accelerating release cycles.</w:t>
      </w:r>
    </w:p>
    <w:p w14:paraId="0A128AB0" w14:textId="77777777" w:rsidR="00175A76" w:rsidRDefault="00000000">
      <w:pPr>
        <w:keepNext/>
        <w:spacing w:before="120" w:after="40"/>
      </w:pPr>
      <w:r>
        <w:rPr>
          <w:rFonts w:ascii="Calibri" w:hAnsi="Calibri"/>
          <w:b/>
          <w:color w:val="1B365D"/>
          <w:sz w:val="21"/>
        </w:rPr>
        <w:lastRenderedPageBreak/>
        <w:t>Automation Engineer</w:t>
      </w:r>
      <w:r>
        <w:rPr>
          <w:rFonts w:ascii="Calibri" w:hAnsi="Calibri"/>
          <w:b/>
          <w:color w:val="1B365D"/>
          <w:sz w:val="21"/>
        </w:rPr>
        <w:br/>
      </w:r>
      <w:r>
        <w:rPr>
          <w:rFonts w:ascii="Calibri" w:hAnsi="Calibri"/>
          <w:b/>
          <w:color w:val="333333"/>
          <w:sz w:val="20"/>
        </w:rPr>
        <w:t xml:space="preserve">Coforge Ltd. — Greater Noida, India  |  </w:t>
      </w:r>
      <w:r>
        <w:rPr>
          <w:rFonts w:ascii="Calibri" w:hAnsi="Calibri"/>
          <w:i/>
          <w:color w:val="555555"/>
          <w:sz w:val="19"/>
        </w:rPr>
        <w:t>Mar 2015 – Jul 2016</w:t>
      </w:r>
    </w:p>
    <w:p w14:paraId="045F2B3A" w14:textId="77777777" w:rsidR="00175A76" w:rsidRDefault="00000000">
      <w:pPr>
        <w:pStyle w:val="ListBullet"/>
        <w:spacing w:after="50"/>
      </w:pPr>
      <w:r>
        <w:rPr>
          <w:rFonts w:ascii="Calibri" w:hAnsi="Calibri"/>
          <w:color w:val="333333"/>
          <w:sz w:val="20"/>
        </w:rPr>
        <w:t>Built automated regression frameworks for backend interfaces, APIs, and web services, ensuring release stability across environments.</w:t>
      </w:r>
    </w:p>
    <w:p w14:paraId="520A06C4" w14:textId="77777777" w:rsidR="00175A76" w:rsidRDefault="00000000">
      <w:pPr>
        <w:keepNext/>
        <w:spacing w:before="120" w:after="40"/>
      </w:pPr>
      <w:r>
        <w:rPr>
          <w:rFonts w:ascii="Calibri" w:hAnsi="Calibri"/>
          <w:b/>
          <w:color w:val="1B365D"/>
          <w:sz w:val="21"/>
        </w:rPr>
        <w:t>Software Engineer</w:t>
      </w:r>
      <w:r>
        <w:rPr>
          <w:rFonts w:ascii="Calibri" w:hAnsi="Calibri"/>
          <w:b/>
          <w:color w:val="1B365D"/>
          <w:sz w:val="21"/>
        </w:rPr>
        <w:br/>
      </w:r>
      <w:r>
        <w:rPr>
          <w:rFonts w:ascii="Calibri" w:hAnsi="Calibri"/>
          <w:b/>
          <w:color w:val="333333"/>
          <w:sz w:val="20"/>
        </w:rPr>
        <w:t xml:space="preserve">Wipro Technologies — Bangalore, India  |  </w:t>
      </w:r>
      <w:r>
        <w:rPr>
          <w:rFonts w:ascii="Calibri" w:hAnsi="Calibri"/>
          <w:i/>
          <w:color w:val="555555"/>
          <w:sz w:val="19"/>
        </w:rPr>
        <w:t>May 2011 – May 2014</w:t>
      </w:r>
    </w:p>
    <w:p w14:paraId="65B27DF8" w14:textId="77777777" w:rsidR="00175A76" w:rsidRDefault="00000000">
      <w:pPr>
        <w:pStyle w:val="ListBullet"/>
        <w:spacing w:after="50"/>
      </w:pPr>
      <w:r>
        <w:rPr>
          <w:rFonts w:ascii="Calibri" w:hAnsi="Calibri"/>
          <w:color w:val="333333"/>
          <w:sz w:val="20"/>
        </w:rPr>
        <w:t>Developed enterprise web applications, executed SQL data validations, and supported system integration deployments.</w:t>
      </w:r>
    </w:p>
    <w:p w14:paraId="0B977B19" w14:textId="77777777" w:rsidR="00175A76" w:rsidRDefault="00000000">
      <w:pPr>
        <w:keepNext/>
        <w:pBdr>
          <w:bottom w:val="single" w:sz="8" w:space="2" w:color="1B365D"/>
        </w:pBdr>
        <w:spacing w:before="200" w:after="80"/>
      </w:pPr>
      <w:r>
        <w:rPr>
          <w:rFonts w:ascii="Calibri" w:hAnsi="Calibri"/>
          <w:b/>
          <w:color w:val="1B365D"/>
          <w:sz w:val="23"/>
        </w:rPr>
        <w:t>EDUCATION &amp; CERTIFICATIONS</w:t>
      </w:r>
    </w:p>
    <w:p w14:paraId="4D5A260E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Certified Business Analysis Professional (CBAP) </w:t>
      </w:r>
      <w:r>
        <w:rPr>
          <w:rFonts w:ascii="Calibri" w:hAnsi="Calibri"/>
          <w:color w:val="333333"/>
          <w:sz w:val="20"/>
        </w:rPr>
        <w:t>– IIBA</w:t>
      </w:r>
    </w:p>
    <w:p w14:paraId="1672B4DD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Master of Business Administration (MBA) – Fintech </w:t>
      </w:r>
      <w:r>
        <w:rPr>
          <w:rFonts w:ascii="Calibri" w:hAnsi="Calibri"/>
          <w:color w:val="333333"/>
          <w:sz w:val="20"/>
        </w:rPr>
        <w:t>| BITS Pilani (CGPA: 8.1 / 10)</w:t>
      </w:r>
    </w:p>
    <w:p w14:paraId="49914A97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B.Tech in Electronics and Communication Engineering </w:t>
      </w:r>
      <w:r>
        <w:rPr>
          <w:rFonts w:ascii="Calibri" w:hAnsi="Calibri"/>
          <w:color w:val="333333"/>
          <w:sz w:val="20"/>
        </w:rPr>
        <w:t>| IIET University</w:t>
      </w:r>
    </w:p>
    <w:sectPr w:rsidR="00175A76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A94B9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1721017">
    <w:abstractNumId w:val="8"/>
  </w:num>
  <w:num w:numId="2" w16cid:durableId="990871244">
    <w:abstractNumId w:val="6"/>
  </w:num>
  <w:num w:numId="3" w16cid:durableId="311910219">
    <w:abstractNumId w:val="5"/>
  </w:num>
  <w:num w:numId="4" w16cid:durableId="518157144">
    <w:abstractNumId w:val="4"/>
  </w:num>
  <w:num w:numId="5" w16cid:durableId="750544750">
    <w:abstractNumId w:val="7"/>
  </w:num>
  <w:num w:numId="6" w16cid:durableId="1669946240">
    <w:abstractNumId w:val="3"/>
  </w:num>
  <w:num w:numId="7" w16cid:durableId="63990249">
    <w:abstractNumId w:val="2"/>
  </w:num>
  <w:num w:numId="8" w16cid:durableId="1611739861">
    <w:abstractNumId w:val="1"/>
  </w:num>
  <w:num w:numId="9" w16cid:durableId="1633630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A76"/>
    <w:rsid w:val="001E5D24"/>
    <w:rsid w:val="0029639D"/>
    <w:rsid w:val="00326F90"/>
    <w:rsid w:val="005D395C"/>
    <w:rsid w:val="00872580"/>
    <w:rsid w:val="0090078B"/>
    <w:rsid w:val="00942EBD"/>
    <w:rsid w:val="00AA1D8D"/>
    <w:rsid w:val="00AA3B0F"/>
    <w:rsid w:val="00B47730"/>
    <w:rsid w:val="00BA4C6E"/>
    <w:rsid w:val="00C22121"/>
    <w:rsid w:val="00C715CC"/>
    <w:rsid w:val="00CB0664"/>
    <w:rsid w:val="00DD4D08"/>
    <w:rsid w:val="00FA0168"/>
    <w:rsid w:val="00FC693F"/>
    <w:rsid w:val="00FD0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143703"/>
  <w14:defaultImageDpi w14:val="300"/>
  <w15:docId w15:val="{CA119884-AC50-4A85-9640-6018B6BCC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0078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078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Neeraj-Mh" TargetMode="External"/><Relationship Id="rId3" Type="http://schemas.openxmlformats.org/officeDocument/2006/relationships/styles" Target="styles.xml"/><Relationship Id="rId7" Type="http://schemas.openxmlformats.org/officeDocument/2006/relationships/hyperlink" Target="https://neeraj-mh.github.io/Portfoli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neeraj-maheshwari-5aa76918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1334</Words>
  <Characters>7608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Neeraj Maheshwari</cp:lastModifiedBy>
  <cp:revision>10</cp:revision>
  <dcterms:created xsi:type="dcterms:W3CDTF">2013-12-23T23:15:00Z</dcterms:created>
  <dcterms:modified xsi:type="dcterms:W3CDTF">2026-10-17T17:01:00Z</dcterms:modified>
  <cp:category/>
</cp:coreProperties>
</file>