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20BCF" w14:textId="77777777" w:rsidR="00A01621" w:rsidRDefault="00000000">
      <w:pPr>
        <w:spacing w:after="20"/>
        <w:jc w:val="center"/>
      </w:pPr>
      <w:r>
        <w:rPr>
          <w:rFonts w:ascii="Arial" w:hAnsi="Arial"/>
          <w:b/>
          <w:color w:val="102C57"/>
          <w:sz w:val="32"/>
        </w:rPr>
        <w:t>NEERAJ MAHESHWARI</w:t>
      </w:r>
    </w:p>
    <w:p w14:paraId="328BEC6D" w14:textId="77777777" w:rsidR="00A01621" w:rsidRDefault="00000000">
      <w:pPr>
        <w:spacing w:after="40"/>
        <w:jc w:val="center"/>
      </w:pPr>
      <w:r>
        <w:rPr>
          <w:rFonts w:ascii="Arial" w:hAnsi="Arial"/>
          <w:b/>
          <w:color w:val="1E56A0"/>
          <w:sz w:val="20"/>
        </w:rPr>
        <w:t>AI Product Manager | Technical Business Analyst | Investment Banking, Mortgages &amp; Capital Markets (Murex)</w:t>
      </w:r>
    </w:p>
    <w:p w14:paraId="3CF9DE79" w14:textId="1EDF4854" w:rsidR="00A01621" w:rsidRDefault="00000000">
      <w:pPr>
        <w:spacing w:after="120"/>
        <w:jc w:val="center"/>
      </w:pPr>
      <w:proofErr w:type="gramStart"/>
      <w:r>
        <w:rPr>
          <w:rFonts w:ascii="Arial" w:hAnsi="Arial"/>
          <w:color w:val="646E78"/>
          <w:sz w:val="18"/>
        </w:rPr>
        <w:t>neeraj.mh99@gmail.com  |</w:t>
      </w:r>
      <w:proofErr w:type="gramEnd"/>
      <w:r>
        <w:rPr>
          <w:rFonts w:ascii="Arial" w:hAnsi="Arial"/>
          <w:color w:val="646E78"/>
          <w:sz w:val="18"/>
        </w:rPr>
        <w:t xml:space="preserve">  +91-</w:t>
      </w:r>
      <w:proofErr w:type="gramStart"/>
      <w:r>
        <w:rPr>
          <w:rFonts w:ascii="Arial" w:hAnsi="Arial"/>
          <w:color w:val="646E78"/>
          <w:sz w:val="18"/>
        </w:rPr>
        <w:t>9897610958  |</w:t>
      </w:r>
      <w:proofErr w:type="gramEnd"/>
      <w:r>
        <w:rPr>
          <w:rFonts w:ascii="Arial" w:hAnsi="Arial"/>
          <w:color w:val="646E78"/>
          <w:sz w:val="18"/>
        </w:rPr>
        <w:t xml:space="preserve">  Bangalore, India</w:t>
      </w:r>
      <w:r>
        <w:rPr>
          <w:rFonts w:ascii="Arial" w:hAnsi="Arial"/>
          <w:color w:val="646E78"/>
          <w:sz w:val="18"/>
        </w:rPr>
        <w:br/>
        <w:t>LinkedIn: linkedin.com/in/neeraj-maheshwari-5aa</w:t>
      </w:r>
      <w:proofErr w:type="gramStart"/>
      <w:r>
        <w:rPr>
          <w:rFonts w:ascii="Arial" w:hAnsi="Arial"/>
          <w:color w:val="646E78"/>
          <w:sz w:val="18"/>
        </w:rPr>
        <w:t>76918  |</w:t>
      </w:r>
      <w:proofErr w:type="gramEnd"/>
      <w:r>
        <w:rPr>
          <w:rFonts w:ascii="Arial" w:hAnsi="Arial"/>
          <w:color w:val="646E78"/>
          <w:sz w:val="18"/>
        </w:rPr>
        <w:t xml:space="preserve"> Portfolio: neeraj-mh.github.io/Portfolio</w:t>
      </w:r>
      <w:r w:rsidR="007D4EE2">
        <w:rPr>
          <w:rFonts w:ascii="Arial" w:hAnsi="Arial"/>
          <w:color w:val="646E78"/>
          <w:sz w:val="18"/>
        </w:rPr>
        <w:t xml:space="preserve"> | </w:t>
      </w:r>
      <w:proofErr w:type="spellStart"/>
      <w:r w:rsidR="007D4EE2">
        <w:rPr>
          <w:rFonts w:ascii="Arial" w:hAnsi="Arial"/>
          <w:color w:val="646E78"/>
          <w:sz w:val="18"/>
        </w:rPr>
        <w:t>Github</w:t>
      </w:r>
      <w:proofErr w:type="spellEnd"/>
      <w:r w:rsidR="007D4EE2">
        <w:rPr>
          <w:rFonts w:ascii="Arial" w:hAnsi="Arial"/>
          <w:color w:val="646E78"/>
          <w:sz w:val="18"/>
        </w:rPr>
        <w:t xml:space="preserve"> -</w:t>
      </w:r>
      <w:r w:rsidR="007D4EE2" w:rsidRPr="007D4EE2">
        <w:rPr>
          <w:rFonts w:ascii="Arial" w:hAnsi="Arial"/>
          <w:color w:val="646E78"/>
          <w:sz w:val="18"/>
        </w:rPr>
        <w:t>https://github.com/Neeraj-</w:t>
      </w:r>
      <w:proofErr w:type="spellStart"/>
      <w:r w:rsidR="007D4EE2" w:rsidRPr="007D4EE2">
        <w:rPr>
          <w:rFonts w:ascii="Arial" w:hAnsi="Arial"/>
          <w:color w:val="646E78"/>
          <w:sz w:val="18"/>
        </w:rPr>
        <w:t>Mh</w:t>
      </w:r>
      <w:proofErr w:type="spellEnd"/>
    </w:p>
    <w:p w14:paraId="58D8AFBB" w14:textId="77777777" w:rsidR="00A01621" w:rsidRDefault="00000000">
      <w:pPr>
        <w:keepNext/>
        <w:pBdr>
          <w:bottom w:val="single" w:sz="8" w:space="2" w:color="102C57"/>
        </w:pBdr>
        <w:spacing w:before="160" w:after="60"/>
      </w:pPr>
      <w:r>
        <w:rPr>
          <w:rFonts w:ascii="Arial" w:hAnsi="Arial"/>
          <w:b/>
          <w:color w:val="102C57"/>
          <w:sz w:val="21"/>
        </w:rPr>
        <w:t>PROFESSIONAL SUMMARY</w:t>
      </w:r>
    </w:p>
    <w:p w14:paraId="0BDA88BB" w14:textId="77777777" w:rsidR="00A01621" w:rsidRDefault="00000000">
      <w:pPr>
        <w:spacing w:before="40" w:after="80" w:line="264" w:lineRule="auto"/>
      </w:pPr>
      <w:r>
        <w:rPr>
          <w:rFonts w:ascii="Arial" w:hAnsi="Arial"/>
          <w:color w:val="212529"/>
          <w:sz w:val="19"/>
        </w:rPr>
        <w:t>AI Product Manager and Techno-Functional Leader with 14+ years of experience spearheading product discovery, Generative AI, Agentic AI, algorithmic trading architectures, and capital markets platform modernizations. Proven track record of designing autonomous Agentic AI workflows at CBA—including multi-modal construction loan invoice verification and progressive drawdown automation—while driving Front Office Murex and Investment Banking initiatives covering Debt &amp; Equity Capital Markets (DCM/ECM), syndicated loans, FX, IRS, Fixed Income, Counterparty Credit Risk (CCR), and XVA/CVA analytics. Extensive experience in quantitative logic specification, backtesting, and algorithmic execution strategies (TWAP, VWAP, POV, Pairs Trading) coupled with low-latency OMS/EMS integration and automated execution workflows across HCL Technologies and Cigniti. Adept at bridging business vision and deep technical execution—defining agent architectures, deterministic fallback controls, model evaluation metrics, enterprise risk governance, BRDs/FSDs, pricing/valuation models, and cross-functional Agile delivery.</w:t>
      </w:r>
    </w:p>
    <w:p w14:paraId="59BC21B5" w14:textId="77777777" w:rsidR="00A01621" w:rsidRDefault="00000000">
      <w:pPr>
        <w:keepNext/>
        <w:pBdr>
          <w:bottom w:val="single" w:sz="8" w:space="2" w:color="102C57"/>
        </w:pBdr>
        <w:spacing w:before="160" w:after="60"/>
      </w:pPr>
      <w:r>
        <w:rPr>
          <w:rFonts w:ascii="Arial" w:hAnsi="Arial"/>
          <w:b/>
          <w:color w:val="102C57"/>
          <w:sz w:val="21"/>
        </w:rPr>
        <w:t>CORE COMPETENCIES &amp; TECHNICAL SKILLS</w:t>
      </w:r>
    </w:p>
    <w:tbl>
      <w:tblPr>
        <w:tblW w:w="0" w:type="auto"/>
        <w:jc w:val="center"/>
        <w:tblLayout w:type="fixed"/>
        <w:tblLook w:val="04A0" w:firstRow="1" w:lastRow="0" w:firstColumn="1" w:lastColumn="0" w:noHBand="0" w:noVBand="1"/>
      </w:tblPr>
      <w:tblGrid>
        <w:gridCol w:w="3168"/>
        <w:gridCol w:w="7632"/>
      </w:tblGrid>
      <w:tr w:rsidR="00A01621" w14:paraId="13B02B77" w14:textId="77777777">
        <w:trPr>
          <w:jc w:val="center"/>
        </w:trPr>
        <w:tc>
          <w:tcPr>
            <w:tcW w:w="3168" w:type="dxa"/>
            <w:tcMar>
              <w:top w:w="20" w:type="dxa"/>
              <w:left w:w="40" w:type="dxa"/>
              <w:bottom w:w="20" w:type="dxa"/>
              <w:right w:w="40" w:type="dxa"/>
            </w:tcMar>
          </w:tcPr>
          <w:p w14:paraId="21660A4D" w14:textId="77777777" w:rsidR="00A01621" w:rsidRDefault="00000000">
            <w:pPr>
              <w:spacing w:before="20" w:after="20"/>
            </w:pPr>
            <w:r>
              <w:rPr>
                <w:rFonts w:ascii="Arial" w:hAnsi="Arial"/>
                <w:b/>
                <w:color w:val="102C57"/>
                <w:sz w:val="18"/>
              </w:rPr>
              <w:t>AI &amp; Agentic Systems</w:t>
            </w:r>
          </w:p>
        </w:tc>
        <w:tc>
          <w:tcPr>
            <w:tcW w:w="7632" w:type="dxa"/>
            <w:tcMar>
              <w:top w:w="20" w:type="dxa"/>
              <w:left w:w="40" w:type="dxa"/>
              <w:bottom w:w="20" w:type="dxa"/>
              <w:right w:w="40" w:type="dxa"/>
            </w:tcMar>
          </w:tcPr>
          <w:p w14:paraId="62A5F4E0" w14:textId="77777777" w:rsidR="00A01621" w:rsidRDefault="00000000">
            <w:pPr>
              <w:spacing w:before="20" w:after="20"/>
            </w:pPr>
            <w:r>
              <w:rPr>
                <w:rFonts w:ascii="Arial" w:hAnsi="Arial"/>
                <w:color w:val="212529"/>
                <w:sz w:val="18"/>
              </w:rPr>
              <w:t>Agentic AI Workflows, Autonomous AI Agents, Multi-Modal Invoice Verification, Tool Calling / API Schemas, Generative AI, LLM Orchestration, Prompt Engineering, Roo/Cline, Guardrails &amp; Evaluation Metrics</w:t>
            </w:r>
          </w:p>
        </w:tc>
      </w:tr>
      <w:tr w:rsidR="00A01621" w14:paraId="3E379C1E" w14:textId="77777777">
        <w:trPr>
          <w:jc w:val="center"/>
        </w:trPr>
        <w:tc>
          <w:tcPr>
            <w:tcW w:w="3168" w:type="dxa"/>
            <w:tcMar>
              <w:top w:w="20" w:type="dxa"/>
              <w:left w:w="40" w:type="dxa"/>
              <w:bottom w:w="20" w:type="dxa"/>
              <w:right w:w="40" w:type="dxa"/>
            </w:tcMar>
          </w:tcPr>
          <w:p w14:paraId="688031E5" w14:textId="77777777" w:rsidR="00A01621" w:rsidRDefault="00000000">
            <w:pPr>
              <w:spacing w:before="20" w:after="20"/>
            </w:pPr>
            <w:r>
              <w:rPr>
                <w:rFonts w:ascii="Arial" w:hAnsi="Arial"/>
                <w:b/>
                <w:color w:val="102C57"/>
                <w:sz w:val="18"/>
              </w:rPr>
              <w:t>Investment Banking &amp; Capital Markets</w:t>
            </w:r>
          </w:p>
        </w:tc>
        <w:tc>
          <w:tcPr>
            <w:tcW w:w="7632" w:type="dxa"/>
            <w:tcMar>
              <w:top w:w="20" w:type="dxa"/>
              <w:left w:w="40" w:type="dxa"/>
              <w:bottom w:w="20" w:type="dxa"/>
              <w:right w:w="40" w:type="dxa"/>
            </w:tcMar>
          </w:tcPr>
          <w:p w14:paraId="19070AD7" w14:textId="77777777" w:rsidR="00A01621" w:rsidRDefault="00000000">
            <w:pPr>
              <w:spacing w:before="20" w:after="20"/>
            </w:pPr>
            <w:r>
              <w:rPr>
                <w:rFonts w:ascii="Arial" w:hAnsi="Arial"/>
                <w:color w:val="212529"/>
                <w:sz w:val="18"/>
              </w:rPr>
              <w:t>Debt &amp; Equity Capital Markets (DCM/ECM), Syndicated Loans, Structured Derivatives, Trade Life Cycle, Front-to-Back STP, Clearinghouses (CCP), Collateral &amp; Margin Management, Settlement &amp; SWIFT</w:t>
            </w:r>
          </w:p>
        </w:tc>
      </w:tr>
      <w:tr w:rsidR="00A01621" w14:paraId="21832EED" w14:textId="77777777">
        <w:trPr>
          <w:jc w:val="center"/>
        </w:trPr>
        <w:tc>
          <w:tcPr>
            <w:tcW w:w="3168" w:type="dxa"/>
            <w:tcMar>
              <w:top w:w="20" w:type="dxa"/>
              <w:left w:w="40" w:type="dxa"/>
              <w:bottom w:w="20" w:type="dxa"/>
              <w:right w:w="40" w:type="dxa"/>
            </w:tcMar>
          </w:tcPr>
          <w:p w14:paraId="766D05B5" w14:textId="77777777" w:rsidR="00A01621" w:rsidRDefault="00000000">
            <w:pPr>
              <w:spacing w:before="20" w:after="20"/>
            </w:pPr>
            <w:r>
              <w:rPr>
                <w:rFonts w:ascii="Arial" w:hAnsi="Arial"/>
                <w:b/>
                <w:color w:val="102C57"/>
                <w:sz w:val="18"/>
              </w:rPr>
              <w:t>Algo Trading &amp; Quantitative Analysis</w:t>
            </w:r>
          </w:p>
        </w:tc>
        <w:tc>
          <w:tcPr>
            <w:tcW w:w="7632" w:type="dxa"/>
            <w:tcMar>
              <w:top w:w="20" w:type="dxa"/>
              <w:left w:w="40" w:type="dxa"/>
              <w:bottom w:w="20" w:type="dxa"/>
              <w:right w:w="40" w:type="dxa"/>
            </w:tcMar>
          </w:tcPr>
          <w:p w14:paraId="4F80F6A6" w14:textId="77777777" w:rsidR="00A01621" w:rsidRDefault="00000000">
            <w:pPr>
              <w:spacing w:before="20" w:after="20"/>
            </w:pPr>
            <w:r>
              <w:rPr>
                <w:rFonts w:ascii="Arial" w:hAnsi="Arial"/>
                <w:color w:val="212529"/>
                <w:sz w:val="18"/>
              </w:rPr>
              <w:t>Algorithmic Strategy Specification (TWAP, VWAP, POV, Implementation Shortfall), Backtesting, Smart Order Routing (SOR), Low-Latency OMS/EMS, Execution Routing, Pre-Trade Risk Controls</w:t>
            </w:r>
          </w:p>
        </w:tc>
      </w:tr>
      <w:tr w:rsidR="00A01621" w14:paraId="75B7D9F6" w14:textId="77777777">
        <w:trPr>
          <w:jc w:val="center"/>
        </w:trPr>
        <w:tc>
          <w:tcPr>
            <w:tcW w:w="3168" w:type="dxa"/>
            <w:tcMar>
              <w:top w:w="20" w:type="dxa"/>
              <w:left w:w="40" w:type="dxa"/>
              <w:bottom w:w="20" w:type="dxa"/>
              <w:right w:w="40" w:type="dxa"/>
            </w:tcMar>
          </w:tcPr>
          <w:p w14:paraId="40ABEDCC" w14:textId="77777777" w:rsidR="00A01621" w:rsidRDefault="00000000">
            <w:pPr>
              <w:spacing w:before="20" w:after="20"/>
            </w:pPr>
            <w:r>
              <w:rPr>
                <w:rFonts w:ascii="Arial" w:hAnsi="Arial"/>
                <w:b/>
                <w:color w:val="102C57"/>
                <w:sz w:val="18"/>
              </w:rPr>
              <w:t>Murex Front Office &amp; Risk</w:t>
            </w:r>
          </w:p>
        </w:tc>
        <w:tc>
          <w:tcPr>
            <w:tcW w:w="7632" w:type="dxa"/>
            <w:tcMar>
              <w:top w:w="20" w:type="dxa"/>
              <w:left w:w="40" w:type="dxa"/>
              <w:bottom w:w="20" w:type="dxa"/>
              <w:right w:w="40" w:type="dxa"/>
            </w:tcMar>
          </w:tcPr>
          <w:p w14:paraId="1ECE91B0" w14:textId="77777777" w:rsidR="00A01621" w:rsidRDefault="00000000">
            <w:pPr>
              <w:spacing w:before="20" w:after="20"/>
            </w:pPr>
            <w:r>
              <w:rPr>
                <w:rFonts w:ascii="Arial" w:hAnsi="Arial"/>
                <w:color w:val="212529"/>
                <w:sz w:val="18"/>
              </w:rPr>
              <w:t>Murex FO (Deal Capture, E-trade pad, Static Data, MLC, GOM), FX Cash/Derivatives, IRS, Fixed Income, Money Markets, Cash Equities, CCR, XVA/CVA, Market Risk Management (MRM)</w:t>
            </w:r>
          </w:p>
        </w:tc>
      </w:tr>
      <w:tr w:rsidR="00A01621" w14:paraId="251E82B0" w14:textId="77777777">
        <w:trPr>
          <w:jc w:val="center"/>
        </w:trPr>
        <w:tc>
          <w:tcPr>
            <w:tcW w:w="3168" w:type="dxa"/>
            <w:tcMar>
              <w:top w:w="20" w:type="dxa"/>
              <w:left w:w="40" w:type="dxa"/>
              <w:bottom w:w="20" w:type="dxa"/>
              <w:right w:w="40" w:type="dxa"/>
            </w:tcMar>
          </w:tcPr>
          <w:p w14:paraId="2931A815" w14:textId="77777777" w:rsidR="00A01621" w:rsidRDefault="00000000">
            <w:pPr>
              <w:spacing w:before="20" w:after="20"/>
            </w:pPr>
            <w:r>
              <w:rPr>
                <w:rFonts w:ascii="Arial" w:hAnsi="Arial"/>
                <w:b/>
                <w:color w:val="102C57"/>
                <w:sz w:val="18"/>
              </w:rPr>
              <w:t>Mortgage &amp; Home Buying</w:t>
            </w:r>
          </w:p>
        </w:tc>
        <w:tc>
          <w:tcPr>
            <w:tcW w:w="7632" w:type="dxa"/>
            <w:tcMar>
              <w:top w:w="20" w:type="dxa"/>
              <w:left w:w="40" w:type="dxa"/>
              <w:bottom w:w="20" w:type="dxa"/>
              <w:right w:w="40" w:type="dxa"/>
            </w:tcMar>
          </w:tcPr>
          <w:p w14:paraId="7109EEE4" w14:textId="77777777" w:rsidR="00A01621" w:rsidRDefault="00000000">
            <w:pPr>
              <w:spacing w:before="20" w:after="20"/>
            </w:pPr>
            <w:r>
              <w:rPr>
                <w:rFonts w:ascii="Arial" w:hAnsi="Arial"/>
                <w:color w:val="212529"/>
                <w:sz w:val="18"/>
              </w:rPr>
              <w:t>Australian Mortgage Origination, Construction Loans &amp; Progress Drawdowns, Home Buying Journey, Australian Government Home Guarantee Schemes (HGS/FHBG), Serviceability &amp; Credit Assessment</w:t>
            </w:r>
          </w:p>
        </w:tc>
      </w:tr>
      <w:tr w:rsidR="00A01621" w14:paraId="3BFE926B" w14:textId="77777777">
        <w:trPr>
          <w:jc w:val="center"/>
        </w:trPr>
        <w:tc>
          <w:tcPr>
            <w:tcW w:w="3168" w:type="dxa"/>
            <w:tcMar>
              <w:top w:w="20" w:type="dxa"/>
              <w:left w:w="40" w:type="dxa"/>
              <w:bottom w:w="20" w:type="dxa"/>
              <w:right w:w="40" w:type="dxa"/>
            </w:tcMar>
          </w:tcPr>
          <w:p w14:paraId="1E88561B" w14:textId="77777777" w:rsidR="00A01621" w:rsidRDefault="00000000">
            <w:pPr>
              <w:spacing w:before="20" w:after="20"/>
            </w:pPr>
            <w:r>
              <w:rPr>
                <w:rFonts w:ascii="Arial" w:hAnsi="Arial"/>
                <w:b/>
                <w:color w:val="102C57"/>
                <w:sz w:val="18"/>
              </w:rPr>
              <w:t>Product, Governance &amp; Delivery</w:t>
            </w:r>
          </w:p>
        </w:tc>
        <w:tc>
          <w:tcPr>
            <w:tcW w:w="7632" w:type="dxa"/>
            <w:tcMar>
              <w:top w:w="20" w:type="dxa"/>
              <w:left w:w="40" w:type="dxa"/>
              <w:bottom w:w="20" w:type="dxa"/>
              <w:right w:w="40" w:type="dxa"/>
            </w:tcMar>
          </w:tcPr>
          <w:p w14:paraId="6F5C1E2D" w14:textId="77777777" w:rsidR="00A01621" w:rsidRDefault="00000000">
            <w:pPr>
              <w:spacing w:before="20" w:after="20"/>
            </w:pPr>
            <w:r>
              <w:rPr>
                <w:rFonts w:ascii="Arial" w:hAnsi="Arial"/>
                <w:color w:val="212529"/>
                <w:sz w:val="18"/>
              </w:rPr>
              <w:t>Product Discovery, Strategic Roadmapping, Backlog Management, User Stories &amp; Epics, Acceptance Criteria, BRDs/FSDs, RTM, Sprint Planning, Agile/Scrum, Stakeholder Governance</w:t>
            </w:r>
          </w:p>
        </w:tc>
      </w:tr>
      <w:tr w:rsidR="00A01621" w14:paraId="7F0E332C" w14:textId="77777777">
        <w:trPr>
          <w:jc w:val="center"/>
        </w:trPr>
        <w:tc>
          <w:tcPr>
            <w:tcW w:w="3168" w:type="dxa"/>
            <w:tcMar>
              <w:top w:w="20" w:type="dxa"/>
              <w:left w:w="40" w:type="dxa"/>
              <w:bottom w:w="20" w:type="dxa"/>
              <w:right w:w="40" w:type="dxa"/>
            </w:tcMar>
          </w:tcPr>
          <w:p w14:paraId="3043E644" w14:textId="77777777" w:rsidR="00A01621" w:rsidRDefault="00000000">
            <w:pPr>
              <w:spacing w:before="20" w:after="20"/>
            </w:pPr>
            <w:r>
              <w:rPr>
                <w:rFonts w:ascii="Arial" w:hAnsi="Arial"/>
                <w:b/>
                <w:color w:val="102C57"/>
                <w:sz w:val="18"/>
              </w:rPr>
              <w:t>Tools &amp; Platforms</w:t>
            </w:r>
          </w:p>
        </w:tc>
        <w:tc>
          <w:tcPr>
            <w:tcW w:w="7632" w:type="dxa"/>
            <w:tcMar>
              <w:top w:w="20" w:type="dxa"/>
              <w:left w:w="40" w:type="dxa"/>
              <w:bottom w:w="20" w:type="dxa"/>
              <w:right w:w="40" w:type="dxa"/>
            </w:tcMar>
          </w:tcPr>
          <w:p w14:paraId="37E59EE9" w14:textId="77777777" w:rsidR="00A01621" w:rsidRDefault="00000000">
            <w:pPr>
              <w:spacing w:before="20" w:after="20"/>
            </w:pPr>
            <w:r>
              <w:rPr>
                <w:rFonts w:ascii="Arial" w:hAnsi="Arial"/>
                <w:color w:val="212529"/>
                <w:sz w:val="18"/>
              </w:rPr>
              <w:t>Core Banking Systems, IBM Mainframe, Python, SQL, MS SQL Server, MySQL, Postman, Jira, Confluence, SharePoint, Power BI</w:t>
            </w:r>
          </w:p>
        </w:tc>
      </w:tr>
    </w:tbl>
    <w:p w14:paraId="5ECE19B7" w14:textId="77777777" w:rsidR="00A01621" w:rsidRDefault="00000000">
      <w:pPr>
        <w:keepNext/>
        <w:pBdr>
          <w:bottom w:val="single" w:sz="8" w:space="2" w:color="102C57"/>
        </w:pBdr>
        <w:spacing w:before="160" w:after="60"/>
      </w:pPr>
      <w:r>
        <w:rPr>
          <w:rFonts w:ascii="Arial" w:hAnsi="Arial"/>
          <w:b/>
          <w:color w:val="102C57"/>
          <w:sz w:val="21"/>
        </w:rPr>
        <w:t>PROFESSIONAL EXPERIENCE</w:t>
      </w:r>
    </w:p>
    <w:p w14:paraId="23BD6FB4" w14:textId="77777777" w:rsidR="00A01621" w:rsidRDefault="00000000">
      <w:pPr>
        <w:keepNext/>
        <w:spacing w:before="100" w:after="20"/>
      </w:pPr>
      <w:r>
        <w:rPr>
          <w:rFonts w:ascii="Arial" w:hAnsi="Arial"/>
          <w:b/>
          <w:color w:val="102C57"/>
          <w:sz w:val="20"/>
        </w:rPr>
        <w:t>Product Manager (Agentic AI, Australian Mortgages &amp; Capital Markets / Murex)</w:t>
      </w:r>
    </w:p>
    <w:p w14:paraId="35730749" w14:textId="77777777" w:rsidR="00A01621" w:rsidRDefault="00000000">
      <w:pPr>
        <w:keepNext/>
        <w:spacing w:after="60"/>
      </w:pPr>
      <w:r>
        <w:rPr>
          <w:rFonts w:ascii="Arial" w:hAnsi="Arial"/>
          <w:b/>
          <w:i/>
          <w:color w:val="646E78"/>
          <w:sz w:val="18"/>
        </w:rPr>
        <w:t>Commonwealth Bank of Australia — Bangalore, India  |  Mar 2023 – Present</w:t>
      </w:r>
    </w:p>
    <w:p w14:paraId="18EB4C85" w14:textId="77777777" w:rsidR="00A01621" w:rsidRDefault="00000000">
      <w:pPr>
        <w:pStyle w:val="ListBullet"/>
        <w:spacing w:before="30" w:after="30" w:line="252" w:lineRule="auto"/>
      </w:pPr>
      <w:r>
        <w:rPr>
          <w:rFonts w:ascii="Arial" w:hAnsi="Arial"/>
          <w:b/>
          <w:color w:val="212529"/>
          <w:sz w:val="19"/>
        </w:rPr>
        <w:t xml:space="preserve">Product Vision &amp; AI Strategy: </w:t>
      </w:r>
      <w:r>
        <w:rPr>
          <w:rFonts w:ascii="Arial" w:hAnsi="Arial"/>
          <w:color w:val="212529"/>
          <w:sz w:val="19"/>
        </w:rPr>
        <w:t>Own end-to-end product strategy, discovery, and execution across Agentic AI workflows, Australian mortgage origination, construction lending, and Murex Front Office capital markets initiatives.</w:t>
      </w:r>
    </w:p>
    <w:p w14:paraId="15E34B5B" w14:textId="77777777" w:rsidR="00A01621" w:rsidRDefault="00000000">
      <w:pPr>
        <w:pStyle w:val="ListBullet"/>
        <w:spacing w:before="30" w:after="30" w:line="252" w:lineRule="auto"/>
      </w:pPr>
      <w:r>
        <w:rPr>
          <w:rFonts w:ascii="Arial" w:hAnsi="Arial"/>
          <w:b/>
          <w:color w:val="212529"/>
          <w:sz w:val="19"/>
        </w:rPr>
        <w:t xml:space="preserve">Agentic AI Construction Loan Invoice Verification: </w:t>
      </w:r>
      <w:r>
        <w:rPr>
          <w:rFonts w:ascii="Arial" w:hAnsi="Arial"/>
          <w:color w:val="212529"/>
          <w:sz w:val="19"/>
        </w:rPr>
        <w:t>Spearheaded product discovery and delivery for an Agentic AI Construction Loan Invoice Verification initiative, deploying autonomous multi-modal agents to parse, extract, and reconcile complex builder invoices, stage completion claims, and cost breakdown sheets against approved building contracts.</w:t>
      </w:r>
    </w:p>
    <w:p w14:paraId="4BCEAF02" w14:textId="77777777" w:rsidR="00A01621" w:rsidRDefault="00000000">
      <w:pPr>
        <w:pStyle w:val="ListBullet"/>
        <w:spacing w:before="30" w:after="30" w:line="252" w:lineRule="auto"/>
      </w:pPr>
      <w:r>
        <w:rPr>
          <w:rFonts w:ascii="Arial" w:hAnsi="Arial"/>
          <w:b/>
          <w:color w:val="212529"/>
          <w:sz w:val="19"/>
        </w:rPr>
        <w:t xml:space="preserve">Multi-Agent Workflow &amp; Progressive Drawdown Validation: </w:t>
      </w:r>
      <w:r>
        <w:rPr>
          <w:rFonts w:ascii="Arial" w:hAnsi="Arial"/>
          <w:color w:val="212529"/>
          <w:sz w:val="19"/>
        </w:rPr>
        <w:t>Designed autonomous multi-agent validation workflows for progressive construction drawdowns, orchestrating tool calling across core loan systems, quantity surveyor (QS) reports, builder licenses, and property title records to detect billing discrepancies, duplicate claims, and cost overruns before funds disbursement.</w:t>
      </w:r>
    </w:p>
    <w:p w14:paraId="531CCE78" w14:textId="77777777" w:rsidR="00A01621" w:rsidRDefault="00000000">
      <w:pPr>
        <w:pStyle w:val="ListBullet"/>
        <w:spacing w:before="30" w:after="30" w:line="252" w:lineRule="auto"/>
      </w:pPr>
      <w:r>
        <w:rPr>
          <w:rFonts w:ascii="Arial" w:hAnsi="Arial"/>
          <w:b/>
          <w:color w:val="212529"/>
          <w:sz w:val="19"/>
        </w:rPr>
        <w:t xml:space="preserve">Autonomous Agent Workflows &amp; Tool Calling: </w:t>
      </w:r>
      <w:r>
        <w:rPr>
          <w:rFonts w:ascii="Arial" w:hAnsi="Arial"/>
          <w:color w:val="212529"/>
          <w:sz w:val="19"/>
        </w:rPr>
        <w:t>Lead discovery and delivery of task-oriented AI agents capable of multi-step reasoning, dynamic tool selection, and automated execution across enterprise databases, internal APIs, and loan origination engines.</w:t>
      </w:r>
    </w:p>
    <w:p w14:paraId="1329BD45" w14:textId="77777777" w:rsidR="00A01621" w:rsidRDefault="00000000">
      <w:pPr>
        <w:pStyle w:val="ListBullet"/>
        <w:spacing w:before="30" w:after="30" w:line="252" w:lineRule="auto"/>
      </w:pPr>
      <w:r>
        <w:rPr>
          <w:rFonts w:ascii="Arial" w:hAnsi="Arial"/>
          <w:b/>
          <w:color w:val="212529"/>
          <w:sz w:val="19"/>
        </w:rPr>
        <w:lastRenderedPageBreak/>
        <w:t xml:space="preserve">Agent Architecture, Guardrails &amp; Governance: </w:t>
      </w:r>
      <w:r>
        <w:rPr>
          <w:rFonts w:ascii="Arial" w:hAnsi="Arial"/>
          <w:color w:val="212529"/>
          <w:sz w:val="19"/>
        </w:rPr>
        <w:t>Define requirements for agent autonomy, memory orchestration, prompt engineering, human-in-the-loop (HITL) checkpoints, and deterministic fallback mechanisms ensuring compliance with credit risk policies and responsible lending standards.</w:t>
      </w:r>
    </w:p>
    <w:p w14:paraId="434EB437" w14:textId="77777777" w:rsidR="00A01621" w:rsidRDefault="00000000">
      <w:pPr>
        <w:pStyle w:val="ListBullet"/>
        <w:spacing w:before="30" w:after="30" w:line="252" w:lineRule="auto"/>
      </w:pPr>
      <w:r>
        <w:rPr>
          <w:rFonts w:ascii="Arial" w:hAnsi="Arial"/>
          <w:b/>
          <w:color w:val="212529"/>
          <w:sz w:val="19"/>
        </w:rPr>
        <w:t xml:space="preserve">Australian Home Buying &amp; Government Schemes (HGS): </w:t>
      </w:r>
      <w:r>
        <w:rPr>
          <w:rFonts w:ascii="Arial" w:hAnsi="Arial"/>
          <w:color w:val="212529"/>
          <w:sz w:val="19"/>
        </w:rPr>
        <w:t>Drive product discovery and delivery for the Australian home buying journey, including digital loan origination, borrowing power assessment, automated valuation triggers, and integration with Australian Government Home Guarantee Schemes (HGS/FHBG).</w:t>
      </w:r>
    </w:p>
    <w:p w14:paraId="3D648C01" w14:textId="77777777" w:rsidR="00A01621" w:rsidRDefault="00000000">
      <w:pPr>
        <w:pStyle w:val="ListBullet"/>
        <w:spacing w:before="30" w:after="30" w:line="252" w:lineRule="auto"/>
      </w:pPr>
      <w:r>
        <w:rPr>
          <w:rFonts w:ascii="Arial" w:hAnsi="Arial"/>
          <w:b/>
          <w:color w:val="212529"/>
          <w:sz w:val="19"/>
        </w:rPr>
        <w:t xml:space="preserve">Investment Banking &amp; Deal Structuring: </w:t>
      </w:r>
      <w:r>
        <w:rPr>
          <w:rFonts w:ascii="Arial" w:hAnsi="Arial"/>
          <w:color w:val="212529"/>
          <w:sz w:val="19"/>
        </w:rPr>
        <w:t>Partner with Front Office traders, Investment Banking desks, and Product Owners across Global Markets to capture business requirements and workflow specifications for Debt &amp; Equity Capital Markets (DCM/ECM), syndicated loans, and structured derivatives.</w:t>
      </w:r>
    </w:p>
    <w:p w14:paraId="555BDD07" w14:textId="77777777" w:rsidR="00A01621" w:rsidRDefault="00000000">
      <w:pPr>
        <w:pStyle w:val="ListBullet"/>
        <w:spacing w:before="30" w:after="30" w:line="252" w:lineRule="auto"/>
      </w:pPr>
      <w:r>
        <w:rPr>
          <w:rFonts w:ascii="Arial" w:hAnsi="Arial"/>
          <w:b/>
          <w:color w:val="212529"/>
          <w:sz w:val="19"/>
        </w:rPr>
        <w:t xml:space="preserve">Murex Deal Capture &amp; STP Integration: </w:t>
      </w:r>
      <w:r>
        <w:rPr>
          <w:rFonts w:ascii="Arial" w:hAnsi="Arial"/>
          <w:color w:val="212529"/>
          <w:sz w:val="19"/>
        </w:rPr>
        <w:t>Lead functional requirements and solution design for Murex Front Office (Deal Capture, E-trade pad, Static Data), streamlining pre-trade pricing, trade booking, and Straight-Through Processing (STP) from execution platforms into downstream risk and booking engines across FX, IRS, Fixed Income, and Money Markets.</w:t>
      </w:r>
    </w:p>
    <w:p w14:paraId="403B2724" w14:textId="77777777" w:rsidR="00A01621" w:rsidRDefault="00000000">
      <w:pPr>
        <w:pStyle w:val="ListBullet"/>
        <w:spacing w:before="30" w:after="30" w:line="252" w:lineRule="auto"/>
      </w:pPr>
      <w:r>
        <w:rPr>
          <w:rFonts w:ascii="Arial" w:hAnsi="Arial"/>
          <w:b/>
          <w:color w:val="212529"/>
          <w:sz w:val="19"/>
        </w:rPr>
        <w:t xml:space="preserve">Counterparty Credit Risk (CCR) &amp; XVA / CVA Analytics: </w:t>
      </w:r>
      <w:r>
        <w:rPr>
          <w:rFonts w:ascii="Arial" w:hAnsi="Arial"/>
          <w:color w:val="212529"/>
          <w:sz w:val="19"/>
        </w:rPr>
        <w:t>Drive requirements and impact analysis for CCR and Credit Valuation Adjustment (CVA/XVA) metrics in Murex, validating Potential Future Exposure (PFE), pre-trade credit limits (MLC), and collateral/margin dependencies.</w:t>
      </w:r>
    </w:p>
    <w:p w14:paraId="38596280" w14:textId="77777777" w:rsidR="00A01621" w:rsidRDefault="00000000">
      <w:pPr>
        <w:pStyle w:val="ListBullet"/>
        <w:spacing w:before="30" w:after="30" w:line="252" w:lineRule="auto"/>
      </w:pPr>
      <w:r>
        <w:rPr>
          <w:rFonts w:ascii="Arial" w:hAnsi="Arial"/>
          <w:b/>
          <w:color w:val="212529"/>
          <w:sz w:val="19"/>
        </w:rPr>
        <w:t xml:space="preserve">Clearing, Settlement &amp; Downstream Interfaces: </w:t>
      </w:r>
      <w:r>
        <w:rPr>
          <w:rFonts w:ascii="Arial" w:hAnsi="Arial"/>
          <w:color w:val="212529"/>
          <w:sz w:val="19"/>
        </w:rPr>
        <w:t>Assess end-to-end downstream impacts across collateral management, confirmation, SWIFT messaging, clearinghouses (CCP), and regulatory reporting mandates.</w:t>
      </w:r>
    </w:p>
    <w:p w14:paraId="58249AD8" w14:textId="77777777" w:rsidR="00A01621" w:rsidRDefault="00000000">
      <w:pPr>
        <w:pStyle w:val="ListBullet"/>
        <w:spacing w:before="30" w:after="30" w:line="252" w:lineRule="auto"/>
      </w:pPr>
      <w:r>
        <w:rPr>
          <w:rFonts w:ascii="Arial" w:hAnsi="Arial"/>
          <w:b/>
          <w:color w:val="212529"/>
          <w:sz w:val="19"/>
        </w:rPr>
        <w:t xml:space="preserve">Delivery Leadership &amp; Front Office UAT: </w:t>
      </w:r>
      <w:r>
        <w:rPr>
          <w:rFonts w:ascii="Arial" w:hAnsi="Arial"/>
          <w:color w:val="212529"/>
          <w:sz w:val="19"/>
        </w:rPr>
        <w:t>Author BRDs, FSDs, epics, user stories, acceptance criteria, and RTMs; coordinate Front Office trader UAT, manage defect triage, lead sprint backlog refinement, and oversee production release sign-offs.</w:t>
      </w:r>
    </w:p>
    <w:p w14:paraId="0F554237" w14:textId="77777777" w:rsidR="00A01621" w:rsidRDefault="00000000">
      <w:pPr>
        <w:spacing w:before="40" w:after="100"/>
      </w:pPr>
      <w:r>
        <w:rPr>
          <w:rFonts w:ascii="Arial" w:hAnsi="Arial"/>
          <w:b/>
          <w:sz w:val="17"/>
        </w:rPr>
        <w:t xml:space="preserve">Environment: </w:t>
      </w:r>
      <w:r>
        <w:rPr>
          <w:rFonts w:ascii="Arial" w:hAnsi="Arial"/>
          <w:i/>
          <w:sz w:val="17"/>
        </w:rPr>
        <w:t>Agentic AI Workflows, Multi-Modal LLM Agents, Investment Banking Workflows, Murex Front Office (Deal Capture, E-trade pad, MLC, GOM, CCR, XVA/CVA), Python, SQL, Jira, Confluence, Australian Construction &amp; Mortgage Origination Systems, Core Banking System, IBM Mainframe.</w:t>
      </w:r>
    </w:p>
    <w:p w14:paraId="54D9E11D" w14:textId="77777777" w:rsidR="00A01621" w:rsidRDefault="00000000">
      <w:pPr>
        <w:keepNext/>
        <w:spacing w:before="100" w:after="20"/>
      </w:pPr>
      <w:r>
        <w:rPr>
          <w:rFonts w:ascii="Arial" w:hAnsi="Arial"/>
          <w:b/>
          <w:color w:val="102C57"/>
          <w:sz w:val="20"/>
        </w:rPr>
        <w:t>Senior Business Analyst (Investment Banking, Algo Trading &amp; Capital Markets)</w:t>
      </w:r>
    </w:p>
    <w:p w14:paraId="459E0B06" w14:textId="77777777" w:rsidR="00A01621" w:rsidRDefault="00000000">
      <w:pPr>
        <w:keepNext/>
        <w:spacing w:after="60"/>
      </w:pPr>
      <w:r>
        <w:rPr>
          <w:rFonts w:ascii="Arial" w:hAnsi="Arial"/>
          <w:b/>
          <w:i/>
          <w:color w:val="646E78"/>
          <w:sz w:val="18"/>
        </w:rPr>
        <w:t>HCL Technologies Ltd. — Noida / Bangalore, India  |  Dec 2017 – Feb 2023 (5 yrs 2 mos)</w:t>
      </w:r>
    </w:p>
    <w:p w14:paraId="5B19B7D3" w14:textId="77777777" w:rsidR="00A01621" w:rsidRDefault="00000000">
      <w:pPr>
        <w:pStyle w:val="ListBullet"/>
        <w:spacing w:before="30" w:after="30" w:line="252" w:lineRule="auto"/>
      </w:pPr>
      <w:r>
        <w:rPr>
          <w:rFonts w:ascii="Arial" w:hAnsi="Arial"/>
          <w:b/>
          <w:color w:val="212529"/>
          <w:sz w:val="19"/>
        </w:rPr>
        <w:t xml:space="preserve">Investment Banking Trade Lifecycle &amp; STP: </w:t>
      </w:r>
      <w:r>
        <w:rPr>
          <w:rFonts w:ascii="Arial" w:hAnsi="Arial"/>
          <w:color w:val="212529"/>
          <w:sz w:val="19"/>
        </w:rPr>
        <w:t>Acted as Lead Business Analyst across global Investment Banking and Institutional Markets engagements, analyzing end-to-end Front-to-Back trade lifecycles from deal capture and execution through confirmation, clearing, collateral allocation, and settlement.</w:t>
      </w:r>
    </w:p>
    <w:p w14:paraId="04AE00E8" w14:textId="77777777" w:rsidR="00A01621" w:rsidRDefault="00000000">
      <w:pPr>
        <w:pStyle w:val="ListBullet"/>
        <w:spacing w:before="30" w:after="30" w:line="252" w:lineRule="auto"/>
      </w:pPr>
      <w:r>
        <w:rPr>
          <w:rFonts w:ascii="Arial" w:hAnsi="Arial"/>
          <w:b/>
          <w:color w:val="212529"/>
          <w:sz w:val="19"/>
        </w:rPr>
        <w:t xml:space="preserve">Algorithmic Trading &amp; Strategy Development: </w:t>
      </w:r>
      <w:r>
        <w:rPr>
          <w:rFonts w:ascii="Arial" w:hAnsi="Arial"/>
          <w:color w:val="212529"/>
          <w:sz w:val="19"/>
        </w:rPr>
        <w:t>Elicited requirements and defined functional specifications for algorithmic execution strategies (TWAP, VWAP, POV, Implementation Shortfall, Pairs Trading, and statistical arbitrage) across Cash Equities, FX, and Fixed Income desks.</w:t>
      </w:r>
    </w:p>
    <w:p w14:paraId="2265834C" w14:textId="77777777" w:rsidR="00A01621" w:rsidRDefault="00000000">
      <w:pPr>
        <w:pStyle w:val="ListBullet"/>
        <w:spacing w:before="30" w:after="30" w:line="252" w:lineRule="auto"/>
      </w:pPr>
      <w:r>
        <w:rPr>
          <w:rFonts w:ascii="Arial" w:hAnsi="Arial"/>
          <w:b/>
          <w:color w:val="212529"/>
          <w:sz w:val="19"/>
        </w:rPr>
        <w:t xml:space="preserve">Backtesting &amp; Smart Order Routing (SOR): </w:t>
      </w:r>
      <w:r>
        <w:rPr>
          <w:rFonts w:ascii="Arial" w:hAnsi="Arial"/>
          <w:color w:val="212529"/>
          <w:sz w:val="19"/>
        </w:rPr>
        <w:t>Defined requirements for historical tick-data ingestion, backtesting frameworks, and smart order routing (SOR) logic to minimize market slippage, optimize fill rates, and dynamically route orders across multi-broker venues.</w:t>
      </w:r>
    </w:p>
    <w:p w14:paraId="2B6ACB3C" w14:textId="77777777" w:rsidR="00A01621" w:rsidRDefault="00000000">
      <w:pPr>
        <w:pStyle w:val="ListBullet"/>
        <w:spacing w:before="30" w:after="30" w:line="252" w:lineRule="auto"/>
      </w:pPr>
      <w:r>
        <w:rPr>
          <w:rFonts w:ascii="Arial" w:hAnsi="Arial"/>
          <w:b/>
          <w:color w:val="212529"/>
          <w:sz w:val="19"/>
        </w:rPr>
        <w:t xml:space="preserve">Low-Latency OMS/EMS &amp; Execution Architecture: </w:t>
      </w:r>
      <w:r>
        <w:rPr>
          <w:rFonts w:ascii="Arial" w:hAnsi="Arial"/>
          <w:color w:val="212529"/>
          <w:sz w:val="19"/>
        </w:rPr>
        <w:t>Mapped target-state integration between institutional front-office order management systems (OMS/EMS), proprietary trading desks, and electronic market interfaces, enforcing real-time pre-trade risk controls (order-rate throttling, fat-finger checks).</w:t>
      </w:r>
    </w:p>
    <w:p w14:paraId="3B03815B" w14:textId="77777777" w:rsidR="00A01621" w:rsidRDefault="00000000">
      <w:pPr>
        <w:pStyle w:val="ListBullet"/>
        <w:spacing w:before="30" w:after="30" w:line="252" w:lineRule="auto"/>
      </w:pPr>
      <w:r>
        <w:rPr>
          <w:rFonts w:ascii="Arial" w:hAnsi="Arial"/>
          <w:b/>
          <w:color w:val="212529"/>
          <w:sz w:val="19"/>
        </w:rPr>
        <w:t xml:space="preserve">Institutional Products &amp; Deal Structuring: </w:t>
      </w:r>
      <w:r>
        <w:rPr>
          <w:rFonts w:ascii="Arial" w:hAnsi="Arial"/>
          <w:color w:val="212529"/>
          <w:sz w:val="19"/>
        </w:rPr>
        <w:t>Gathered and documented functional requirements for institutional structuring desks covering Debt &amp; Equity Capital Markets (DCM/ECM), Cash Equities, Fixed Income (Bonds, Gilts), Interest Rate Swaps (IRS), FX Cash/Derivatives, and Money Markets.</w:t>
      </w:r>
    </w:p>
    <w:p w14:paraId="1086619E" w14:textId="77777777" w:rsidR="00A01621" w:rsidRDefault="00000000">
      <w:pPr>
        <w:pStyle w:val="ListBullet"/>
        <w:spacing w:before="30" w:after="30" w:line="252" w:lineRule="auto"/>
      </w:pPr>
      <w:r>
        <w:rPr>
          <w:rFonts w:ascii="Arial" w:hAnsi="Arial"/>
          <w:b/>
          <w:color w:val="212529"/>
          <w:sz w:val="19"/>
        </w:rPr>
        <w:t xml:space="preserve">Murex Deal Capture &amp; Configuration: </w:t>
      </w:r>
      <w:r>
        <w:rPr>
          <w:rFonts w:ascii="Arial" w:hAnsi="Arial"/>
          <w:color w:val="212529"/>
          <w:sz w:val="19"/>
        </w:rPr>
        <w:t>Partnered with Murex functional configuration teams and trading desks to configure Murex Front Office (Deal Capture, E-trade pad, Static Data), streamlining trade booking, pricing validation, and lifecycle event processing (amendments, unwinds, fixings).</w:t>
      </w:r>
    </w:p>
    <w:p w14:paraId="0E5BB0E9" w14:textId="77777777" w:rsidR="00A01621" w:rsidRDefault="00000000">
      <w:pPr>
        <w:pStyle w:val="ListBullet"/>
        <w:spacing w:before="30" w:after="30" w:line="252" w:lineRule="auto"/>
      </w:pPr>
      <w:r>
        <w:rPr>
          <w:rFonts w:ascii="Arial" w:hAnsi="Arial"/>
          <w:b/>
          <w:color w:val="212529"/>
          <w:sz w:val="19"/>
        </w:rPr>
        <w:t xml:space="preserve">Collateral, Margin &amp; Counterparty Risk: </w:t>
      </w:r>
      <w:r>
        <w:rPr>
          <w:rFonts w:ascii="Arial" w:hAnsi="Arial"/>
          <w:color w:val="212529"/>
          <w:sz w:val="19"/>
        </w:rPr>
        <w:t>Collaborated with Middle Office, Market Risk, and Credit Risk stakeholders to define pre-trade credit limits (MLC), margin call calculations, Potential Future Exposure (PFE), and downstream clearinghouse (CCP) integrations.</w:t>
      </w:r>
    </w:p>
    <w:p w14:paraId="6E9E8B32" w14:textId="77777777" w:rsidR="00A01621" w:rsidRDefault="00000000">
      <w:pPr>
        <w:pStyle w:val="ListBullet"/>
        <w:spacing w:before="30" w:after="30" w:line="252" w:lineRule="auto"/>
      </w:pPr>
      <w:r>
        <w:rPr>
          <w:rFonts w:ascii="Arial" w:hAnsi="Arial"/>
          <w:b/>
          <w:color w:val="212529"/>
          <w:sz w:val="19"/>
        </w:rPr>
        <w:t xml:space="preserve">Documentation, UAT Governance &amp; Delivery: </w:t>
      </w:r>
      <w:r>
        <w:rPr>
          <w:rFonts w:ascii="Arial" w:hAnsi="Arial"/>
          <w:color w:val="212529"/>
          <w:sz w:val="19"/>
        </w:rPr>
        <w:t>Authored comprehensive BRDs, FSDs, user stories, acceptance criteria, and RTMs; designed multi-leg algorithmic and structured trade test scenarios, managing defect triage with QA and desk heads to secure go-live sign-offs.</w:t>
      </w:r>
    </w:p>
    <w:p w14:paraId="534EF1FA" w14:textId="77777777" w:rsidR="00A01621" w:rsidRDefault="00000000">
      <w:pPr>
        <w:spacing w:before="40" w:after="100"/>
      </w:pPr>
      <w:r>
        <w:rPr>
          <w:rFonts w:ascii="Arial" w:hAnsi="Arial"/>
          <w:b/>
          <w:sz w:val="17"/>
        </w:rPr>
        <w:t xml:space="preserve">Environment: </w:t>
      </w:r>
      <w:r>
        <w:rPr>
          <w:rFonts w:ascii="Arial" w:hAnsi="Arial"/>
          <w:i/>
          <w:sz w:val="17"/>
        </w:rPr>
        <w:t>Algorithmic Trading Engines, OMS/EMS, Smart Order Routing, Electronic Execution Gateways, Investment Banking Systems, Murex FO (Deal Capture, E-trade pad, MLC, GOM), SQL, Python, Jira, Confluence, Agile (SCRUM).</w:t>
      </w:r>
    </w:p>
    <w:p w14:paraId="16A5E48E" w14:textId="77777777" w:rsidR="00A01621" w:rsidRDefault="00000000">
      <w:pPr>
        <w:keepNext/>
        <w:spacing w:before="100" w:after="20"/>
      </w:pPr>
      <w:r>
        <w:rPr>
          <w:rFonts w:ascii="Arial" w:hAnsi="Arial"/>
          <w:b/>
          <w:color w:val="102C57"/>
          <w:sz w:val="20"/>
        </w:rPr>
        <w:t>Senior Test Automation Engineer (Trading Systems &amp; Integration)</w:t>
      </w:r>
    </w:p>
    <w:p w14:paraId="753DE22A" w14:textId="77777777" w:rsidR="00A01621" w:rsidRDefault="00000000">
      <w:pPr>
        <w:keepNext/>
        <w:spacing w:after="60"/>
      </w:pPr>
      <w:r>
        <w:rPr>
          <w:rFonts w:ascii="Arial" w:hAnsi="Arial"/>
          <w:b/>
          <w:i/>
          <w:color w:val="646E78"/>
          <w:sz w:val="18"/>
        </w:rPr>
        <w:t>Cigniti Technologies Ltd. — Hyderabad, India  |  Sep 2016 – Dec 2017 (1 yr 3 mos)</w:t>
      </w:r>
    </w:p>
    <w:p w14:paraId="621A6981" w14:textId="77777777" w:rsidR="00A01621" w:rsidRDefault="00000000">
      <w:pPr>
        <w:pStyle w:val="ListBullet"/>
        <w:spacing w:before="20" w:after="20" w:line="252" w:lineRule="auto"/>
      </w:pPr>
      <w:r>
        <w:rPr>
          <w:rFonts w:ascii="Arial" w:hAnsi="Arial"/>
          <w:color w:val="212529"/>
          <w:sz w:val="19"/>
        </w:rPr>
        <w:t>Algo Trading QA &amp; Execution Automation: Built and maintained test automation suites to validate algorithmic order execution flows, message feed handlers, and high-frequency trading simulation environments.</w:t>
      </w:r>
    </w:p>
    <w:p w14:paraId="2A4E6AA2" w14:textId="77777777" w:rsidR="00A01621" w:rsidRDefault="00000000">
      <w:pPr>
        <w:pStyle w:val="ListBullet"/>
        <w:spacing w:before="20" w:after="20" w:line="252" w:lineRule="auto"/>
      </w:pPr>
      <w:r>
        <w:rPr>
          <w:rFonts w:ascii="Arial" w:hAnsi="Arial"/>
          <w:color w:val="212529"/>
          <w:sz w:val="19"/>
        </w:rPr>
        <w:t>Order Flow &amp; Latency Testing: Validated electronic trade message sequences, order state transitions (new, fills, cancels, replaces), drop-copy feeds, and network latency benchmarks across simulated exchange gateways.</w:t>
      </w:r>
    </w:p>
    <w:p w14:paraId="1D5D8A7E" w14:textId="77777777" w:rsidR="00A01621" w:rsidRDefault="00000000">
      <w:pPr>
        <w:pStyle w:val="ListBullet"/>
        <w:spacing w:before="20" w:after="20" w:line="252" w:lineRule="auto"/>
      </w:pPr>
      <w:r>
        <w:rPr>
          <w:rFonts w:ascii="Arial" w:hAnsi="Arial"/>
          <w:color w:val="212529"/>
          <w:sz w:val="19"/>
        </w:rPr>
        <w:lastRenderedPageBreak/>
        <w:t>Integration &amp; Infrastructure Readiness: Led SOA middleware integration testing, cloud infrastructure readiness, and defect lifecycle resolution in Jira and Confluence.</w:t>
      </w:r>
    </w:p>
    <w:p w14:paraId="2896BBBF" w14:textId="77777777" w:rsidR="00A01621" w:rsidRDefault="00000000">
      <w:pPr>
        <w:keepNext/>
        <w:spacing w:before="100" w:after="20"/>
      </w:pPr>
      <w:r>
        <w:rPr>
          <w:rFonts w:ascii="Arial" w:hAnsi="Arial"/>
          <w:b/>
          <w:color w:val="102C57"/>
          <w:sz w:val="20"/>
        </w:rPr>
        <w:t>Automation Engineer</w:t>
      </w:r>
    </w:p>
    <w:p w14:paraId="39AD5C2A" w14:textId="77777777" w:rsidR="00A01621" w:rsidRDefault="00000000">
      <w:pPr>
        <w:keepNext/>
        <w:spacing w:after="60"/>
      </w:pPr>
      <w:r>
        <w:rPr>
          <w:rFonts w:ascii="Arial" w:hAnsi="Arial"/>
          <w:b/>
          <w:i/>
          <w:color w:val="646E78"/>
          <w:sz w:val="18"/>
        </w:rPr>
        <w:t>Coforge Ltd. — Greater Noida, India  |  Mar 2015 – Jul 2016 (1 yr 4 mos)</w:t>
      </w:r>
    </w:p>
    <w:p w14:paraId="4AB57F90" w14:textId="77777777" w:rsidR="00A01621" w:rsidRDefault="00000000">
      <w:pPr>
        <w:pStyle w:val="ListBullet"/>
        <w:spacing w:before="20" w:after="20" w:line="252" w:lineRule="auto"/>
      </w:pPr>
      <w:r>
        <w:rPr>
          <w:rFonts w:ascii="Arial" w:hAnsi="Arial"/>
          <w:color w:val="212529"/>
          <w:sz w:val="19"/>
        </w:rPr>
        <w:t>Developed and maintained Selenium-based automation frameworks, executing regression suites across web, UI, backend, and API integration flows.</w:t>
      </w:r>
    </w:p>
    <w:p w14:paraId="2FEB9C04" w14:textId="77777777" w:rsidR="00A01621" w:rsidRDefault="00000000">
      <w:pPr>
        <w:pStyle w:val="ListBullet"/>
        <w:spacing w:before="20" w:after="20" w:line="252" w:lineRule="auto"/>
      </w:pPr>
      <w:r>
        <w:rPr>
          <w:rFonts w:ascii="Arial" w:hAnsi="Arial"/>
          <w:color w:val="212529"/>
          <w:sz w:val="19"/>
        </w:rPr>
        <w:t>Served as Single Point of Contact for VM setup, environment readiness, and cross-functional defect remediation.</w:t>
      </w:r>
    </w:p>
    <w:p w14:paraId="7CCD2416" w14:textId="77777777" w:rsidR="00A01621" w:rsidRDefault="00000000">
      <w:pPr>
        <w:keepNext/>
        <w:spacing w:before="100" w:after="20"/>
      </w:pPr>
      <w:r>
        <w:rPr>
          <w:rFonts w:ascii="Arial" w:hAnsi="Arial"/>
          <w:b/>
          <w:color w:val="102C57"/>
          <w:sz w:val="20"/>
        </w:rPr>
        <w:t>Software Engineer</w:t>
      </w:r>
    </w:p>
    <w:p w14:paraId="64EE49A4" w14:textId="77777777" w:rsidR="00A01621" w:rsidRDefault="00000000">
      <w:pPr>
        <w:keepNext/>
        <w:spacing w:after="60"/>
      </w:pPr>
      <w:r>
        <w:rPr>
          <w:rFonts w:ascii="Arial" w:hAnsi="Arial"/>
          <w:b/>
          <w:i/>
          <w:color w:val="646E78"/>
          <w:sz w:val="18"/>
        </w:rPr>
        <w:t>Wipro Technologies — Bangalore, India  |  May 2011 – May 2014 (3 yrs)</w:t>
      </w:r>
    </w:p>
    <w:p w14:paraId="248BF6EA" w14:textId="77777777" w:rsidR="00A01621" w:rsidRDefault="00000000">
      <w:pPr>
        <w:pStyle w:val="ListBullet"/>
        <w:spacing w:before="20" w:after="20" w:line="252" w:lineRule="auto"/>
      </w:pPr>
      <w:r>
        <w:rPr>
          <w:rFonts w:ascii="Arial" w:hAnsi="Arial"/>
          <w:color w:val="212529"/>
          <w:sz w:val="19"/>
        </w:rPr>
        <w:t>Owned enterprise web application development, customization, and content management systems, supporting custom themes, database validation, and releases.</w:t>
      </w:r>
    </w:p>
    <w:p w14:paraId="288C3CC9" w14:textId="77777777" w:rsidR="00A01621" w:rsidRDefault="00000000">
      <w:pPr>
        <w:keepNext/>
        <w:pBdr>
          <w:bottom w:val="single" w:sz="8" w:space="2" w:color="102C57"/>
        </w:pBdr>
        <w:spacing w:before="160" w:after="60"/>
      </w:pPr>
      <w:r>
        <w:rPr>
          <w:rFonts w:ascii="Arial" w:hAnsi="Arial"/>
          <w:b/>
          <w:color w:val="102C57"/>
          <w:sz w:val="21"/>
        </w:rPr>
        <w:t>EDUCATION &amp; CERTIFICATIONS</w:t>
      </w:r>
    </w:p>
    <w:tbl>
      <w:tblPr>
        <w:tblW w:w="0" w:type="auto"/>
        <w:jc w:val="center"/>
        <w:tblLayout w:type="fixed"/>
        <w:tblLook w:val="04A0" w:firstRow="1" w:lastRow="0" w:firstColumn="1" w:lastColumn="0" w:noHBand="0" w:noVBand="1"/>
      </w:tblPr>
      <w:tblGrid>
        <w:gridCol w:w="5472"/>
        <w:gridCol w:w="5328"/>
      </w:tblGrid>
      <w:tr w:rsidR="00A01621" w14:paraId="5DB0BF31" w14:textId="77777777">
        <w:trPr>
          <w:jc w:val="center"/>
        </w:trPr>
        <w:tc>
          <w:tcPr>
            <w:tcW w:w="5472" w:type="dxa"/>
            <w:tcMar>
              <w:top w:w="15" w:type="dxa"/>
              <w:left w:w="40" w:type="dxa"/>
              <w:bottom w:w="15" w:type="dxa"/>
              <w:right w:w="40" w:type="dxa"/>
            </w:tcMar>
          </w:tcPr>
          <w:p w14:paraId="2704B354" w14:textId="77777777" w:rsidR="00A01621" w:rsidRDefault="00000000">
            <w:pPr>
              <w:spacing w:before="20" w:after="20"/>
            </w:pPr>
            <w:r>
              <w:rPr>
                <w:rFonts w:ascii="Arial" w:hAnsi="Arial"/>
                <w:b/>
                <w:color w:val="102C57"/>
                <w:sz w:val="18"/>
              </w:rPr>
              <w:t>Certified Business Analysis Professional (CBAP)</w:t>
            </w:r>
          </w:p>
        </w:tc>
        <w:tc>
          <w:tcPr>
            <w:tcW w:w="5328" w:type="dxa"/>
            <w:tcMar>
              <w:top w:w="15" w:type="dxa"/>
              <w:left w:w="40" w:type="dxa"/>
              <w:bottom w:w="15" w:type="dxa"/>
              <w:right w:w="40" w:type="dxa"/>
            </w:tcMar>
          </w:tcPr>
          <w:p w14:paraId="7A605BDA" w14:textId="77777777" w:rsidR="00A01621" w:rsidRDefault="00000000">
            <w:pPr>
              <w:spacing w:before="20" w:after="20"/>
            </w:pPr>
            <w:r>
              <w:rPr>
                <w:rFonts w:ascii="Arial" w:hAnsi="Arial"/>
                <w:color w:val="212529"/>
                <w:sz w:val="18"/>
              </w:rPr>
              <w:t>IIBA</w:t>
            </w:r>
          </w:p>
        </w:tc>
      </w:tr>
      <w:tr w:rsidR="00A01621" w14:paraId="67AD0675" w14:textId="77777777">
        <w:trPr>
          <w:jc w:val="center"/>
        </w:trPr>
        <w:tc>
          <w:tcPr>
            <w:tcW w:w="5472" w:type="dxa"/>
            <w:tcMar>
              <w:top w:w="15" w:type="dxa"/>
              <w:left w:w="40" w:type="dxa"/>
              <w:bottom w:w="15" w:type="dxa"/>
              <w:right w:w="40" w:type="dxa"/>
            </w:tcMar>
          </w:tcPr>
          <w:p w14:paraId="60A3A486" w14:textId="77777777" w:rsidR="00A01621" w:rsidRDefault="00000000">
            <w:pPr>
              <w:spacing w:before="20" w:after="20"/>
            </w:pPr>
            <w:r>
              <w:rPr>
                <w:rFonts w:ascii="Arial" w:hAnsi="Arial"/>
                <w:b/>
                <w:color w:val="102C57"/>
                <w:sz w:val="18"/>
              </w:rPr>
              <w:t>Master of Business Administration (MBA) – Fintech</w:t>
            </w:r>
          </w:p>
        </w:tc>
        <w:tc>
          <w:tcPr>
            <w:tcW w:w="5328" w:type="dxa"/>
            <w:tcMar>
              <w:top w:w="15" w:type="dxa"/>
              <w:left w:w="40" w:type="dxa"/>
              <w:bottom w:w="15" w:type="dxa"/>
              <w:right w:w="40" w:type="dxa"/>
            </w:tcMar>
          </w:tcPr>
          <w:p w14:paraId="00EB8DD6" w14:textId="77777777" w:rsidR="00A01621" w:rsidRDefault="00000000">
            <w:pPr>
              <w:spacing w:before="20" w:after="20"/>
            </w:pPr>
            <w:r>
              <w:rPr>
                <w:rFonts w:ascii="Arial" w:hAnsi="Arial"/>
                <w:color w:val="212529"/>
                <w:sz w:val="18"/>
              </w:rPr>
              <w:t>BITS Pilani | CGPA: 8.1 / 10</w:t>
            </w:r>
          </w:p>
        </w:tc>
      </w:tr>
      <w:tr w:rsidR="00A01621" w14:paraId="17D43537" w14:textId="77777777">
        <w:trPr>
          <w:jc w:val="center"/>
        </w:trPr>
        <w:tc>
          <w:tcPr>
            <w:tcW w:w="5472" w:type="dxa"/>
            <w:tcMar>
              <w:top w:w="15" w:type="dxa"/>
              <w:left w:w="40" w:type="dxa"/>
              <w:bottom w:w="15" w:type="dxa"/>
              <w:right w:w="40" w:type="dxa"/>
            </w:tcMar>
          </w:tcPr>
          <w:p w14:paraId="73DDADCA" w14:textId="77777777" w:rsidR="00A01621" w:rsidRDefault="00000000">
            <w:pPr>
              <w:spacing w:before="20" w:after="20"/>
            </w:pPr>
            <w:r>
              <w:rPr>
                <w:rFonts w:ascii="Arial" w:hAnsi="Arial"/>
                <w:b/>
                <w:color w:val="102C57"/>
                <w:sz w:val="18"/>
              </w:rPr>
              <w:t>B.Tech in Electronics and Communication Engineering</w:t>
            </w:r>
          </w:p>
        </w:tc>
        <w:tc>
          <w:tcPr>
            <w:tcW w:w="5328" w:type="dxa"/>
            <w:tcMar>
              <w:top w:w="15" w:type="dxa"/>
              <w:left w:w="40" w:type="dxa"/>
              <w:bottom w:w="15" w:type="dxa"/>
              <w:right w:w="40" w:type="dxa"/>
            </w:tcMar>
          </w:tcPr>
          <w:p w14:paraId="1A610A48" w14:textId="77777777" w:rsidR="00A01621" w:rsidRDefault="00000000">
            <w:pPr>
              <w:spacing w:before="20" w:after="20"/>
            </w:pPr>
            <w:r>
              <w:rPr>
                <w:rFonts w:ascii="Arial" w:hAnsi="Arial"/>
                <w:color w:val="212529"/>
                <w:sz w:val="18"/>
              </w:rPr>
              <w:t>IIET University | CGPA: 6.5 / 10</w:t>
            </w:r>
          </w:p>
        </w:tc>
      </w:tr>
    </w:tbl>
    <w:p w14:paraId="430A3647" w14:textId="77777777" w:rsidR="00650EE5" w:rsidRDefault="00650EE5"/>
    <w:sectPr w:rsidR="00650EE5"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7167993">
    <w:abstractNumId w:val="8"/>
  </w:num>
  <w:num w:numId="2" w16cid:durableId="1813789739">
    <w:abstractNumId w:val="6"/>
  </w:num>
  <w:num w:numId="3" w16cid:durableId="336471082">
    <w:abstractNumId w:val="5"/>
  </w:num>
  <w:num w:numId="4" w16cid:durableId="43991496">
    <w:abstractNumId w:val="4"/>
  </w:num>
  <w:num w:numId="5" w16cid:durableId="150563409">
    <w:abstractNumId w:val="7"/>
  </w:num>
  <w:num w:numId="6" w16cid:durableId="964502255">
    <w:abstractNumId w:val="3"/>
  </w:num>
  <w:num w:numId="7" w16cid:durableId="57022305">
    <w:abstractNumId w:val="2"/>
  </w:num>
  <w:num w:numId="8" w16cid:durableId="937064392">
    <w:abstractNumId w:val="1"/>
  </w:num>
  <w:num w:numId="9" w16cid:durableId="84302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DAC"/>
    <w:rsid w:val="0015074B"/>
    <w:rsid w:val="0029639D"/>
    <w:rsid w:val="00326F90"/>
    <w:rsid w:val="00650EE5"/>
    <w:rsid w:val="007D4EE2"/>
    <w:rsid w:val="00A016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C4D8C"/>
  <w14:defaultImageDpi w14:val="300"/>
  <w15:docId w15:val="{49F14550-F412-4DBC-9D6B-1012650F8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D4EE2"/>
    <w:rPr>
      <w:color w:val="0000FF" w:themeColor="hyperlink"/>
      <w:u w:val="single"/>
    </w:rPr>
  </w:style>
  <w:style w:type="character" w:styleId="UnresolvedMention">
    <w:name w:val="Unresolved Mention"/>
    <w:basedOn w:val="DefaultParagraphFont"/>
    <w:uiPriority w:val="99"/>
    <w:semiHidden/>
    <w:unhideWhenUsed/>
    <w:rsid w:val="007D4E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1603</Words>
  <Characters>9139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Neeraj Maheshwari</cp:lastModifiedBy>
  <cp:revision>2</cp:revision>
  <dcterms:created xsi:type="dcterms:W3CDTF">2013-12-23T23:15:00Z</dcterms:created>
  <dcterms:modified xsi:type="dcterms:W3CDTF">2026-09-30T14:46:00Z</dcterms:modified>
  <cp:category/>
</cp:coreProperties>
</file>