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04B3A" w14:textId="77688F30" w:rsidR="003B7924" w:rsidRPr="00E54EB5" w:rsidRDefault="00B85431" w:rsidP="00C35D2D">
      <w:pPr>
        <w:jc w:val="both"/>
        <w:rPr>
          <w:b/>
          <w:bCs/>
          <w:sz w:val="36"/>
          <w:szCs w:val="36"/>
          <w:lang w:val="en-US"/>
        </w:rPr>
      </w:pPr>
      <w:r w:rsidRPr="00E54EB5">
        <w:rPr>
          <w:b/>
          <w:bCs/>
          <w:sz w:val="36"/>
          <w:szCs w:val="36"/>
          <w:lang w:val="en-US"/>
        </w:rPr>
        <w:t>STRUCTURE ABSTRACT</w:t>
      </w:r>
    </w:p>
    <w:p w14:paraId="151331D4" w14:textId="00A3E3CF" w:rsidR="00B85431" w:rsidRPr="00E54EB5" w:rsidRDefault="00B85431" w:rsidP="00C35D2D">
      <w:pPr>
        <w:jc w:val="both"/>
        <w:rPr>
          <w:sz w:val="24"/>
          <w:szCs w:val="24"/>
          <w:lang w:val="en-US"/>
        </w:rPr>
      </w:pPr>
      <w:proofErr w:type="gramStart"/>
      <w:r w:rsidRPr="00E54EB5">
        <w:rPr>
          <w:b/>
          <w:bCs/>
          <w:sz w:val="24"/>
          <w:szCs w:val="24"/>
          <w:lang w:val="en-US"/>
        </w:rPr>
        <w:t>Background :</w:t>
      </w:r>
      <w:proofErr w:type="gramEnd"/>
      <w:r w:rsidRPr="00E54EB5">
        <w:rPr>
          <w:sz w:val="24"/>
          <w:szCs w:val="24"/>
          <w:lang w:val="en-US"/>
        </w:rPr>
        <w:t xml:space="preserve"> Kerala has emerged as the </w:t>
      </w:r>
      <w:r w:rsidR="00E54EB5" w:rsidRPr="00E54EB5">
        <w:rPr>
          <w:sz w:val="24"/>
          <w:szCs w:val="24"/>
          <w:lang w:val="en-US"/>
        </w:rPr>
        <w:t>epicenter</w:t>
      </w:r>
      <w:r w:rsidRPr="00E54EB5">
        <w:rPr>
          <w:sz w:val="24"/>
          <w:szCs w:val="24"/>
          <w:lang w:val="en-US"/>
        </w:rPr>
        <w:t xml:space="preserve"> of coronary artery disease (CAD) in South Asia, with prevalence rates substantially exceeding the national average. The </w:t>
      </w:r>
      <w:proofErr w:type="spellStart"/>
      <w:r w:rsidRPr="00E54EB5">
        <w:rPr>
          <w:sz w:val="24"/>
          <w:szCs w:val="24"/>
          <w:lang w:val="en-US"/>
        </w:rPr>
        <w:t>syndemic</w:t>
      </w:r>
      <w:proofErr w:type="spellEnd"/>
      <w:r w:rsidRPr="00E54EB5">
        <w:rPr>
          <w:sz w:val="24"/>
          <w:szCs w:val="24"/>
          <w:lang w:val="en-US"/>
        </w:rPr>
        <w:t xml:space="preserve"> burden integrates genomic predispositions --- including ACE insertion/deletion polymorphisms, PCSK9 gain-of-function variants, MTHFR C677T, </w:t>
      </w:r>
      <w:proofErr w:type="spellStart"/>
      <w:r w:rsidRPr="00E54EB5">
        <w:rPr>
          <w:sz w:val="24"/>
          <w:szCs w:val="24"/>
          <w:lang w:val="en-US"/>
        </w:rPr>
        <w:t>HMGCoA</w:t>
      </w:r>
      <w:proofErr w:type="spellEnd"/>
      <w:r w:rsidRPr="00E54EB5">
        <w:rPr>
          <w:sz w:val="24"/>
          <w:szCs w:val="24"/>
          <w:lang w:val="en-US"/>
        </w:rPr>
        <w:t xml:space="preserve"> reductase SNPs, and diabetes</w:t>
      </w:r>
      <w:r w:rsidR="00453C1E" w:rsidRPr="00E54EB5">
        <w:rPr>
          <w:sz w:val="24"/>
          <w:szCs w:val="24"/>
          <w:lang w:val="en-US"/>
        </w:rPr>
        <w:t>/obesity susceptibility loci --- with epigenetic dysregulation driven by early-life dietary insufficiency, environmental oxidative stress, and socioeconomic adversity. Crucially, CAD manifests a decade earlier in Keralites than in Western cohorts, disproportionately afflicting the 20-40-year productive age group.</w:t>
      </w:r>
    </w:p>
    <w:p w14:paraId="48ADED0B" w14:textId="77777777" w:rsidR="00DE7671" w:rsidRPr="00E54EB5" w:rsidRDefault="00DE7671" w:rsidP="00C35D2D">
      <w:pPr>
        <w:jc w:val="both"/>
        <w:rPr>
          <w:sz w:val="24"/>
          <w:szCs w:val="24"/>
          <w:lang w:val="en-US"/>
        </w:rPr>
      </w:pPr>
    </w:p>
    <w:p w14:paraId="49692509" w14:textId="3DB05CF7" w:rsidR="00DE7671" w:rsidRPr="00E54EB5" w:rsidRDefault="00453C1E" w:rsidP="00C35D2D">
      <w:pPr>
        <w:jc w:val="both"/>
        <w:rPr>
          <w:sz w:val="24"/>
          <w:szCs w:val="24"/>
          <w:lang w:val="en-US"/>
        </w:rPr>
      </w:pPr>
      <w:r w:rsidRPr="00E54EB5">
        <w:rPr>
          <w:b/>
          <w:bCs/>
          <w:sz w:val="24"/>
          <w:szCs w:val="24"/>
          <w:lang w:val="en-US"/>
        </w:rPr>
        <w:t>Objectives:</w:t>
      </w:r>
      <w:r w:rsidRPr="00E54EB5">
        <w:rPr>
          <w:sz w:val="24"/>
          <w:szCs w:val="24"/>
          <w:lang w:val="en-US"/>
        </w:rPr>
        <w:t xml:space="preserve"> GREENAGE-KL aims to (1) establish early molecular CAD risk detection using serum, Fatty Acid Binding Protein (FABP) quantifies by near-infrared spectroscopy as a novel pre-clinical biomarker; (2) evaluate su</w:t>
      </w:r>
      <w:r w:rsidR="00E54EB5" w:rsidRPr="00E54EB5">
        <w:rPr>
          <w:sz w:val="24"/>
          <w:szCs w:val="24"/>
          <w:lang w:val="en-US"/>
        </w:rPr>
        <w:t>l</w:t>
      </w:r>
      <w:r w:rsidRPr="00E54EB5">
        <w:rPr>
          <w:sz w:val="24"/>
          <w:szCs w:val="24"/>
          <w:lang w:val="en-US"/>
        </w:rPr>
        <w:t>foraphane-rich microgreens (broccoli, red radish, fenugreek;</w:t>
      </w:r>
      <w:r w:rsidR="00DE7671" w:rsidRPr="00E54EB5">
        <w:rPr>
          <w:sz w:val="24"/>
          <w:szCs w:val="24"/>
          <w:lang w:val="en-US"/>
        </w:rPr>
        <w:t xml:space="preserve"> 20-50 g/day) as epigenetic modulators targeting DNA methylation, histone acetylation, and NRF2/KEAP1-axis oxidative stress reduction; and(3) integrate a dual-layer Shannon Codon Entropy (J’) framework --- correlating 64-codon degeneracy scores with biological resilience --- into a precision nutrition AI platform.</w:t>
      </w:r>
    </w:p>
    <w:p w14:paraId="2C35E7D2" w14:textId="77777777" w:rsidR="00DE7671" w:rsidRPr="00E54EB5" w:rsidRDefault="00DE7671" w:rsidP="00C35D2D">
      <w:pPr>
        <w:jc w:val="both"/>
        <w:rPr>
          <w:sz w:val="24"/>
          <w:szCs w:val="24"/>
          <w:lang w:val="en-US"/>
        </w:rPr>
      </w:pPr>
    </w:p>
    <w:p w14:paraId="645284EA" w14:textId="500BAC60" w:rsidR="00DE7671" w:rsidRPr="00E54EB5" w:rsidRDefault="00DE7671" w:rsidP="00C35D2D">
      <w:pPr>
        <w:jc w:val="both"/>
        <w:rPr>
          <w:sz w:val="24"/>
          <w:szCs w:val="24"/>
          <w:lang w:val="en-US"/>
        </w:rPr>
      </w:pPr>
      <w:r w:rsidRPr="00E54EB5">
        <w:rPr>
          <w:b/>
          <w:bCs/>
          <w:sz w:val="24"/>
          <w:szCs w:val="24"/>
          <w:lang w:val="en-US"/>
        </w:rPr>
        <w:t>Methods:</w:t>
      </w:r>
      <w:r w:rsidRPr="00E54EB5">
        <w:rPr>
          <w:sz w:val="24"/>
          <w:szCs w:val="24"/>
          <w:lang w:val="en-US"/>
        </w:rPr>
        <w:t xml:space="preserve"> A 12-month prospective marched-cohort study enrolling 500 participants (250 with one or more CAD risk factors; 250 age-sex-matche</w:t>
      </w:r>
      <w:r w:rsidR="00532081" w:rsidRPr="00E54EB5">
        <w:rPr>
          <w:sz w:val="24"/>
          <w:szCs w:val="24"/>
          <w:lang w:val="en-US"/>
        </w:rPr>
        <w:t>d controls</w:t>
      </w:r>
      <w:r w:rsidRPr="00E54EB5">
        <w:rPr>
          <w:sz w:val="24"/>
          <w:szCs w:val="24"/>
          <w:lang w:val="en-US"/>
        </w:rPr>
        <w:t>)</w:t>
      </w:r>
      <w:r w:rsidR="00532081" w:rsidRPr="00E54EB5">
        <w:rPr>
          <w:sz w:val="24"/>
          <w:szCs w:val="24"/>
          <w:lang w:val="en-US"/>
        </w:rPr>
        <w:t xml:space="preserve">, aged 20-40 years, across 14 Kerala districts. Layer 1 employs AHA PREVENT cardiovascular risk scores, cardiac echocardiography (LVEF, GLS, diastolic parameters), </w:t>
      </w:r>
      <w:proofErr w:type="spellStart"/>
      <w:r w:rsidR="00532081" w:rsidRPr="00E54EB5">
        <w:rPr>
          <w:sz w:val="24"/>
          <w:szCs w:val="24"/>
          <w:lang w:val="en-US"/>
        </w:rPr>
        <w:t>CardioSense</w:t>
      </w:r>
      <w:proofErr w:type="spellEnd"/>
      <w:r w:rsidR="00532081" w:rsidRPr="00E54EB5">
        <w:rPr>
          <w:sz w:val="24"/>
          <w:szCs w:val="24"/>
          <w:lang w:val="en-US"/>
        </w:rPr>
        <w:t xml:space="preserve"> HRV analysis (SDNN, RMSSD, Shannon entropy, triangular index, frequency and time domain metrics --- FDA-approved), and biochemical oxidative stress profiling (malondialdehyde, superoxide dismutase). Layer 2 deploy a synthetic multi-omics Shannon codon degeneracy index (J’ = 0-100%) derived from 20 amino acid codon families </w:t>
      </w:r>
      <w:proofErr w:type="gramStart"/>
      <w:r w:rsidR="00532081" w:rsidRPr="00E54EB5">
        <w:rPr>
          <w:sz w:val="24"/>
          <w:szCs w:val="24"/>
          <w:lang w:val="en-US"/>
        </w:rPr>
        <w:t>across  100</w:t>
      </w:r>
      <w:proofErr w:type="gramEnd"/>
      <w:r w:rsidR="00532081" w:rsidRPr="00E54EB5">
        <w:rPr>
          <w:sz w:val="24"/>
          <w:szCs w:val="24"/>
          <w:lang w:val="en-US"/>
        </w:rPr>
        <w:t xml:space="preserve"> synthetic Kerala representative genomic data points from all 14 districts.</w:t>
      </w:r>
    </w:p>
    <w:p w14:paraId="68386D96" w14:textId="77777777" w:rsidR="00532081" w:rsidRPr="00E54EB5" w:rsidRDefault="00532081" w:rsidP="00C35D2D">
      <w:pPr>
        <w:jc w:val="both"/>
        <w:rPr>
          <w:sz w:val="24"/>
          <w:szCs w:val="24"/>
          <w:lang w:val="en-US"/>
        </w:rPr>
      </w:pPr>
    </w:p>
    <w:p w14:paraId="06E293E6" w14:textId="0C16C6F7" w:rsidR="00532081" w:rsidRPr="00E54EB5" w:rsidRDefault="00532081" w:rsidP="00C35D2D">
      <w:pPr>
        <w:jc w:val="both"/>
        <w:rPr>
          <w:sz w:val="24"/>
          <w:szCs w:val="24"/>
          <w:lang w:val="en-US"/>
        </w:rPr>
      </w:pPr>
      <w:r w:rsidRPr="00E54EB5">
        <w:rPr>
          <w:b/>
          <w:bCs/>
          <w:sz w:val="24"/>
          <w:szCs w:val="24"/>
          <w:lang w:val="en-US"/>
        </w:rPr>
        <w:t>Expected Outcomes:</w:t>
      </w:r>
      <w:r w:rsidRPr="00E54EB5">
        <w:rPr>
          <w:sz w:val="24"/>
          <w:szCs w:val="24"/>
          <w:lang w:val="en-US"/>
        </w:rPr>
        <w:t xml:space="preserve"> Demonstration that sulforaphan</w:t>
      </w:r>
      <w:r w:rsidR="00C35D2D" w:rsidRPr="00E54EB5">
        <w:rPr>
          <w:sz w:val="24"/>
          <w:szCs w:val="24"/>
          <w:lang w:val="en-US"/>
        </w:rPr>
        <w:t>e</w:t>
      </w:r>
      <w:r w:rsidRPr="00E54EB5">
        <w:rPr>
          <w:sz w:val="24"/>
          <w:szCs w:val="24"/>
          <w:lang w:val="en-US"/>
        </w:rPr>
        <w:t>-driven epigenetic reprogramming, quantifi</w:t>
      </w:r>
      <w:r w:rsidR="00C35D2D" w:rsidRPr="00E54EB5">
        <w:rPr>
          <w:sz w:val="24"/>
          <w:szCs w:val="24"/>
          <w:lang w:val="en-US"/>
        </w:rPr>
        <w:t>ed by rising Shannon J’ indices, can retard subclinical CAD progression by 5-10 years in genetically susceptible young Keralites. Delivery of a fully functional HRIDAYALAYA Genomic Precision Platform integrating HER, FABP spectroscopy, HRV, multi-omics, and AI-driven nutritional prescription.</w:t>
      </w:r>
    </w:p>
    <w:p w14:paraId="6F9866EB" w14:textId="77777777" w:rsidR="00C35D2D" w:rsidRPr="00E54EB5" w:rsidRDefault="00C35D2D" w:rsidP="00C35D2D">
      <w:pPr>
        <w:jc w:val="both"/>
        <w:rPr>
          <w:sz w:val="24"/>
          <w:szCs w:val="24"/>
          <w:lang w:val="en-US"/>
        </w:rPr>
      </w:pPr>
    </w:p>
    <w:p w14:paraId="76A35A54" w14:textId="1D814DB2" w:rsidR="00E54EB5" w:rsidRDefault="00C35D2D" w:rsidP="00C35D2D">
      <w:pPr>
        <w:jc w:val="both"/>
        <w:rPr>
          <w:i/>
          <w:iCs/>
          <w:sz w:val="24"/>
          <w:szCs w:val="24"/>
          <w:lang w:val="en-US"/>
        </w:rPr>
      </w:pPr>
      <w:r w:rsidRPr="00E54EB5">
        <w:rPr>
          <w:b/>
          <w:bCs/>
          <w:sz w:val="24"/>
          <w:szCs w:val="24"/>
          <w:lang w:val="en-US"/>
        </w:rPr>
        <w:t>Keywords:</w:t>
      </w:r>
      <w:r w:rsidRPr="00E54EB5">
        <w:rPr>
          <w:sz w:val="24"/>
          <w:szCs w:val="24"/>
          <w:lang w:val="en-US"/>
        </w:rPr>
        <w:t xml:space="preserve"> </w:t>
      </w:r>
      <w:r w:rsidRPr="00E54EB5">
        <w:rPr>
          <w:i/>
          <w:iCs/>
          <w:sz w:val="24"/>
          <w:szCs w:val="24"/>
          <w:lang w:val="en-US"/>
        </w:rPr>
        <w:t xml:space="preserve">FABP spectroscopy · sulforaphane </w:t>
      </w:r>
      <w:r w:rsidRPr="00E54EB5">
        <w:rPr>
          <w:i/>
          <w:iCs/>
          <w:sz w:val="24"/>
          <w:szCs w:val="24"/>
          <w:lang w:val="en-US"/>
        </w:rPr>
        <w:t>·</w:t>
      </w:r>
      <w:r w:rsidRPr="00E54EB5">
        <w:rPr>
          <w:i/>
          <w:iCs/>
          <w:sz w:val="24"/>
          <w:szCs w:val="24"/>
          <w:lang w:val="en-US"/>
        </w:rPr>
        <w:t xml:space="preserve"> epigenetics </w:t>
      </w:r>
      <w:r w:rsidRPr="00E54EB5">
        <w:rPr>
          <w:i/>
          <w:iCs/>
          <w:sz w:val="24"/>
          <w:szCs w:val="24"/>
          <w:lang w:val="en-US"/>
        </w:rPr>
        <w:t>·</w:t>
      </w:r>
      <w:r w:rsidRPr="00E54EB5">
        <w:rPr>
          <w:i/>
          <w:iCs/>
          <w:sz w:val="24"/>
          <w:szCs w:val="24"/>
          <w:lang w:val="en-US"/>
        </w:rPr>
        <w:t xml:space="preserve"> Shannon codon entropy </w:t>
      </w:r>
      <w:r w:rsidRPr="00E54EB5">
        <w:rPr>
          <w:i/>
          <w:iCs/>
          <w:sz w:val="24"/>
          <w:szCs w:val="24"/>
          <w:lang w:val="en-US"/>
        </w:rPr>
        <w:t>·</w:t>
      </w:r>
      <w:r w:rsidRPr="00E54EB5">
        <w:rPr>
          <w:i/>
          <w:iCs/>
          <w:sz w:val="24"/>
          <w:szCs w:val="24"/>
          <w:lang w:val="en-US"/>
        </w:rPr>
        <w:t xml:space="preserve"> CAD prevention </w:t>
      </w:r>
      <w:r w:rsidRPr="00E54EB5">
        <w:rPr>
          <w:i/>
          <w:iCs/>
          <w:sz w:val="24"/>
          <w:szCs w:val="24"/>
          <w:lang w:val="en-US"/>
        </w:rPr>
        <w:t>·</w:t>
      </w:r>
      <w:r w:rsidRPr="00E54EB5">
        <w:rPr>
          <w:i/>
          <w:iCs/>
          <w:sz w:val="24"/>
          <w:szCs w:val="24"/>
          <w:lang w:val="en-US"/>
        </w:rPr>
        <w:t xml:space="preserve"> Kerala </w:t>
      </w:r>
      <w:r w:rsidRPr="00E54EB5">
        <w:rPr>
          <w:i/>
          <w:iCs/>
          <w:sz w:val="24"/>
          <w:szCs w:val="24"/>
          <w:lang w:val="en-US"/>
        </w:rPr>
        <w:t>·</w:t>
      </w:r>
      <w:r w:rsidRPr="00E54EB5">
        <w:rPr>
          <w:i/>
          <w:iCs/>
          <w:sz w:val="24"/>
          <w:szCs w:val="24"/>
          <w:lang w:val="en-US"/>
        </w:rPr>
        <w:t xml:space="preserve"> microgreens </w:t>
      </w:r>
      <w:r w:rsidRPr="00E54EB5">
        <w:rPr>
          <w:i/>
          <w:iCs/>
          <w:sz w:val="24"/>
          <w:szCs w:val="24"/>
          <w:lang w:val="en-US"/>
        </w:rPr>
        <w:t>·</w:t>
      </w:r>
      <w:r w:rsidRPr="00E54EB5">
        <w:rPr>
          <w:i/>
          <w:iCs/>
          <w:sz w:val="24"/>
          <w:szCs w:val="24"/>
          <w:lang w:val="en-US"/>
        </w:rPr>
        <w:t xml:space="preserve"> NRF2 </w:t>
      </w:r>
      <w:r w:rsidRPr="00E54EB5">
        <w:rPr>
          <w:i/>
          <w:iCs/>
          <w:sz w:val="24"/>
          <w:szCs w:val="24"/>
          <w:lang w:val="en-US"/>
        </w:rPr>
        <w:t>·</w:t>
      </w:r>
      <w:r w:rsidRPr="00E54EB5">
        <w:rPr>
          <w:i/>
          <w:iCs/>
          <w:sz w:val="24"/>
          <w:szCs w:val="24"/>
          <w:lang w:val="en-US"/>
        </w:rPr>
        <w:t xml:space="preserve"> HRV </w:t>
      </w:r>
      <w:r w:rsidRPr="00E54EB5">
        <w:rPr>
          <w:i/>
          <w:iCs/>
          <w:sz w:val="24"/>
          <w:szCs w:val="24"/>
          <w:lang w:val="en-US"/>
        </w:rPr>
        <w:t>·</w:t>
      </w:r>
      <w:r w:rsidRPr="00E54EB5">
        <w:rPr>
          <w:i/>
          <w:iCs/>
          <w:sz w:val="24"/>
          <w:szCs w:val="24"/>
          <w:lang w:val="en-US"/>
        </w:rPr>
        <w:t xml:space="preserve"> precision cardiology</w:t>
      </w:r>
    </w:p>
    <w:p w14:paraId="048E7205" w14:textId="77777777" w:rsidR="00E54EB5" w:rsidRDefault="00E54EB5">
      <w:pPr>
        <w:rPr>
          <w:i/>
          <w:iCs/>
          <w:sz w:val="24"/>
          <w:szCs w:val="24"/>
          <w:lang w:val="en-US"/>
        </w:rPr>
      </w:pPr>
      <w:r>
        <w:rPr>
          <w:i/>
          <w:iCs/>
          <w:sz w:val="24"/>
          <w:szCs w:val="24"/>
          <w:lang w:val="en-US"/>
        </w:rPr>
        <w:br w:type="page"/>
      </w:r>
    </w:p>
    <w:p w14:paraId="75501D4F" w14:textId="07BBC6E9" w:rsidR="00E54EB5" w:rsidRPr="003C5BA0" w:rsidRDefault="00E54EB5" w:rsidP="00C35D2D">
      <w:pPr>
        <w:jc w:val="both"/>
        <w:rPr>
          <w:b/>
          <w:bCs/>
          <w:sz w:val="36"/>
          <w:szCs w:val="36"/>
          <w:lang w:val="en-US"/>
        </w:rPr>
      </w:pPr>
      <w:r w:rsidRPr="003C5BA0">
        <w:rPr>
          <w:b/>
          <w:bCs/>
          <w:sz w:val="36"/>
          <w:szCs w:val="36"/>
          <w:lang w:val="en-US"/>
        </w:rPr>
        <w:lastRenderedPageBreak/>
        <w:t>1. BACKGROUND &amp; SCIENTIFIC RATIONALE</w:t>
      </w:r>
    </w:p>
    <w:p w14:paraId="7BF26179" w14:textId="23B4F9D3" w:rsidR="00E54EB5" w:rsidRPr="003C5BA0" w:rsidRDefault="00E54EB5" w:rsidP="00C35D2D">
      <w:pPr>
        <w:jc w:val="both"/>
        <w:rPr>
          <w:b/>
          <w:bCs/>
          <w:sz w:val="28"/>
          <w:szCs w:val="28"/>
          <w:lang w:val="en-US"/>
        </w:rPr>
      </w:pPr>
      <w:r w:rsidRPr="003C5BA0">
        <w:rPr>
          <w:b/>
          <w:bCs/>
          <w:sz w:val="28"/>
          <w:szCs w:val="28"/>
          <w:lang w:val="en-US"/>
        </w:rPr>
        <w:t>1.</w:t>
      </w:r>
      <w:r w:rsidR="003C5BA0" w:rsidRPr="003C5BA0">
        <w:rPr>
          <w:b/>
          <w:bCs/>
          <w:sz w:val="28"/>
          <w:szCs w:val="28"/>
          <w:lang w:val="en-US"/>
        </w:rPr>
        <w:t>1</w:t>
      </w:r>
      <w:r w:rsidRPr="003C5BA0">
        <w:rPr>
          <w:b/>
          <w:bCs/>
          <w:sz w:val="28"/>
          <w:szCs w:val="28"/>
          <w:lang w:val="en-US"/>
        </w:rPr>
        <w:t xml:space="preserve"> The Kerala CAD Crisis</w:t>
      </w:r>
    </w:p>
    <w:p w14:paraId="207588CD" w14:textId="47F868AB" w:rsidR="00E54EB5" w:rsidRDefault="00E54EB5" w:rsidP="00C35D2D">
      <w:pPr>
        <w:jc w:val="both"/>
        <w:rPr>
          <w:sz w:val="24"/>
          <w:szCs w:val="24"/>
          <w:lang w:val="en-US"/>
        </w:rPr>
      </w:pPr>
      <w:r>
        <w:rPr>
          <w:sz w:val="24"/>
          <w:szCs w:val="24"/>
          <w:lang w:val="en-US"/>
        </w:rPr>
        <w:t xml:space="preserve">Kerala, despite its superior health indicators (literacy, life expectancy, IMR), paradoxically leads India in cardiovascular morality. CAD prevalence in Kerala exceeds 14-15% in urban populations and 12% in rural cohorts --- nearly double the national average. The INTERHEART South Asia </w:t>
      </w:r>
      <w:proofErr w:type="spellStart"/>
      <w:r>
        <w:rPr>
          <w:sz w:val="24"/>
          <w:szCs w:val="24"/>
          <w:lang w:val="en-US"/>
        </w:rPr>
        <w:t>substudy</w:t>
      </w:r>
      <w:proofErr w:type="spellEnd"/>
      <w:r>
        <w:rPr>
          <w:sz w:val="24"/>
          <w:szCs w:val="24"/>
          <w:lang w:val="en-US"/>
        </w:rPr>
        <w:t xml:space="preserve"> confirmed that South Asians develop CAD 5-10 years earlier than Western counterparts, and Kerala</w:t>
      </w:r>
      <w:r w:rsidR="00D27850">
        <w:rPr>
          <w:sz w:val="24"/>
          <w:szCs w:val="24"/>
          <w:lang w:val="en-US"/>
        </w:rPr>
        <w:t xml:space="preserve">-specific data indicate early-onset CAD (age 20-45) constitutes 25-30% of all acute MI presentation at tertiary </w:t>
      </w:r>
      <w:proofErr w:type="spellStart"/>
      <w:r w:rsidR="00D27850">
        <w:rPr>
          <w:sz w:val="24"/>
          <w:szCs w:val="24"/>
          <w:lang w:val="en-US"/>
        </w:rPr>
        <w:t>centres</w:t>
      </w:r>
      <w:proofErr w:type="spellEnd"/>
      <w:r w:rsidR="00D27850">
        <w:rPr>
          <w:sz w:val="24"/>
          <w:szCs w:val="24"/>
          <w:lang w:val="en-US"/>
        </w:rPr>
        <w:t>.</w:t>
      </w:r>
    </w:p>
    <w:p w14:paraId="2E51FC43" w14:textId="77777777" w:rsidR="00D27850" w:rsidRDefault="00D27850" w:rsidP="00C35D2D">
      <w:pPr>
        <w:jc w:val="both"/>
        <w:rPr>
          <w:sz w:val="24"/>
          <w:szCs w:val="24"/>
          <w:lang w:val="en-US"/>
        </w:rPr>
      </w:pPr>
    </w:p>
    <w:p w14:paraId="40FAEE25" w14:textId="3DB335DA" w:rsidR="00D27850" w:rsidRPr="003C5BA0" w:rsidRDefault="00D27850" w:rsidP="00C35D2D">
      <w:pPr>
        <w:jc w:val="both"/>
        <w:rPr>
          <w:b/>
          <w:bCs/>
          <w:sz w:val="28"/>
          <w:szCs w:val="28"/>
          <w:lang w:val="en-US"/>
        </w:rPr>
      </w:pPr>
      <w:r w:rsidRPr="003C5BA0">
        <w:rPr>
          <w:b/>
          <w:bCs/>
          <w:sz w:val="28"/>
          <w:szCs w:val="28"/>
          <w:lang w:val="en-US"/>
        </w:rPr>
        <w:t xml:space="preserve">1.2 Genomic Architecture </w:t>
      </w:r>
      <w:proofErr w:type="spellStart"/>
      <w:r w:rsidRPr="003C5BA0">
        <w:rPr>
          <w:b/>
          <w:bCs/>
          <w:sz w:val="28"/>
          <w:szCs w:val="28"/>
          <w:lang w:val="en-US"/>
        </w:rPr>
        <w:t>Favouring</w:t>
      </w:r>
      <w:proofErr w:type="spellEnd"/>
      <w:r w:rsidRPr="003C5BA0">
        <w:rPr>
          <w:b/>
          <w:bCs/>
          <w:sz w:val="28"/>
          <w:szCs w:val="28"/>
          <w:lang w:val="en-US"/>
        </w:rPr>
        <w:t xml:space="preserve"> CAD in Kerala</w:t>
      </w:r>
    </w:p>
    <w:p w14:paraId="04B59545" w14:textId="31B36F0F" w:rsidR="00D27850" w:rsidRDefault="00D27850" w:rsidP="00C35D2D">
      <w:pPr>
        <w:jc w:val="both"/>
        <w:rPr>
          <w:sz w:val="24"/>
          <w:szCs w:val="24"/>
          <w:lang w:val="en-US"/>
        </w:rPr>
      </w:pPr>
      <w:r>
        <w:rPr>
          <w:sz w:val="24"/>
          <w:szCs w:val="24"/>
          <w:lang w:val="en-US"/>
        </w:rPr>
        <w:t>Four genomic axes confer excess CAD risk in the Kerala population:</w:t>
      </w:r>
    </w:p>
    <w:p w14:paraId="789E7869" w14:textId="6EF6CECB" w:rsidR="00D27850" w:rsidRDefault="00D27850" w:rsidP="00D27850">
      <w:pPr>
        <w:pStyle w:val="ListParagraph"/>
        <w:numPr>
          <w:ilvl w:val="0"/>
          <w:numId w:val="1"/>
        </w:numPr>
        <w:jc w:val="both"/>
        <w:rPr>
          <w:sz w:val="24"/>
          <w:szCs w:val="24"/>
          <w:lang w:val="en-US"/>
        </w:rPr>
      </w:pPr>
      <w:r>
        <w:rPr>
          <w:sz w:val="24"/>
          <w:szCs w:val="24"/>
          <w:lang w:val="en-US"/>
        </w:rPr>
        <w:t>Renin-Angiotensin System: ACE gene insertion/deletion (I/D) polymorphism – DD homozygotes exhibit 2-fold elevated cardiovascular risk with heightened aldosterone-driven hypertension susceptibility.</w:t>
      </w:r>
    </w:p>
    <w:p w14:paraId="7189321C" w14:textId="1288458D" w:rsidR="00D27850" w:rsidRDefault="00D27850" w:rsidP="00D27850">
      <w:pPr>
        <w:pStyle w:val="ListParagraph"/>
        <w:numPr>
          <w:ilvl w:val="0"/>
          <w:numId w:val="1"/>
        </w:numPr>
        <w:jc w:val="both"/>
        <w:rPr>
          <w:sz w:val="24"/>
          <w:szCs w:val="24"/>
          <w:lang w:val="en-US"/>
        </w:rPr>
      </w:pPr>
      <w:r>
        <w:rPr>
          <w:sz w:val="24"/>
          <w:szCs w:val="24"/>
          <w:lang w:val="en-US"/>
        </w:rPr>
        <w:t xml:space="preserve">Cholesterol Metabolism: PCSK9 gain-of-function variants and </w:t>
      </w:r>
      <w:proofErr w:type="spellStart"/>
      <w:r>
        <w:rPr>
          <w:sz w:val="24"/>
          <w:szCs w:val="24"/>
          <w:lang w:val="en-US"/>
        </w:rPr>
        <w:t>HMGCoA</w:t>
      </w:r>
      <w:proofErr w:type="spellEnd"/>
      <w:r>
        <w:rPr>
          <w:sz w:val="24"/>
          <w:szCs w:val="24"/>
          <w:lang w:val="en-US"/>
        </w:rPr>
        <w:t xml:space="preserve"> reductase SNPs create pharmacogenomic barriers to statin efficacy in Kerala cohorts.</w:t>
      </w:r>
    </w:p>
    <w:p w14:paraId="1D51E74A" w14:textId="423EF12B" w:rsidR="00D27850" w:rsidRDefault="00D27850" w:rsidP="00D27850">
      <w:pPr>
        <w:pStyle w:val="ListParagraph"/>
        <w:numPr>
          <w:ilvl w:val="0"/>
          <w:numId w:val="1"/>
        </w:numPr>
        <w:jc w:val="both"/>
        <w:rPr>
          <w:sz w:val="24"/>
          <w:szCs w:val="24"/>
          <w:lang w:val="en-US"/>
        </w:rPr>
      </w:pPr>
      <w:r>
        <w:rPr>
          <w:sz w:val="24"/>
          <w:szCs w:val="24"/>
          <w:lang w:val="en-US"/>
        </w:rPr>
        <w:t xml:space="preserve">Methylation Deficit: MTHFR C677T TT genotype (prevalent ~18% in Kerala) drives </w:t>
      </w:r>
      <w:proofErr w:type="spellStart"/>
      <w:r>
        <w:rPr>
          <w:sz w:val="24"/>
          <w:szCs w:val="24"/>
          <w:lang w:val="en-US"/>
        </w:rPr>
        <w:t>hyperhomocysteinaemia</w:t>
      </w:r>
      <w:proofErr w:type="spellEnd"/>
      <w:r>
        <w:rPr>
          <w:sz w:val="24"/>
          <w:szCs w:val="24"/>
          <w:lang w:val="en-US"/>
        </w:rPr>
        <w:t>, endo</w:t>
      </w:r>
      <w:r w:rsidR="00336A39">
        <w:rPr>
          <w:sz w:val="24"/>
          <w:szCs w:val="24"/>
          <w:lang w:val="en-US"/>
        </w:rPr>
        <w:t>thelial dysfunction, and impaired folate-mediated epigenetic methylation.</w:t>
      </w:r>
    </w:p>
    <w:p w14:paraId="17C0825F" w14:textId="36A1F565" w:rsidR="00336A39" w:rsidRDefault="00336A39" w:rsidP="00D27850">
      <w:pPr>
        <w:pStyle w:val="ListParagraph"/>
        <w:numPr>
          <w:ilvl w:val="0"/>
          <w:numId w:val="1"/>
        </w:numPr>
        <w:jc w:val="both"/>
        <w:rPr>
          <w:sz w:val="24"/>
          <w:szCs w:val="24"/>
          <w:lang w:val="en-US"/>
        </w:rPr>
      </w:pPr>
      <w:r>
        <w:rPr>
          <w:sz w:val="24"/>
          <w:szCs w:val="24"/>
          <w:lang w:val="en-US"/>
        </w:rPr>
        <w:t xml:space="preserve">Metabolic Vulnerability: TCF7L2, PPARG, FTO, and MC4R variants aggregating in Kerala families predispose to insulin resistance, visceral adiposity, and diabetogenic </w:t>
      </w:r>
      <w:proofErr w:type="spellStart"/>
      <w:r>
        <w:rPr>
          <w:sz w:val="24"/>
          <w:szCs w:val="24"/>
          <w:lang w:val="en-US"/>
        </w:rPr>
        <w:t>dyslipidaemia</w:t>
      </w:r>
      <w:proofErr w:type="spellEnd"/>
      <w:r>
        <w:rPr>
          <w:sz w:val="24"/>
          <w:szCs w:val="24"/>
          <w:lang w:val="en-US"/>
        </w:rPr>
        <w:t>.</w:t>
      </w:r>
    </w:p>
    <w:p w14:paraId="5D3FA1C4" w14:textId="77777777" w:rsidR="00336A39" w:rsidRDefault="00336A39" w:rsidP="00336A39">
      <w:pPr>
        <w:jc w:val="both"/>
        <w:rPr>
          <w:sz w:val="24"/>
          <w:szCs w:val="24"/>
          <w:lang w:val="en-US"/>
        </w:rPr>
      </w:pPr>
    </w:p>
    <w:p w14:paraId="2B1F6D24" w14:textId="0EC76949" w:rsidR="00336A39" w:rsidRPr="003C5BA0" w:rsidRDefault="00336A39" w:rsidP="00336A39">
      <w:pPr>
        <w:jc w:val="both"/>
        <w:rPr>
          <w:b/>
          <w:bCs/>
          <w:sz w:val="28"/>
          <w:szCs w:val="28"/>
          <w:lang w:val="en-US"/>
        </w:rPr>
      </w:pPr>
      <w:r w:rsidRPr="003C5BA0">
        <w:rPr>
          <w:b/>
          <w:bCs/>
          <w:sz w:val="28"/>
          <w:szCs w:val="28"/>
          <w:lang w:val="en-US"/>
        </w:rPr>
        <w:t>1.3 Epigenetic Dysregulation as the Amplifier</w:t>
      </w:r>
    </w:p>
    <w:p w14:paraId="218A13DC" w14:textId="5CF245BA" w:rsidR="00336A39" w:rsidRDefault="00336A39" w:rsidP="00336A39">
      <w:pPr>
        <w:jc w:val="both"/>
        <w:rPr>
          <w:sz w:val="24"/>
          <w:szCs w:val="24"/>
          <w:lang w:val="en-US"/>
        </w:rPr>
      </w:pPr>
      <w:r>
        <w:rPr>
          <w:sz w:val="24"/>
          <w:szCs w:val="24"/>
          <w:lang w:val="en-US"/>
        </w:rPr>
        <w:t>Genomic risk is necessary but not sufficient. Epigenetic modification</w:t>
      </w:r>
      <w:r w:rsidR="00020526">
        <w:rPr>
          <w:sz w:val="24"/>
          <w:szCs w:val="24"/>
          <w:lang w:val="en-US"/>
        </w:rPr>
        <w:t xml:space="preserve">s --- DNA methylation at CpG islands of promoters (NRF2, CDKN2A, RASAL1), histone deacetylation (HDAC-mediated silencing of cardioprotective genes), and microRNA-33/126/155-driven post-transcriptional regulation --- convert latent genomic risk into active CAD pathobiology. Poor dietary methyl donor (folate, betaine, choline), high refined carbohydrate consumption, psychosocial stress, and environmental pollution (particularly in costal and industrial Kerala districts) </w:t>
      </w:r>
      <w:proofErr w:type="spellStart"/>
      <w:r w:rsidR="00020526">
        <w:rPr>
          <w:sz w:val="24"/>
          <w:szCs w:val="24"/>
          <w:lang w:val="en-US"/>
        </w:rPr>
        <w:t>synergise</w:t>
      </w:r>
      <w:proofErr w:type="spellEnd"/>
      <w:r w:rsidR="00020526">
        <w:rPr>
          <w:sz w:val="24"/>
          <w:szCs w:val="24"/>
          <w:lang w:val="en-US"/>
        </w:rPr>
        <w:t xml:space="preserve"> to accelerate epigenetic ageing beyond chronological age.</w:t>
      </w:r>
    </w:p>
    <w:p w14:paraId="599A8C61" w14:textId="77777777" w:rsidR="00020526" w:rsidRDefault="00020526" w:rsidP="00336A39">
      <w:pPr>
        <w:jc w:val="both"/>
        <w:rPr>
          <w:sz w:val="24"/>
          <w:szCs w:val="24"/>
          <w:lang w:val="en-US"/>
        </w:rPr>
      </w:pPr>
    </w:p>
    <w:p w14:paraId="6F990F35" w14:textId="68A1484C" w:rsidR="00020526" w:rsidRPr="003C5BA0" w:rsidRDefault="00020526" w:rsidP="00336A39">
      <w:pPr>
        <w:jc w:val="both"/>
        <w:rPr>
          <w:b/>
          <w:bCs/>
          <w:sz w:val="28"/>
          <w:szCs w:val="28"/>
          <w:lang w:val="en-US"/>
        </w:rPr>
      </w:pPr>
      <w:r w:rsidRPr="003C5BA0">
        <w:rPr>
          <w:b/>
          <w:bCs/>
          <w:sz w:val="28"/>
          <w:szCs w:val="28"/>
          <w:lang w:val="en-US"/>
        </w:rPr>
        <w:t>1.4 Fatty Acid Binding Protein (FABP) as Early Molecular</w:t>
      </w:r>
      <w:r w:rsidR="00B625A9" w:rsidRPr="003C5BA0">
        <w:rPr>
          <w:b/>
          <w:bCs/>
          <w:sz w:val="28"/>
          <w:szCs w:val="28"/>
          <w:lang w:val="en-US"/>
        </w:rPr>
        <w:t xml:space="preserve"> Sentinel</w:t>
      </w:r>
    </w:p>
    <w:p w14:paraId="7D115AF4" w14:textId="7FBCFEB4" w:rsidR="00B625A9" w:rsidRDefault="00B625A9" w:rsidP="00336A39">
      <w:pPr>
        <w:jc w:val="both"/>
        <w:rPr>
          <w:sz w:val="24"/>
          <w:szCs w:val="24"/>
          <w:lang w:val="en-US"/>
        </w:rPr>
      </w:pPr>
      <w:r>
        <w:rPr>
          <w:sz w:val="24"/>
          <w:szCs w:val="24"/>
          <w:lang w:val="en-US"/>
        </w:rPr>
        <w:t xml:space="preserve">Heart-type FABP (H-FABP/FABP3) is a 15 </w:t>
      </w:r>
      <w:proofErr w:type="spellStart"/>
      <w:r>
        <w:rPr>
          <w:sz w:val="24"/>
          <w:szCs w:val="24"/>
          <w:lang w:val="en-US"/>
        </w:rPr>
        <w:t>kDa</w:t>
      </w:r>
      <w:proofErr w:type="spellEnd"/>
      <w:r>
        <w:rPr>
          <w:sz w:val="24"/>
          <w:szCs w:val="24"/>
          <w:lang w:val="en-US"/>
        </w:rPr>
        <w:t xml:space="preserve"> cytoplasmic protein released within 30-60 minutes of cardiomyocyte injury, preceding troponin by 3-4 hours in acute settings. More critically, circulating FABP levels reflect subclinical myocardial lipid metabolic stress BEFORE </w:t>
      </w:r>
      <w:r>
        <w:rPr>
          <w:sz w:val="24"/>
          <w:szCs w:val="24"/>
          <w:lang w:val="en-US"/>
        </w:rPr>
        <w:lastRenderedPageBreak/>
        <w:t xml:space="preserve">ischemia-driven necrosis. Near-infrared (NIR) spectroscopy enables label-free, rapid quantification of FABP with sensitivity in the sub-nanomolar range, avoiding immunoassay latency. This study incorporates FABP-NIR spectroscopy as the primary </w:t>
      </w:r>
      <w:r w:rsidR="00297F10">
        <w:rPr>
          <w:sz w:val="24"/>
          <w:szCs w:val="24"/>
          <w:lang w:val="en-US"/>
        </w:rPr>
        <w:t>early molecular biomarker --- a paradigm-shifting addition to CAD risk stratification.</w:t>
      </w:r>
    </w:p>
    <w:p w14:paraId="79C37C86" w14:textId="77777777" w:rsidR="00297F10" w:rsidRDefault="00297F10" w:rsidP="00336A39">
      <w:pPr>
        <w:jc w:val="both"/>
        <w:rPr>
          <w:sz w:val="24"/>
          <w:szCs w:val="24"/>
          <w:lang w:val="en-US"/>
        </w:rPr>
      </w:pPr>
    </w:p>
    <w:p w14:paraId="51BD1E0E" w14:textId="034F5C3F" w:rsidR="00297F10" w:rsidRPr="003C5BA0" w:rsidRDefault="00297F10" w:rsidP="00336A39">
      <w:pPr>
        <w:jc w:val="both"/>
        <w:rPr>
          <w:b/>
          <w:bCs/>
          <w:sz w:val="28"/>
          <w:szCs w:val="28"/>
          <w:lang w:val="en-US"/>
        </w:rPr>
      </w:pPr>
      <w:r w:rsidRPr="003C5BA0">
        <w:rPr>
          <w:b/>
          <w:bCs/>
          <w:sz w:val="28"/>
          <w:szCs w:val="28"/>
          <w:lang w:val="en-US"/>
        </w:rPr>
        <w:t>1.5 Sulforaphane: Epigenetic Precision Nutrient</w:t>
      </w:r>
    </w:p>
    <w:p w14:paraId="599A74A4" w14:textId="0AC4995B" w:rsidR="00E54EB5" w:rsidRDefault="00297F10" w:rsidP="00C35D2D">
      <w:pPr>
        <w:jc w:val="both"/>
        <w:rPr>
          <w:sz w:val="24"/>
          <w:szCs w:val="24"/>
        </w:rPr>
      </w:pPr>
      <w:r>
        <w:rPr>
          <w:sz w:val="24"/>
          <w:szCs w:val="24"/>
          <w:lang w:val="en-US"/>
        </w:rPr>
        <w:t xml:space="preserve">Sulforaphane (SFN), the isothiocyanate derivative of glucoraphanin </w:t>
      </w:r>
      <w:proofErr w:type="spellStart"/>
      <w:r>
        <w:rPr>
          <w:sz w:val="24"/>
          <w:szCs w:val="24"/>
          <w:lang w:val="en-US"/>
        </w:rPr>
        <w:t>hydrolysed</w:t>
      </w:r>
      <w:proofErr w:type="spellEnd"/>
      <w:r>
        <w:rPr>
          <w:sz w:val="24"/>
          <w:szCs w:val="24"/>
          <w:lang w:val="en-US"/>
        </w:rPr>
        <w:t xml:space="preserve"> by </w:t>
      </w:r>
      <w:proofErr w:type="spellStart"/>
      <w:r>
        <w:rPr>
          <w:sz w:val="24"/>
          <w:szCs w:val="24"/>
          <w:lang w:val="en-US"/>
        </w:rPr>
        <w:t>myrosinase</w:t>
      </w:r>
      <w:proofErr w:type="spellEnd"/>
      <w:r>
        <w:rPr>
          <w:sz w:val="24"/>
          <w:szCs w:val="24"/>
          <w:lang w:val="en-US"/>
        </w:rPr>
        <w:t xml:space="preserve"> in </w:t>
      </w:r>
      <w:r w:rsidRPr="00297F10">
        <w:rPr>
          <w:sz w:val="24"/>
          <w:szCs w:val="24"/>
        </w:rPr>
        <w:t>cruciferous</w:t>
      </w:r>
      <w:r>
        <w:rPr>
          <w:sz w:val="24"/>
          <w:szCs w:val="24"/>
        </w:rPr>
        <w:t xml:space="preserve"> microgreens, is the most potent natural activator of the NRF2 transcription factor. NRF2 nuclear translocation upregulates ARE-driven antioxidant enzymes (HO-1, NQO1, GCLC, </w:t>
      </w:r>
      <w:r w:rsidR="00795C1F">
        <w:rPr>
          <w:sz w:val="24"/>
          <w:szCs w:val="24"/>
        </w:rPr>
        <w:t>TXNRD1</w:t>
      </w:r>
      <w:r>
        <w:rPr>
          <w:sz w:val="24"/>
          <w:szCs w:val="24"/>
        </w:rPr>
        <w:t>)</w:t>
      </w:r>
      <w:r w:rsidR="00795C1F">
        <w:rPr>
          <w:sz w:val="24"/>
          <w:szCs w:val="24"/>
        </w:rPr>
        <w:t xml:space="preserve">, reduces reactive oxygen species (ROS) and </w:t>
      </w:r>
      <w:proofErr w:type="spellStart"/>
      <w:r w:rsidR="00795C1F">
        <w:rPr>
          <w:sz w:val="24"/>
          <w:szCs w:val="24"/>
        </w:rPr>
        <w:t>malondialedehyde</w:t>
      </w:r>
      <w:proofErr w:type="spellEnd"/>
      <w:r w:rsidR="00795C1F">
        <w:rPr>
          <w:sz w:val="24"/>
          <w:szCs w:val="24"/>
        </w:rPr>
        <w:t xml:space="preserve"> (MDA), and modulates DNMT/HDAC activity to restore epigenetic balance. </w:t>
      </w:r>
      <w:r w:rsidR="00795C1F" w:rsidRPr="00795C1F">
        <w:rPr>
          <w:sz w:val="24"/>
          <w:szCs w:val="24"/>
        </w:rPr>
        <w:t>Broccoli microgreens contain 10–100× higher glucoraphanin concentrations than mature heads.</w:t>
      </w:r>
      <w:r w:rsidR="00795C1F">
        <w:rPr>
          <w:sz w:val="24"/>
          <w:szCs w:val="24"/>
        </w:rPr>
        <w:t xml:space="preserve"> This study employs standardised microgreen </w:t>
      </w:r>
      <w:r w:rsidR="00E42D7F">
        <w:rPr>
          <w:sz w:val="24"/>
          <w:szCs w:val="24"/>
        </w:rPr>
        <w:t>doses (20-50 g/day) from HRIDAYALAYA’s certified cultivation facility --- ensuring compositional consistency of sulforaphane yield across the trial.</w:t>
      </w:r>
    </w:p>
    <w:p w14:paraId="1A9731AA" w14:textId="77777777" w:rsidR="00E42D7F" w:rsidRDefault="00E42D7F" w:rsidP="00C35D2D">
      <w:pPr>
        <w:jc w:val="both"/>
        <w:rPr>
          <w:sz w:val="24"/>
          <w:szCs w:val="24"/>
        </w:rPr>
      </w:pPr>
    </w:p>
    <w:p w14:paraId="3125C5BD" w14:textId="5EA96158" w:rsidR="00E42D7F" w:rsidRPr="003C5BA0" w:rsidRDefault="00E42D7F" w:rsidP="00C35D2D">
      <w:pPr>
        <w:jc w:val="both"/>
        <w:rPr>
          <w:b/>
          <w:bCs/>
          <w:sz w:val="28"/>
          <w:szCs w:val="28"/>
        </w:rPr>
      </w:pPr>
      <w:r w:rsidRPr="003C5BA0">
        <w:rPr>
          <w:b/>
          <w:bCs/>
          <w:sz w:val="28"/>
          <w:szCs w:val="28"/>
        </w:rPr>
        <w:t>1.6 Shannon Codon Entropy (J’) --- The Biological Chaos-to-order Framework</w:t>
      </w:r>
    </w:p>
    <w:p w14:paraId="13121C86" w14:textId="4583798F" w:rsidR="00F324B4" w:rsidRDefault="00E42D7F" w:rsidP="00C35D2D">
      <w:pPr>
        <w:jc w:val="both"/>
        <w:rPr>
          <w:sz w:val="24"/>
          <w:szCs w:val="24"/>
          <w:lang w:val="en-US"/>
        </w:rPr>
      </w:pPr>
      <w:r>
        <w:rPr>
          <w:sz w:val="24"/>
          <w:szCs w:val="24"/>
          <w:lang w:val="en-US"/>
        </w:rPr>
        <w:t>Shannon entropy H = -∑ p</w:t>
      </w:r>
      <w:r>
        <w:rPr>
          <w:sz w:val="24"/>
          <w:szCs w:val="24"/>
          <w:vertAlign w:val="subscript"/>
          <w:lang w:val="en-US"/>
        </w:rPr>
        <w:t>i</w:t>
      </w:r>
      <w:r>
        <w:rPr>
          <w:sz w:val="24"/>
          <w:szCs w:val="24"/>
          <w:lang w:val="en-US"/>
        </w:rPr>
        <w:t xml:space="preserve"> log</w:t>
      </w:r>
      <w:r>
        <w:rPr>
          <w:sz w:val="24"/>
          <w:szCs w:val="24"/>
          <w:vertAlign w:val="subscript"/>
          <w:lang w:val="en-US"/>
        </w:rPr>
        <w:t>2</w:t>
      </w:r>
      <w:r>
        <w:rPr>
          <w:sz w:val="24"/>
          <w:szCs w:val="24"/>
          <w:lang w:val="en-US"/>
        </w:rPr>
        <w:t xml:space="preserve"> p</w:t>
      </w:r>
      <w:r>
        <w:rPr>
          <w:sz w:val="24"/>
          <w:szCs w:val="24"/>
          <w:vertAlign w:val="subscript"/>
          <w:lang w:val="en-US"/>
        </w:rPr>
        <w:t>i</w:t>
      </w:r>
      <w:r>
        <w:rPr>
          <w:sz w:val="24"/>
          <w:szCs w:val="24"/>
          <w:lang w:val="en-US"/>
        </w:rPr>
        <w:t xml:space="preserve">, when applied to codon degeneracy across the 64-codon genetic code, generates a </w:t>
      </w:r>
      <w:proofErr w:type="spellStart"/>
      <w:r>
        <w:rPr>
          <w:sz w:val="24"/>
          <w:szCs w:val="24"/>
          <w:lang w:val="en-US"/>
        </w:rPr>
        <w:t>Pielou’s</w:t>
      </w:r>
      <w:proofErr w:type="spellEnd"/>
      <w:r>
        <w:rPr>
          <w:sz w:val="24"/>
          <w:szCs w:val="24"/>
          <w:lang w:val="en-US"/>
        </w:rPr>
        <w:t xml:space="preserve"> evenness index (J’). The 20 amino acids (2 with single codon, 3 basic amino acids --- Lys, Arg, His, 15 neutral amino acids)</w:t>
      </w:r>
      <w:r w:rsidR="00F324B4">
        <w:rPr>
          <w:sz w:val="24"/>
          <w:szCs w:val="24"/>
          <w:lang w:val="en-US"/>
        </w:rPr>
        <w:t xml:space="preserve"> exhibit differential degeneracy: maximal codon diversity (J’ → 1.0) represents biological resilience and redundancy buffer against point mutations, while J’ collapse (</w:t>
      </w:r>
      <w:r w:rsidR="00F324B4">
        <w:rPr>
          <w:sz w:val="24"/>
          <w:szCs w:val="24"/>
          <w:lang w:val="en-US"/>
        </w:rPr>
        <w:t>→</w:t>
      </w:r>
      <w:r w:rsidR="00F324B4">
        <w:rPr>
          <w:sz w:val="24"/>
          <w:szCs w:val="24"/>
          <w:lang w:val="en-US"/>
        </w:rPr>
        <w:t xml:space="preserve"> 0) predicts vulnerability to oxidative and metabolic stress. The GREENAGE-KL framework hypothesizes that nutritional-epigenetic interventions (sulforaphane, microgreens) measurably shift J’ trajectories upward by modifying codon-usage bias through DNMT-medicated methylation patterns --- a testable, falsifiable mechanistic hypothesis.</w:t>
      </w:r>
    </w:p>
    <w:p w14:paraId="5FDB3897" w14:textId="77777777" w:rsidR="00F324B4" w:rsidRDefault="00F324B4">
      <w:pPr>
        <w:rPr>
          <w:sz w:val="24"/>
          <w:szCs w:val="24"/>
          <w:lang w:val="en-US"/>
        </w:rPr>
      </w:pPr>
      <w:r>
        <w:rPr>
          <w:sz w:val="24"/>
          <w:szCs w:val="24"/>
          <w:lang w:val="en-US"/>
        </w:rPr>
        <w:br w:type="page"/>
      </w:r>
    </w:p>
    <w:p w14:paraId="5BCF9492" w14:textId="172C4FEC" w:rsidR="00E42D7F" w:rsidRPr="003C5BA0" w:rsidRDefault="00397385" w:rsidP="00C35D2D">
      <w:pPr>
        <w:jc w:val="both"/>
        <w:rPr>
          <w:b/>
          <w:bCs/>
          <w:sz w:val="36"/>
          <w:szCs w:val="36"/>
          <w:lang w:val="en-US"/>
        </w:rPr>
      </w:pPr>
      <w:r w:rsidRPr="003C5BA0">
        <w:rPr>
          <w:b/>
          <w:bCs/>
          <w:sz w:val="36"/>
          <w:szCs w:val="36"/>
          <w:lang w:val="en-US"/>
        </w:rPr>
        <w:lastRenderedPageBreak/>
        <w:t>AIM &amp; OBJECTIVES</w:t>
      </w:r>
    </w:p>
    <w:p w14:paraId="7A5E788F" w14:textId="6798534B" w:rsidR="00397385" w:rsidRPr="003C5BA0" w:rsidRDefault="00397385" w:rsidP="00C35D2D">
      <w:pPr>
        <w:jc w:val="both"/>
        <w:rPr>
          <w:b/>
          <w:bCs/>
          <w:sz w:val="24"/>
          <w:szCs w:val="24"/>
          <w:lang w:val="en-US"/>
        </w:rPr>
      </w:pPr>
      <w:r w:rsidRPr="003C5BA0">
        <w:rPr>
          <w:b/>
          <w:bCs/>
          <w:sz w:val="24"/>
          <w:szCs w:val="24"/>
          <w:lang w:val="en-US"/>
        </w:rPr>
        <w:t>Primary Aim</w:t>
      </w:r>
    </w:p>
    <w:p w14:paraId="3E4F0E9D" w14:textId="3BDD0A25" w:rsidR="002513B1" w:rsidRPr="002513B1" w:rsidRDefault="00397385" w:rsidP="002513B1">
      <w:pPr>
        <w:jc w:val="both"/>
        <w:rPr>
          <w:sz w:val="24"/>
          <w:szCs w:val="24"/>
          <w:lang w:val="en-US"/>
        </w:rPr>
      </w:pPr>
      <w:r>
        <w:rPr>
          <w:sz w:val="24"/>
          <w:szCs w:val="24"/>
          <w:lang w:val="en-US"/>
        </w:rPr>
        <w:t>To evaluate whether standardized sulforaphane-rich microgreen supplementation, delivered over 12 months to genetically at-risk young Keralites (20-40 years), produces measurable epigenetic reprogramming (Shannon J’ elevation, methylation restoration) accompanied by reduction in subclinical CAD biomarkers (FABP</w:t>
      </w:r>
      <w:r w:rsidR="002513B1">
        <w:rPr>
          <w:sz w:val="24"/>
          <w:szCs w:val="24"/>
          <w:lang w:val="en-US"/>
        </w:rPr>
        <w:t>, oxidative stress, HRV parameters</w:t>
      </w:r>
      <w:r>
        <w:rPr>
          <w:sz w:val="24"/>
          <w:szCs w:val="24"/>
          <w:lang w:val="en-US"/>
        </w:rPr>
        <w:t>)</w:t>
      </w:r>
      <w:r w:rsidR="002513B1">
        <w:rPr>
          <w:sz w:val="24"/>
          <w:szCs w:val="24"/>
          <w:lang w:val="en-US"/>
        </w:rPr>
        <w:t xml:space="preserve"> and cardiovascular risk scores --- thereby extending CAD-free years by a projected 5-10 years.</w:t>
      </w:r>
    </w:p>
    <w:p w14:paraId="19DC37BD" w14:textId="77777777" w:rsidR="002513B1" w:rsidRPr="002513B1" w:rsidRDefault="002513B1" w:rsidP="002513B1">
      <w:pPr>
        <w:jc w:val="both"/>
        <w:rPr>
          <w:sz w:val="24"/>
          <w:szCs w:val="24"/>
          <w:lang w:val="en-US"/>
        </w:rPr>
      </w:pPr>
    </w:p>
    <w:p w14:paraId="2CF80D0C" w14:textId="4ABCC784" w:rsidR="002513B1" w:rsidRPr="003C5BA0" w:rsidRDefault="002513B1" w:rsidP="00C35D2D">
      <w:pPr>
        <w:jc w:val="both"/>
        <w:rPr>
          <w:b/>
          <w:bCs/>
          <w:sz w:val="24"/>
          <w:szCs w:val="24"/>
          <w:lang w:val="en-US"/>
        </w:rPr>
      </w:pPr>
      <w:r w:rsidRPr="003C5BA0">
        <w:rPr>
          <w:b/>
          <w:bCs/>
          <w:sz w:val="24"/>
          <w:szCs w:val="24"/>
          <w:lang w:val="en-US"/>
        </w:rPr>
        <w:t>Secondary Objectives</w:t>
      </w:r>
    </w:p>
    <w:p w14:paraId="52CD07E7" w14:textId="697717F1" w:rsidR="002513B1" w:rsidRDefault="002513B1" w:rsidP="002513B1">
      <w:pPr>
        <w:pStyle w:val="ListParagraph"/>
        <w:numPr>
          <w:ilvl w:val="0"/>
          <w:numId w:val="4"/>
        </w:numPr>
        <w:jc w:val="both"/>
        <w:rPr>
          <w:sz w:val="24"/>
          <w:szCs w:val="24"/>
          <w:lang w:val="en-US"/>
        </w:rPr>
      </w:pPr>
      <w:r>
        <w:rPr>
          <w:sz w:val="24"/>
          <w:szCs w:val="24"/>
          <w:lang w:val="en-US"/>
        </w:rPr>
        <w:t>Validate FABP quantified by NIR spectroscopy as a sensitive early-warning biomarker for subclinical myocardial metabolic stress in the 20-40 age group.</w:t>
      </w:r>
    </w:p>
    <w:p w14:paraId="25A6A582" w14:textId="2FE2F099" w:rsidR="002513B1" w:rsidRDefault="002513B1" w:rsidP="002513B1">
      <w:pPr>
        <w:pStyle w:val="ListParagraph"/>
        <w:numPr>
          <w:ilvl w:val="0"/>
          <w:numId w:val="4"/>
        </w:numPr>
        <w:jc w:val="both"/>
        <w:rPr>
          <w:sz w:val="24"/>
          <w:szCs w:val="24"/>
          <w:lang w:val="en-US"/>
        </w:rPr>
      </w:pPr>
      <w:proofErr w:type="spellStart"/>
      <w:r w:rsidRPr="002513B1">
        <w:rPr>
          <w:sz w:val="24"/>
          <w:szCs w:val="24"/>
          <w:lang w:val="en-US"/>
        </w:rPr>
        <w:t>Characterise</w:t>
      </w:r>
      <w:proofErr w:type="spellEnd"/>
      <w:r w:rsidRPr="002513B1">
        <w:rPr>
          <w:sz w:val="24"/>
          <w:szCs w:val="24"/>
          <w:lang w:val="en-US"/>
        </w:rPr>
        <w:t xml:space="preserve"> Kerala-specific genomic risk architecture across 14 districts using ACE, PCSK9, </w:t>
      </w:r>
      <w:proofErr w:type="spellStart"/>
      <w:r w:rsidRPr="002513B1">
        <w:rPr>
          <w:sz w:val="24"/>
          <w:szCs w:val="24"/>
          <w:lang w:val="en-US"/>
        </w:rPr>
        <w:t>HMGCoA</w:t>
      </w:r>
      <w:proofErr w:type="spellEnd"/>
      <w:r w:rsidRPr="002513B1">
        <w:rPr>
          <w:sz w:val="24"/>
          <w:szCs w:val="24"/>
          <w:lang w:val="en-US"/>
        </w:rPr>
        <w:t xml:space="preserve"> reductase, MTHFR, TCF7L2, FTO, PPARG, and MC4R SNP panels</w:t>
      </w:r>
      <w:r>
        <w:rPr>
          <w:sz w:val="24"/>
          <w:szCs w:val="24"/>
          <w:lang w:val="en-US"/>
        </w:rPr>
        <w:t>.</w:t>
      </w:r>
    </w:p>
    <w:p w14:paraId="7744A719" w14:textId="441778AD" w:rsidR="002513B1" w:rsidRDefault="002513B1" w:rsidP="002513B1">
      <w:pPr>
        <w:pStyle w:val="ListParagraph"/>
        <w:numPr>
          <w:ilvl w:val="0"/>
          <w:numId w:val="4"/>
        </w:numPr>
        <w:jc w:val="both"/>
        <w:rPr>
          <w:sz w:val="24"/>
          <w:szCs w:val="24"/>
          <w:lang w:val="en-US"/>
        </w:rPr>
      </w:pPr>
      <w:r>
        <w:rPr>
          <w:sz w:val="24"/>
          <w:szCs w:val="24"/>
          <w:lang w:val="en-US"/>
        </w:rPr>
        <w:t>Demonstrate sulforaphane-medicated NRF2 pathway activation quantifiable through serum MDA reduction and SOD elevation.</w:t>
      </w:r>
    </w:p>
    <w:p w14:paraId="0BAEF73A" w14:textId="4C868EBC" w:rsidR="002513B1" w:rsidRDefault="002513B1" w:rsidP="002513B1">
      <w:pPr>
        <w:pStyle w:val="ListParagraph"/>
        <w:numPr>
          <w:ilvl w:val="0"/>
          <w:numId w:val="4"/>
        </w:numPr>
        <w:jc w:val="both"/>
        <w:rPr>
          <w:sz w:val="24"/>
          <w:szCs w:val="24"/>
          <w:lang w:val="en-US"/>
        </w:rPr>
      </w:pPr>
      <w:r>
        <w:rPr>
          <w:sz w:val="24"/>
          <w:szCs w:val="24"/>
          <w:lang w:val="en-US"/>
        </w:rPr>
        <w:t xml:space="preserve">Establish </w:t>
      </w:r>
      <w:proofErr w:type="spellStart"/>
      <w:r>
        <w:rPr>
          <w:sz w:val="24"/>
          <w:szCs w:val="24"/>
          <w:lang w:val="en-US"/>
        </w:rPr>
        <w:t>CardioSense</w:t>
      </w:r>
      <w:proofErr w:type="spellEnd"/>
      <w:r>
        <w:rPr>
          <w:sz w:val="24"/>
          <w:szCs w:val="24"/>
          <w:lang w:val="en-US"/>
        </w:rPr>
        <w:t xml:space="preserve"> HRV phenotyping (SDNN, RMSSD</w:t>
      </w:r>
      <w:r w:rsidR="00177FDB">
        <w:rPr>
          <w:sz w:val="24"/>
          <w:szCs w:val="24"/>
          <w:lang w:val="en-US"/>
        </w:rPr>
        <w:t>, Shannon entropy, triangular index, LF/HF ratio</w:t>
      </w:r>
      <w:r>
        <w:rPr>
          <w:sz w:val="24"/>
          <w:szCs w:val="24"/>
          <w:lang w:val="en-US"/>
        </w:rPr>
        <w:t>)</w:t>
      </w:r>
      <w:r w:rsidR="00177FDB">
        <w:rPr>
          <w:sz w:val="24"/>
          <w:szCs w:val="24"/>
          <w:lang w:val="en-US"/>
        </w:rPr>
        <w:t xml:space="preserve"> as a continuous autonomic risk biomarker in pre-symptomatic CAD.</w:t>
      </w:r>
    </w:p>
    <w:p w14:paraId="6F4751A6" w14:textId="50967992" w:rsidR="00177FDB" w:rsidRDefault="00177FDB" w:rsidP="002513B1">
      <w:pPr>
        <w:pStyle w:val="ListParagraph"/>
        <w:numPr>
          <w:ilvl w:val="0"/>
          <w:numId w:val="4"/>
        </w:numPr>
        <w:jc w:val="both"/>
        <w:rPr>
          <w:sz w:val="24"/>
          <w:szCs w:val="24"/>
          <w:lang w:val="en-US"/>
        </w:rPr>
      </w:pPr>
      <w:r>
        <w:rPr>
          <w:sz w:val="24"/>
          <w:szCs w:val="24"/>
          <w:lang w:val="en-US"/>
        </w:rPr>
        <w:t>Build and validate the HRIDAYALAYA Genomics, HRV, FABP, multi-omics, and Shannon J’ nutritional intelligence.</w:t>
      </w:r>
    </w:p>
    <w:p w14:paraId="4194AB6A" w14:textId="08B257E7" w:rsidR="00177FDB" w:rsidRDefault="00177FDB" w:rsidP="002513B1">
      <w:pPr>
        <w:pStyle w:val="ListParagraph"/>
        <w:numPr>
          <w:ilvl w:val="0"/>
          <w:numId w:val="4"/>
        </w:numPr>
        <w:jc w:val="both"/>
        <w:rPr>
          <w:sz w:val="24"/>
          <w:szCs w:val="24"/>
          <w:lang w:val="en-US"/>
        </w:rPr>
      </w:pPr>
      <w:r>
        <w:rPr>
          <w:sz w:val="24"/>
          <w:szCs w:val="24"/>
          <w:lang w:val="en-US"/>
        </w:rPr>
        <w:t>Generate district-wise epigenomic maps of CAD vulnerability across Kerala for State health policy translation.</w:t>
      </w:r>
    </w:p>
    <w:p w14:paraId="39017A01" w14:textId="465A460F" w:rsidR="00177FDB" w:rsidRPr="003C5BA0" w:rsidRDefault="00177FDB" w:rsidP="003C5BA0">
      <w:pPr>
        <w:rPr>
          <w:b/>
          <w:bCs/>
          <w:sz w:val="36"/>
          <w:szCs w:val="36"/>
          <w:lang w:val="en-US"/>
        </w:rPr>
      </w:pPr>
      <w:r w:rsidRPr="003C5BA0">
        <w:rPr>
          <w:sz w:val="24"/>
          <w:szCs w:val="24"/>
          <w:lang w:val="en-US"/>
        </w:rPr>
        <w:br w:type="page"/>
      </w:r>
      <w:r w:rsidRPr="003C5BA0">
        <w:rPr>
          <w:b/>
          <w:bCs/>
          <w:sz w:val="36"/>
          <w:szCs w:val="36"/>
          <w:lang w:val="en-US"/>
        </w:rPr>
        <w:lastRenderedPageBreak/>
        <w:t>3. INCLUSION &amp; EXCLUSION CRITERIA</w:t>
      </w:r>
    </w:p>
    <w:p w14:paraId="4C965400" w14:textId="02681803" w:rsidR="00177FDB" w:rsidRPr="003C5BA0" w:rsidRDefault="00177FDB" w:rsidP="00177FDB">
      <w:pPr>
        <w:rPr>
          <w:b/>
          <w:bCs/>
          <w:sz w:val="28"/>
          <w:szCs w:val="28"/>
          <w:lang w:val="en-US"/>
        </w:rPr>
      </w:pPr>
      <w:r w:rsidRPr="003C5BA0">
        <w:rPr>
          <w:b/>
          <w:bCs/>
          <w:sz w:val="28"/>
          <w:szCs w:val="28"/>
          <w:lang w:val="en-US"/>
        </w:rPr>
        <w:t>3.1 Inclusion Criteria --- Risk Factor Group (n = 250)</w:t>
      </w:r>
    </w:p>
    <w:p w14:paraId="0684C36D" w14:textId="5893346B" w:rsidR="00177FDB" w:rsidRDefault="00177FDB" w:rsidP="00177FDB">
      <w:pPr>
        <w:pStyle w:val="ListParagraph"/>
        <w:numPr>
          <w:ilvl w:val="0"/>
          <w:numId w:val="5"/>
        </w:numPr>
        <w:rPr>
          <w:sz w:val="24"/>
          <w:szCs w:val="24"/>
          <w:lang w:val="en-US"/>
        </w:rPr>
      </w:pPr>
      <w:r>
        <w:rPr>
          <w:sz w:val="24"/>
          <w:szCs w:val="24"/>
          <w:lang w:val="en-US"/>
        </w:rPr>
        <w:t>Age 20-40 years, either sex, Kerala domicile &gt;=5 years</w:t>
      </w:r>
    </w:p>
    <w:p w14:paraId="448B95E2" w14:textId="10E6783C" w:rsidR="00177FDB" w:rsidRDefault="00177FDB" w:rsidP="00177FDB">
      <w:pPr>
        <w:pStyle w:val="ListParagraph"/>
        <w:numPr>
          <w:ilvl w:val="0"/>
          <w:numId w:val="5"/>
        </w:numPr>
        <w:rPr>
          <w:sz w:val="24"/>
          <w:szCs w:val="24"/>
          <w:lang w:val="en-US"/>
        </w:rPr>
      </w:pPr>
      <w:r>
        <w:rPr>
          <w:sz w:val="24"/>
          <w:szCs w:val="24"/>
          <w:lang w:val="en-US"/>
        </w:rPr>
        <w:t>Presence of &gt;=1 established CAD risk factor:</w:t>
      </w:r>
    </w:p>
    <w:p w14:paraId="1E8E4B4F" w14:textId="4BA2496B" w:rsidR="00177FDB" w:rsidRDefault="00177FDB" w:rsidP="00177FDB">
      <w:pPr>
        <w:pStyle w:val="ListParagraph"/>
        <w:numPr>
          <w:ilvl w:val="1"/>
          <w:numId w:val="5"/>
        </w:numPr>
        <w:rPr>
          <w:sz w:val="24"/>
          <w:szCs w:val="24"/>
          <w:lang w:val="en-US"/>
        </w:rPr>
      </w:pPr>
      <w:r>
        <w:rPr>
          <w:sz w:val="24"/>
          <w:szCs w:val="24"/>
          <w:lang w:val="en-US"/>
        </w:rPr>
        <w:t>Hypertension: BP &gt;=130/80 mmHg on two readings OR on antihypertensive therapy</w:t>
      </w:r>
    </w:p>
    <w:p w14:paraId="7CF9AD6D" w14:textId="77777777" w:rsidR="002F11F0" w:rsidRDefault="00177FDB" w:rsidP="002F11F0">
      <w:pPr>
        <w:pStyle w:val="ListParagraph"/>
        <w:numPr>
          <w:ilvl w:val="1"/>
          <w:numId w:val="5"/>
        </w:numPr>
        <w:rPr>
          <w:sz w:val="24"/>
          <w:szCs w:val="24"/>
          <w:lang w:val="en-US"/>
        </w:rPr>
      </w:pPr>
      <w:proofErr w:type="spellStart"/>
      <w:r>
        <w:rPr>
          <w:sz w:val="24"/>
          <w:szCs w:val="24"/>
          <w:lang w:val="en-US"/>
        </w:rPr>
        <w:t>Dyslipidaemia</w:t>
      </w:r>
      <w:proofErr w:type="spellEnd"/>
      <w:r>
        <w:rPr>
          <w:sz w:val="24"/>
          <w:szCs w:val="24"/>
          <w:lang w:val="en-US"/>
        </w:rPr>
        <w:t>: LDL &gt;</w:t>
      </w:r>
      <w:r w:rsidR="002F11F0">
        <w:rPr>
          <w:sz w:val="24"/>
          <w:szCs w:val="24"/>
          <w:lang w:val="en-US"/>
        </w:rPr>
        <w:t>130 mg/dL, TG &gt;150 mg/dL, or HDL &lt;40 mg/dL</w:t>
      </w:r>
    </w:p>
    <w:p w14:paraId="774059FE" w14:textId="77777777" w:rsidR="002F11F0" w:rsidRDefault="002F11F0" w:rsidP="002F11F0">
      <w:pPr>
        <w:pStyle w:val="ListParagraph"/>
        <w:numPr>
          <w:ilvl w:val="1"/>
          <w:numId w:val="5"/>
        </w:numPr>
        <w:rPr>
          <w:sz w:val="24"/>
          <w:szCs w:val="24"/>
          <w:lang w:val="en-US"/>
        </w:rPr>
      </w:pPr>
      <w:r>
        <w:rPr>
          <w:sz w:val="24"/>
          <w:szCs w:val="24"/>
          <w:lang w:val="en-US"/>
        </w:rPr>
        <w:t>Prediabetes/Type 2 DM: FBG 100-125 mg/dL or HbA1c 5.7-6.4% (prediabetes), or diagnosed T2DM</w:t>
      </w:r>
    </w:p>
    <w:p w14:paraId="616D8E2D" w14:textId="6430C606" w:rsidR="00177FDB" w:rsidRDefault="002F11F0" w:rsidP="002F11F0">
      <w:pPr>
        <w:pStyle w:val="ListParagraph"/>
        <w:numPr>
          <w:ilvl w:val="1"/>
          <w:numId w:val="5"/>
        </w:numPr>
        <w:rPr>
          <w:sz w:val="24"/>
          <w:szCs w:val="24"/>
          <w:lang w:val="en-US"/>
        </w:rPr>
      </w:pPr>
      <w:r>
        <w:rPr>
          <w:sz w:val="24"/>
          <w:szCs w:val="24"/>
          <w:lang w:val="en-US"/>
        </w:rPr>
        <w:t>Obesity: BMI &gt;=25 kg/m</w:t>
      </w:r>
      <w:r>
        <w:rPr>
          <w:sz w:val="24"/>
          <w:szCs w:val="24"/>
          <w:vertAlign w:val="superscript"/>
          <w:lang w:val="en-US"/>
        </w:rPr>
        <w:t>2</w:t>
      </w:r>
      <w:r>
        <w:rPr>
          <w:sz w:val="24"/>
          <w:szCs w:val="24"/>
          <w:lang w:val="en-US"/>
        </w:rPr>
        <w:t xml:space="preserve"> (Asian cut-off)</w:t>
      </w:r>
      <w:r w:rsidR="00177FDB" w:rsidRPr="002F11F0">
        <w:rPr>
          <w:sz w:val="24"/>
          <w:szCs w:val="24"/>
          <w:lang w:val="en-US"/>
        </w:rPr>
        <w:t xml:space="preserve"> </w:t>
      </w:r>
      <w:r>
        <w:rPr>
          <w:sz w:val="24"/>
          <w:szCs w:val="24"/>
          <w:lang w:val="en-US"/>
        </w:rPr>
        <w:t>or waist circumference &gt;=90 cm (M) or &gt;=80 cm (F)</w:t>
      </w:r>
    </w:p>
    <w:p w14:paraId="648673A0" w14:textId="3F085641" w:rsidR="002F11F0" w:rsidRDefault="002F11F0" w:rsidP="002F11F0">
      <w:pPr>
        <w:pStyle w:val="ListParagraph"/>
        <w:numPr>
          <w:ilvl w:val="1"/>
          <w:numId w:val="5"/>
        </w:numPr>
        <w:rPr>
          <w:sz w:val="24"/>
          <w:szCs w:val="24"/>
          <w:lang w:val="en-US"/>
        </w:rPr>
      </w:pPr>
      <w:r>
        <w:rPr>
          <w:sz w:val="24"/>
          <w:szCs w:val="24"/>
          <w:lang w:val="en-US"/>
        </w:rPr>
        <w:t>Current smoker or &lt;=2 years cessation</w:t>
      </w:r>
    </w:p>
    <w:p w14:paraId="479A6481" w14:textId="465E12C3" w:rsidR="00717893" w:rsidRDefault="002F11F0" w:rsidP="00717893">
      <w:pPr>
        <w:pStyle w:val="ListParagraph"/>
        <w:numPr>
          <w:ilvl w:val="1"/>
          <w:numId w:val="5"/>
        </w:numPr>
        <w:rPr>
          <w:sz w:val="24"/>
          <w:szCs w:val="24"/>
          <w:lang w:val="en-US"/>
        </w:rPr>
      </w:pPr>
      <w:r>
        <w:rPr>
          <w:sz w:val="24"/>
          <w:szCs w:val="24"/>
          <w:lang w:val="en-US"/>
        </w:rPr>
        <w:t>Strong family history: first-degree relative with CAD &lt;55 years (M) or &lt;65 years (F)</w:t>
      </w:r>
    </w:p>
    <w:p w14:paraId="7E44A96B" w14:textId="77777777" w:rsidR="00717893" w:rsidRPr="00717893" w:rsidRDefault="00717893" w:rsidP="00717893">
      <w:pPr>
        <w:pStyle w:val="ListParagraph"/>
        <w:numPr>
          <w:ilvl w:val="0"/>
          <w:numId w:val="5"/>
        </w:numPr>
        <w:rPr>
          <w:sz w:val="24"/>
          <w:szCs w:val="24"/>
          <w:lang w:val="en-US"/>
        </w:rPr>
      </w:pPr>
      <w:r w:rsidRPr="00717893">
        <w:rPr>
          <w:sz w:val="24"/>
          <w:szCs w:val="24"/>
          <w:lang w:val="en-US"/>
        </w:rPr>
        <w:t>Willing to consume standardized microgreens 20-50 g/day for 12 months</w:t>
      </w:r>
    </w:p>
    <w:p w14:paraId="2B245F3D" w14:textId="77777777" w:rsidR="00717893" w:rsidRPr="00717893" w:rsidRDefault="00717893" w:rsidP="00717893">
      <w:pPr>
        <w:pStyle w:val="ListParagraph"/>
        <w:numPr>
          <w:ilvl w:val="0"/>
          <w:numId w:val="5"/>
        </w:numPr>
        <w:rPr>
          <w:sz w:val="24"/>
          <w:szCs w:val="24"/>
          <w:lang w:val="en-US"/>
        </w:rPr>
      </w:pPr>
      <w:r w:rsidRPr="00717893">
        <w:rPr>
          <w:sz w:val="24"/>
          <w:szCs w:val="24"/>
          <w:lang w:val="en-US"/>
        </w:rPr>
        <w:t>Able to provide informed written consent</w:t>
      </w:r>
    </w:p>
    <w:p w14:paraId="5A5E2414" w14:textId="13AE75A1" w:rsidR="00717893" w:rsidRDefault="00717893" w:rsidP="00717893">
      <w:pPr>
        <w:pStyle w:val="ListParagraph"/>
        <w:numPr>
          <w:ilvl w:val="0"/>
          <w:numId w:val="5"/>
        </w:numPr>
        <w:rPr>
          <w:sz w:val="24"/>
          <w:szCs w:val="24"/>
          <w:lang w:val="en-US"/>
        </w:rPr>
      </w:pPr>
      <w:r w:rsidRPr="00717893">
        <w:rPr>
          <w:sz w:val="24"/>
          <w:szCs w:val="24"/>
          <w:lang w:val="en-US"/>
        </w:rPr>
        <w:t xml:space="preserve">Smartphone access for </w:t>
      </w:r>
      <w:proofErr w:type="spellStart"/>
      <w:r w:rsidRPr="00717893">
        <w:rPr>
          <w:sz w:val="24"/>
          <w:szCs w:val="24"/>
          <w:lang w:val="en-US"/>
        </w:rPr>
        <w:t>CardioSense</w:t>
      </w:r>
      <w:proofErr w:type="spellEnd"/>
      <w:r w:rsidRPr="00717893">
        <w:rPr>
          <w:sz w:val="24"/>
          <w:szCs w:val="24"/>
          <w:lang w:val="en-US"/>
        </w:rPr>
        <w:t xml:space="preserve"> HRV monitoring</w:t>
      </w:r>
    </w:p>
    <w:p w14:paraId="2299F4F4" w14:textId="77777777" w:rsidR="00717893" w:rsidRDefault="00717893" w:rsidP="00717893">
      <w:pPr>
        <w:rPr>
          <w:sz w:val="24"/>
          <w:szCs w:val="24"/>
          <w:lang w:val="en-US"/>
        </w:rPr>
      </w:pPr>
    </w:p>
    <w:p w14:paraId="2CE28F43" w14:textId="77777777" w:rsidR="00717893" w:rsidRDefault="00717893" w:rsidP="00717893">
      <w:pPr>
        <w:rPr>
          <w:sz w:val="24"/>
          <w:szCs w:val="24"/>
          <w:lang w:val="en-US"/>
        </w:rPr>
      </w:pPr>
    </w:p>
    <w:p w14:paraId="0667C2CA" w14:textId="1E5EF8F0" w:rsidR="00717893" w:rsidRPr="003C5BA0" w:rsidRDefault="00717893" w:rsidP="00717893">
      <w:pPr>
        <w:rPr>
          <w:b/>
          <w:bCs/>
          <w:sz w:val="28"/>
          <w:szCs w:val="28"/>
          <w:lang w:val="en-US"/>
        </w:rPr>
      </w:pPr>
      <w:r w:rsidRPr="003C5BA0">
        <w:rPr>
          <w:b/>
          <w:bCs/>
          <w:sz w:val="28"/>
          <w:szCs w:val="28"/>
          <w:lang w:val="en-US"/>
        </w:rPr>
        <w:t>3.2 Inclusion Criteria --- Control Group (n = 250)</w:t>
      </w:r>
    </w:p>
    <w:p w14:paraId="36B53785" w14:textId="61E652F3" w:rsidR="00717893" w:rsidRDefault="00717893" w:rsidP="00717893">
      <w:pPr>
        <w:pStyle w:val="ListParagraph"/>
        <w:numPr>
          <w:ilvl w:val="0"/>
          <w:numId w:val="6"/>
        </w:numPr>
        <w:rPr>
          <w:sz w:val="24"/>
          <w:szCs w:val="24"/>
          <w:lang w:val="en-US"/>
        </w:rPr>
      </w:pPr>
      <w:r>
        <w:rPr>
          <w:sz w:val="24"/>
          <w:szCs w:val="24"/>
          <w:lang w:val="en-US"/>
        </w:rPr>
        <w:t>Age 20-40 years, matched for sex and district to risk factor participants</w:t>
      </w:r>
    </w:p>
    <w:p w14:paraId="643E31BF" w14:textId="4FA4D25D" w:rsidR="00717893" w:rsidRDefault="00717893" w:rsidP="00717893">
      <w:pPr>
        <w:pStyle w:val="ListParagraph"/>
        <w:numPr>
          <w:ilvl w:val="0"/>
          <w:numId w:val="6"/>
        </w:numPr>
        <w:rPr>
          <w:sz w:val="24"/>
          <w:szCs w:val="24"/>
          <w:lang w:val="en-US"/>
        </w:rPr>
      </w:pPr>
      <w:r>
        <w:rPr>
          <w:sz w:val="24"/>
          <w:szCs w:val="24"/>
          <w:lang w:val="en-US"/>
        </w:rPr>
        <w:t xml:space="preserve">No known hypertension, </w:t>
      </w:r>
      <w:proofErr w:type="spellStart"/>
      <w:r>
        <w:rPr>
          <w:sz w:val="24"/>
          <w:szCs w:val="24"/>
          <w:lang w:val="en-US"/>
        </w:rPr>
        <w:t>dyslipidaemia</w:t>
      </w:r>
      <w:proofErr w:type="spellEnd"/>
      <w:r>
        <w:rPr>
          <w:sz w:val="24"/>
          <w:szCs w:val="24"/>
          <w:lang w:val="en-US"/>
        </w:rPr>
        <w:t>, diabetes, or obesity</w:t>
      </w:r>
    </w:p>
    <w:p w14:paraId="55D4D404" w14:textId="6F21A890" w:rsidR="00717893" w:rsidRDefault="00717893" w:rsidP="00717893">
      <w:pPr>
        <w:pStyle w:val="ListParagraph"/>
        <w:numPr>
          <w:ilvl w:val="0"/>
          <w:numId w:val="6"/>
        </w:numPr>
        <w:rPr>
          <w:sz w:val="24"/>
          <w:szCs w:val="24"/>
          <w:lang w:val="en-US"/>
        </w:rPr>
      </w:pPr>
      <w:r>
        <w:rPr>
          <w:sz w:val="24"/>
          <w:szCs w:val="24"/>
          <w:lang w:val="en-US"/>
        </w:rPr>
        <w:t>BMI &lt;25 kg/m</w:t>
      </w:r>
      <w:r>
        <w:rPr>
          <w:sz w:val="24"/>
          <w:szCs w:val="24"/>
          <w:vertAlign w:val="superscript"/>
          <w:lang w:val="en-US"/>
        </w:rPr>
        <w:t>2</w:t>
      </w:r>
      <w:r>
        <w:rPr>
          <w:sz w:val="24"/>
          <w:szCs w:val="24"/>
          <w:lang w:val="en-US"/>
        </w:rPr>
        <w:t>, BP &lt;120/80 mmHg, FBG &lt;100 mg/dL, HbA1c &lt;5.7%</w:t>
      </w:r>
    </w:p>
    <w:p w14:paraId="07FB49B6" w14:textId="2E3BA33C" w:rsidR="00717893" w:rsidRDefault="00717893" w:rsidP="00717893">
      <w:pPr>
        <w:pStyle w:val="ListParagraph"/>
        <w:numPr>
          <w:ilvl w:val="0"/>
          <w:numId w:val="6"/>
        </w:numPr>
        <w:rPr>
          <w:sz w:val="24"/>
          <w:szCs w:val="24"/>
          <w:lang w:val="en-US"/>
        </w:rPr>
      </w:pPr>
      <w:r>
        <w:rPr>
          <w:sz w:val="24"/>
          <w:szCs w:val="24"/>
          <w:lang w:val="en-US"/>
        </w:rPr>
        <w:t>Non-smoker, no family history of premature CAD</w:t>
      </w:r>
    </w:p>
    <w:p w14:paraId="21BDCE2A" w14:textId="78019188" w:rsidR="00717893" w:rsidRDefault="00717893" w:rsidP="00717893">
      <w:pPr>
        <w:pStyle w:val="ListParagraph"/>
        <w:numPr>
          <w:ilvl w:val="0"/>
          <w:numId w:val="6"/>
        </w:numPr>
        <w:rPr>
          <w:sz w:val="24"/>
          <w:szCs w:val="24"/>
          <w:lang w:val="en-US"/>
        </w:rPr>
      </w:pPr>
      <w:r>
        <w:rPr>
          <w:sz w:val="24"/>
          <w:szCs w:val="24"/>
          <w:lang w:val="en-US"/>
        </w:rPr>
        <w:t>Willing to undergo same assessment battery</w:t>
      </w:r>
    </w:p>
    <w:p w14:paraId="6D537675" w14:textId="77777777" w:rsidR="00717893" w:rsidRDefault="00717893" w:rsidP="00717893">
      <w:pPr>
        <w:rPr>
          <w:sz w:val="24"/>
          <w:szCs w:val="24"/>
          <w:lang w:val="en-US"/>
        </w:rPr>
      </w:pPr>
    </w:p>
    <w:p w14:paraId="783AA7B6" w14:textId="55A7123E" w:rsidR="00717893" w:rsidRPr="003C5BA0" w:rsidRDefault="00717893" w:rsidP="00717893">
      <w:pPr>
        <w:rPr>
          <w:b/>
          <w:bCs/>
          <w:sz w:val="28"/>
          <w:szCs w:val="28"/>
          <w:lang w:val="en-US"/>
        </w:rPr>
      </w:pPr>
      <w:r w:rsidRPr="003C5BA0">
        <w:rPr>
          <w:b/>
          <w:bCs/>
          <w:sz w:val="28"/>
          <w:szCs w:val="28"/>
          <w:lang w:val="en-US"/>
        </w:rPr>
        <w:t>3.3 Exclusion Criteria</w:t>
      </w:r>
    </w:p>
    <w:p w14:paraId="434B1388" w14:textId="4933B7FC" w:rsidR="00717893" w:rsidRPr="00717893" w:rsidRDefault="00717893" w:rsidP="00717893">
      <w:pPr>
        <w:pStyle w:val="ListParagraph"/>
        <w:numPr>
          <w:ilvl w:val="0"/>
          <w:numId w:val="7"/>
        </w:numPr>
        <w:rPr>
          <w:b/>
          <w:bCs/>
          <w:sz w:val="24"/>
          <w:szCs w:val="24"/>
          <w:lang w:val="en-US"/>
        </w:rPr>
      </w:pPr>
      <w:r>
        <w:rPr>
          <w:sz w:val="24"/>
          <w:szCs w:val="24"/>
          <w:lang w:val="en-US"/>
        </w:rPr>
        <w:t>Established CAD: prior MI, PCI, CABG, or angiographic CAD</w:t>
      </w:r>
    </w:p>
    <w:p w14:paraId="2E9C957F" w14:textId="495638B2" w:rsidR="00717893" w:rsidRPr="005704D8" w:rsidRDefault="00717893" w:rsidP="00717893">
      <w:pPr>
        <w:pStyle w:val="ListParagraph"/>
        <w:numPr>
          <w:ilvl w:val="0"/>
          <w:numId w:val="7"/>
        </w:numPr>
        <w:rPr>
          <w:b/>
          <w:bCs/>
          <w:sz w:val="24"/>
          <w:szCs w:val="24"/>
          <w:lang w:val="en-US"/>
        </w:rPr>
      </w:pPr>
      <w:r>
        <w:rPr>
          <w:sz w:val="24"/>
          <w:szCs w:val="24"/>
          <w:lang w:val="en-US"/>
        </w:rPr>
        <w:t xml:space="preserve">Known </w:t>
      </w:r>
      <w:r w:rsidR="005704D8">
        <w:rPr>
          <w:sz w:val="24"/>
          <w:szCs w:val="24"/>
          <w:lang w:val="en-US"/>
        </w:rPr>
        <w:t>cardiomyopathy, heart failure (LVEF &lt;50%), or valvular heart disease</w:t>
      </w:r>
    </w:p>
    <w:p w14:paraId="5B07E56C" w14:textId="4536CAAD" w:rsidR="005704D8" w:rsidRPr="005704D8" w:rsidRDefault="005704D8" w:rsidP="00717893">
      <w:pPr>
        <w:pStyle w:val="ListParagraph"/>
        <w:numPr>
          <w:ilvl w:val="0"/>
          <w:numId w:val="7"/>
        </w:numPr>
        <w:rPr>
          <w:b/>
          <w:bCs/>
          <w:sz w:val="24"/>
          <w:szCs w:val="24"/>
          <w:lang w:val="en-US"/>
        </w:rPr>
      </w:pPr>
      <w:r>
        <w:rPr>
          <w:sz w:val="24"/>
          <w:szCs w:val="24"/>
          <w:lang w:val="en-US"/>
        </w:rPr>
        <w:t>Chronic kidney disease (eGFR &lt;60 mL/min/1.73m</w:t>
      </w:r>
      <w:r>
        <w:rPr>
          <w:sz w:val="24"/>
          <w:szCs w:val="24"/>
          <w:vertAlign w:val="superscript"/>
          <w:lang w:val="en-US"/>
        </w:rPr>
        <w:t>2</w:t>
      </w:r>
      <w:r>
        <w:rPr>
          <w:sz w:val="24"/>
          <w:szCs w:val="24"/>
          <w:lang w:val="en-US"/>
        </w:rPr>
        <w:t>)</w:t>
      </w:r>
    </w:p>
    <w:p w14:paraId="38B6D168" w14:textId="3848AA91" w:rsidR="005704D8" w:rsidRPr="005704D8" w:rsidRDefault="005704D8" w:rsidP="00717893">
      <w:pPr>
        <w:pStyle w:val="ListParagraph"/>
        <w:numPr>
          <w:ilvl w:val="0"/>
          <w:numId w:val="7"/>
        </w:numPr>
        <w:rPr>
          <w:b/>
          <w:bCs/>
          <w:sz w:val="24"/>
          <w:szCs w:val="24"/>
          <w:lang w:val="en-US"/>
        </w:rPr>
      </w:pPr>
      <w:r>
        <w:rPr>
          <w:sz w:val="24"/>
          <w:szCs w:val="24"/>
          <w:lang w:val="en-US"/>
        </w:rPr>
        <w:t>Liver disease (ALT/AST &gt;2x ULN)</w:t>
      </w:r>
    </w:p>
    <w:p w14:paraId="4421042B" w14:textId="20CEB179" w:rsidR="005704D8" w:rsidRPr="005704D8" w:rsidRDefault="005704D8" w:rsidP="00717893">
      <w:pPr>
        <w:pStyle w:val="ListParagraph"/>
        <w:numPr>
          <w:ilvl w:val="0"/>
          <w:numId w:val="7"/>
        </w:numPr>
        <w:rPr>
          <w:b/>
          <w:bCs/>
          <w:sz w:val="24"/>
          <w:szCs w:val="24"/>
          <w:lang w:val="en-US"/>
        </w:rPr>
      </w:pPr>
      <w:r>
        <w:rPr>
          <w:sz w:val="24"/>
          <w:szCs w:val="24"/>
          <w:lang w:val="en-US"/>
        </w:rPr>
        <w:t>Autoimmune, inflammatory, or malignant conditions</w:t>
      </w:r>
    </w:p>
    <w:p w14:paraId="729171BE" w14:textId="08AFA189" w:rsidR="005704D8" w:rsidRPr="005704D8" w:rsidRDefault="005704D8" w:rsidP="00717893">
      <w:pPr>
        <w:pStyle w:val="ListParagraph"/>
        <w:numPr>
          <w:ilvl w:val="0"/>
          <w:numId w:val="7"/>
        </w:numPr>
        <w:rPr>
          <w:b/>
          <w:bCs/>
          <w:sz w:val="24"/>
          <w:szCs w:val="24"/>
          <w:lang w:val="en-US"/>
        </w:rPr>
      </w:pPr>
      <w:r>
        <w:rPr>
          <w:sz w:val="24"/>
          <w:szCs w:val="24"/>
          <w:lang w:val="en-US"/>
        </w:rPr>
        <w:t>Thyroid disorders (uncontrolled hypothyroidism or hyperthyroidism)</w:t>
      </w:r>
    </w:p>
    <w:p w14:paraId="028459D8" w14:textId="1EDEEDD5" w:rsidR="005704D8" w:rsidRPr="005704D8" w:rsidRDefault="005704D8" w:rsidP="00717893">
      <w:pPr>
        <w:pStyle w:val="ListParagraph"/>
        <w:numPr>
          <w:ilvl w:val="0"/>
          <w:numId w:val="7"/>
        </w:numPr>
        <w:rPr>
          <w:b/>
          <w:bCs/>
          <w:sz w:val="24"/>
          <w:szCs w:val="24"/>
          <w:lang w:val="en-US"/>
        </w:rPr>
      </w:pPr>
      <w:r>
        <w:rPr>
          <w:sz w:val="24"/>
          <w:szCs w:val="24"/>
          <w:lang w:val="en-US"/>
        </w:rPr>
        <w:t>Pregnancy, lactation, or planned pregnancy within 12 months</w:t>
      </w:r>
    </w:p>
    <w:p w14:paraId="413982D0" w14:textId="2BC832D5" w:rsidR="005704D8" w:rsidRPr="005704D8" w:rsidRDefault="005704D8" w:rsidP="00717893">
      <w:pPr>
        <w:pStyle w:val="ListParagraph"/>
        <w:numPr>
          <w:ilvl w:val="0"/>
          <w:numId w:val="7"/>
        </w:numPr>
        <w:rPr>
          <w:b/>
          <w:bCs/>
          <w:sz w:val="24"/>
          <w:szCs w:val="24"/>
          <w:lang w:val="en-US"/>
        </w:rPr>
      </w:pPr>
      <w:r>
        <w:rPr>
          <w:sz w:val="24"/>
          <w:szCs w:val="24"/>
          <w:lang w:val="en-US"/>
        </w:rPr>
        <w:t>Currently on antioxidant supplements (Vitamin C &gt;500 mg/day, Vitamin E &gt;400 IU/day, NAC)</w:t>
      </w:r>
    </w:p>
    <w:p w14:paraId="16EA3479" w14:textId="37958E82" w:rsidR="005704D8" w:rsidRPr="005704D8" w:rsidRDefault="005704D8" w:rsidP="00717893">
      <w:pPr>
        <w:pStyle w:val="ListParagraph"/>
        <w:numPr>
          <w:ilvl w:val="0"/>
          <w:numId w:val="7"/>
        </w:numPr>
        <w:rPr>
          <w:b/>
          <w:bCs/>
          <w:sz w:val="24"/>
          <w:szCs w:val="24"/>
          <w:lang w:val="en-US"/>
        </w:rPr>
      </w:pPr>
      <w:r>
        <w:rPr>
          <w:sz w:val="24"/>
          <w:szCs w:val="24"/>
          <w:lang w:val="en-US"/>
        </w:rPr>
        <w:t>Known allergy to Brassica family vegetables</w:t>
      </w:r>
    </w:p>
    <w:p w14:paraId="4435AB42" w14:textId="2D684913" w:rsidR="005704D8" w:rsidRPr="003C5BA0" w:rsidRDefault="005704D8" w:rsidP="00717893">
      <w:pPr>
        <w:pStyle w:val="ListParagraph"/>
        <w:numPr>
          <w:ilvl w:val="0"/>
          <w:numId w:val="7"/>
        </w:numPr>
        <w:rPr>
          <w:b/>
          <w:bCs/>
          <w:sz w:val="24"/>
          <w:szCs w:val="24"/>
          <w:lang w:val="en-US"/>
        </w:rPr>
      </w:pPr>
      <w:r>
        <w:rPr>
          <w:sz w:val="24"/>
          <w:szCs w:val="24"/>
          <w:lang w:val="en-US"/>
        </w:rPr>
        <w:lastRenderedPageBreak/>
        <w:t>Inability to comply with dietary protocol (swallowing disorder, GI mala</w:t>
      </w:r>
      <w:r w:rsidR="003C5BA0">
        <w:rPr>
          <w:sz w:val="24"/>
          <w:szCs w:val="24"/>
          <w:lang w:val="en-US"/>
        </w:rPr>
        <w:t>bsorption</w:t>
      </w:r>
      <w:r>
        <w:rPr>
          <w:sz w:val="24"/>
          <w:szCs w:val="24"/>
          <w:lang w:val="en-US"/>
        </w:rPr>
        <w:t>)</w:t>
      </w:r>
    </w:p>
    <w:p w14:paraId="381941B0" w14:textId="78A56408" w:rsidR="005704D8" w:rsidRPr="003C5BA0" w:rsidRDefault="003C5BA0" w:rsidP="00717893">
      <w:pPr>
        <w:pStyle w:val="ListParagraph"/>
        <w:numPr>
          <w:ilvl w:val="0"/>
          <w:numId w:val="7"/>
        </w:numPr>
        <w:rPr>
          <w:b/>
          <w:bCs/>
          <w:sz w:val="24"/>
          <w:szCs w:val="24"/>
          <w:lang w:val="en-US"/>
        </w:rPr>
      </w:pPr>
      <w:r w:rsidRPr="003C5BA0">
        <w:rPr>
          <w:sz w:val="24"/>
          <w:szCs w:val="24"/>
          <w:lang w:val="en-US"/>
        </w:rPr>
        <w:t>P</w:t>
      </w:r>
      <w:r>
        <w:rPr>
          <w:sz w:val="24"/>
          <w:szCs w:val="24"/>
          <w:lang w:val="en-US"/>
        </w:rPr>
        <w:t>articipation in any other clinical trial within 6 months</w:t>
      </w:r>
    </w:p>
    <w:p w14:paraId="4783BDE4" w14:textId="7BFB811C" w:rsidR="003C5BA0" w:rsidRPr="003C5BA0" w:rsidRDefault="003C5BA0" w:rsidP="00717893">
      <w:pPr>
        <w:pStyle w:val="ListParagraph"/>
        <w:numPr>
          <w:ilvl w:val="0"/>
          <w:numId w:val="7"/>
        </w:numPr>
        <w:rPr>
          <w:b/>
          <w:bCs/>
          <w:sz w:val="24"/>
          <w:szCs w:val="24"/>
          <w:lang w:val="en-US"/>
        </w:rPr>
      </w:pPr>
      <w:r>
        <w:rPr>
          <w:sz w:val="24"/>
          <w:szCs w:val="24"/>
          <w:lang w:val="en-US"/>
        </w:rPr>
        <w:t>Psychiatric illness precluding informed consent</w:t>
      </w:r>
    </w:p>
    <w:sectPr w:rsidR="003C5BA0" w:rsidRPr="003C5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51B6"/>
    <w:multiLevelType w:val="hybridMultilevel"/>
    <w:tmpl w:val="5B1822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0E30EE"/>
    <w:multiLevelType w:val="hybridMultilevel"/>
    <w:tmpl w:val="C2CCA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BF2ED0"/>
    <w:multiLevelType w:val="hybridMultilevel"/>
    <w:tmpl w:val="26AE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B42618"/>
    <w:multiLevelType w:val="hybridMultilevel"/>
    <w:tmpl w:val="63A88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4E589A"/>
    <w:multiLevelType w:val="hybridMultilevel"/>
    <w:tmpl w:val="B89CE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4E0188"/>
    <w:multiLevelType w:val="hybridMultilevel"/>
    <w:tmpl w:val="18DC3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38672F"/>
    <w:multiLevelType w:val="hybridMultilevel"/>
    <w:tmpl w:val="E09EC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2901856">
    <w:abstractNumId w:val="1"/>
  </w:num>
  <w:num w:numId="2" w16cid:durableId="1014651070">
    <w:abstractNumId w:val="2"/>
  </w:num>
  <w:num w:numId="3" w16cid:durableId="1650358998">
    <w:abstractNumId w:val="4"/>
  </w:num>
  <w:num w:numId="4" w16cid:durableId="1612320200">
    <w:abstractNumId w:val="6"/>
  </w:num>
  <w:num w:numId="5" w16cid:durableId="232396434">
    <w:abstractNumId w:val="0"/>
  </w:num>
  <w:num w:numId="6" w16cid:durableId="1530797479">
    <w:abstractNumId w:val="5"/>
  </w:num>
  <w:num w:numId="7" w16cid:durableId="1244415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31"/>
    <w:rsid w:val="00020526"/>
    <w:rsid w:val="00177FDB"/>
    <w:rsid w:val="002513B1"/>
    <w:rsid w:val="00273A22"/>
    <w:rsid w:val="00297F10"/>
    <w:rsid w:val="002F11F0"/>
    <w:rsid w:val="00336A39"/>
    <w:rsid w:val="003633E8"/>
    <w:rsid w:val="00397385"/>
    <w:rsid w:val="003B7924"/>
    <w:rsid w:val="003C5BA0"/>
    <w:rsid w:val="00453C1E"/>
    <w:rsid w:val="00532081"/>
    <w:rsid w:val="005704D8"/>
    <w:rsid w:val="006F5681"/>
    <w:rsid w:val="00717893"/>
    <w:rsid w:val="00795C1F"/>
    <w:rsid w:val="00B625A9"/>
    <w:rsid w:val="00B85431"/>
    <w:rsid w:val="00C35D2D"/>
    <w:rsid w:val="00D27850"/>
    <w:rsid w:val="00DE7671"/>
    <w:rsid w:val="00E42D7F"/>
    <w:rsid w:val="00E54EB5"/>
    <w:rsid w:val="00F324B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544E"/>
  <w15:chartTrackingRefBased/>
  <w15:docId w15:val="{C96D4AC2-1FC4-4ACD-98D9-60DF846C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4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4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4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4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4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4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4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4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4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431"/>
    <w:rPr>
      <w:rFonts w:eastAsiaTheme="majorEastAsia" w:cstheme="majorBidi"/>
      <w:color w:val="272727" w:themeColor="text1" w:themeTint="D8"/>
    </w:rPr>
  </w:style>
  <w:style w:type="paragraph" w:styleId="Title">
    <w:name w:val="Title"/>
    <w:basedOn w:val="Normal"/>
    <w:next w:val="Normal"/>
    <w:link w:val="TitleChar"/>
    <w:uiPriority w:val="10"/>
    <w:qFormat/>
    <w:rsid w:val="00B85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431"/>
    <w:pPr>
      <w:spacing w:before="160"/>
      <w:jc w:val="center"/>
    </w:pPr>
    <w:rPr>
      <w:i/>
      <w:iCs/>
      <w:color w:val="404040" w:themeColor="text1" w:themeTint="BF"/>
    </w:rPr>
  </w:style>
  <w:style w:type="character" w:customStyle="1" w:styleId="QuoteChar">
    <w:name w:val="Quote Char"/>
    <w:basedOn w:val="DefaultParagraphFont"/>
    <w:link w:val="Quote"/>
    <w:uiPriority w:val="29"/>
    <w:rsid w:val="00B85431"/>
    <w:rPr>
      <w:i/>
      <w:iCs/>
      <w:color w:val="404040" w:themeColor="text1" w:themeTint="BF"/>
    </w:rPr>
  </w:style>
  <w:style w:type="paragraph" w:styleId="ListParagraph">
    <w:name w:val="List Paragraph"/>
    <w:basedOn w:val="Normal"/>
    <w:uiPriority w:val="34"/>
    <w:qFormat/>
    <w:rsid w:val="00B85431"/>
    <w:pPr>
      <w:ind w:left="720"/>
      <w:contextualSpacing/>
    </w:pPr>
  </w:style>
  <w:style w:type="character" w:styleId="IntenseEmphasis">
    <w:name w:val="Intense Emphasis"/>
    <w:basedOn w:val="DefaultParagraphFont"/>
    <w:uiPriority w:val="21"/>
    <w:qFormat/>
    <w:rsid w:val="00B85431"/>
    <w:rPr>
      <w:i/>
      <w:iCs/>
      <w:color w:val="2F5496" w:themeColor="accent1" w:themeShade="BF"/>
    </w:rPr>
  </w:style>
  <w:style w:type="paragraph" w:styleId="IntenseQuote">
    <w:name w:val="Intense Quote"/>
    <w:basedOn w:val="Normal"/>
    <w:next w:val="Normal"/>
    <w:link w:val="IntenseQuoteChar"/>
    <w:uiPriority w:val="30"/>
    <w:qFormat/>
    <w:rsid w:val="00B854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431"/>
    <w:rPr>
      <w:i/>
      <w:iCs/>
      <w:color w:val="2F5496" w:themeColor="accent1" w:themeShade="BF"/>
    </w:rPr>
  </w:style>
  <w:style w:type="character" w:styleId="IntenseReference">
    <w:name w:val="Intense Reference"/>
    <w:basedOn w:val="DefaultParagraphFont"/>
    <w:uiPriority w:val="32"/>
    <w:qFormat/>
    <w:rsid w:val="00B854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6</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Sukumaran</dc:creator>
  <cp:keywords/>
  <dc:description/>
  <cp:lastModifiedBy>Neeraj Sukumaran</cp:lastModifiedBy>
  <cp:revision>1</cp:revision>
  <cp:lastPrinted>2026-06-14T21:04:00Z</cp:lastPrinted>
  <dcterms:created xsi:type="dcterms:W3CDTF">2026-06-14T15:04:00Z</dcterms:created>
  <dcterms:modified xsi:type="dcterms:W3CDTF">2026-06-14T21:07:00Z</dcterms:modified>
</cp:coreProperties>
</file>