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jc w:val="center"/>
      </w:pPr>
      <w:r>
        <w:rPr>
          <w:rFonts w:ascii="Times New Roman" w:hAnsi="Times New Roman"/>
          <w:b/>
          <w:color w:val="102C57"/>
          <w:sz w:val="36"/>
        </w:rPr>
        <w:t>School of Computer Science and Engineering</w:t>
      </w:r>
    </w:p>
    <w:p>
      <w:pPr>
        <w:spacing w:before="0" w:after="60" w:line="276" w:lineRule="auto"/>
        <w:jc w:val="center"/>
      </w:pPr>
      <w:r>
        <w:rPr>
          <w:rFonts w:ascii="Times New Roman" w:hAnsi="Times New Roman"/>
          <w:b w:val="0"/>
          <w:color w:val="505050"/>
          <w:sz w:val="26"/>
        </w:rPr>
        <w:t>Fall 2026-27</w:t>
      </w:r>
    </w:p>
    <w:p>
      <w:pPr>
        <w:spacing w:before="0" w:after="60" w:line="276" w:lineRule="auto"/>
        <w:jc w:val="center"/>
      </w:pPr>
      <w:r>
        <w:rPr>
          <w:rFonts w:ascii="Times New Roman" w:hAnsi="Times New Roman"/>
          <w:b/>
          <w:color w:val="1E4678"/>
          <w:sz w:val="28"/>
        </w:rPr>
        <w:t>BCSE306L-Artificial Intelligence</w:t>
      </w:r>
    </w:p>
    <w:p>
      <w:pPr>
        <w:spacing w:before="0" w:after="280" w:line="276" w:lineRule="auto"/>
        <w:jc w:val="center"/>
      </w:pPr>
      <w:r>
        <w:rPr>
          <w:rFonts w:ascii="Times New Roman" w:hAnsi="Times New Roman"/>
          <w:b/>
          <w:color w:val="102C57"/>
          <w:sz w:val="28"/>
        </w:rPr>
        <w:t>Course Project</w:t>
      </w:r>
    </w:p>
    <w:p>
      <w:pPr>
        <w:spacing w:before="0" w:after="200"/>
        <w:jc w:val="center"/>
      </w:pPr>
      <w:r>
        <w:rPr>
          <w:rFonts w:ascii="Times New Roman" w:hAnsi="Times New Roman"/>
          <w:color w:val="B4C3D7"/>
          <w:sz w:val="20"/>
        </w:rPr>
        <w:t>----------------------------------------------------------------------</w:t>
      </w:r>
    </w:p>
    <w:p>
      <w:pPr>
        <w:keepNext/>
        <w:spacing w:before="320" w:after="120"/>
      </w:pPr>
      <w:r>
        <w:rPr>
          <w:rFonts w:ascii="Times New Roman" w:hAnsi="Times New Roman"/>
          <w:b/>
          <w:color w:val="102C57"/>
          <w:sz w:val="32"/>
        </w:rPr>
        <w:t>Title</w:t>
      </w:r>
    </w:p>
    <w:p>
      <w:pPr>
        <w:spacing w:before="80" w:after="240" w:line="300" w:lineRule="auto"/>
      </w:pPr>
      <w:r>
        <w:rPr>
          <w:rFonts w:ascii="Times New Roman" w:hAnsi="Times New Roman"/>
          <w:b/>
          <w:color w:val="141414"/>
          <w:sz w:val="28"/>
        </w:rPr>
        <w:t>AI-Based Explainable Intrusion Detection System (XAI-IDS) with Dual SHAP-LIME Interpretability and SOC Decision Support</w:t>
      </w:r>
    </w:p>
    <w:p>
      <w:pPr>
        <w:keepNext/>
        <w:spacing w:before="320" w:after="120"/>
      </w:pPr>
      <w:r>
        <w:rPr>
          <w:rFonts w:ascii="Times New Roman" w:hAnsi="Times New Roman"/>
          <w:b/>
          <w:color w:val="102C57"/>
          <w:sz w:val="32"/>
        </w:rPr>
        <w:t>Team members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89"/>
        <w:gridCol w:w="4989"/>
      </w:tblGrid>
      <w:tr>
        <w:tc>
          <w:tcPr>
            <w:tcW w:type="dxa" w:w="3168"/>
            <w:vAlign w:val="center"/>
            <w:tcMar>
              <w:top w:w="80" w:type="dxa"/>
              <w:bottom w:w="80" w:type="dxa"/>
              <w:left w:w="120" w:type="dxa"/>
              <w:right w:w="120" w:type="dxa"/>
            </w:tcMar>
            <w:shd w:val="clear" w:color="auto" w:fill="F4F6F9"/>
          </w:tcPr>
          <w:p>
            <w:pPr>
              <w:spacing w:after="0"/>
            </w:pPr>
            <w:r>
              <w:rPr>
                <w:rFonts w:ascii="Times New Roman" w:hAnsi="Times New Roman"/>
                <w:b/>
                <w:color w:val="102C57"/>
                <w:sz w:val="21"/>
              </w:rPr>
              <w:t>Student Name</w:t>
            </w:r>
          </w:p>
        </w:tc>
        <w:tc>
          <w:tcPr>
            <w:tcW w:type="dxa" w:w="6480"/>
            <w:vAlign w:val="center"/>
            <w:tcMar>
              <w:top w:w="80" w:type="dxa"/>
              <w:bottom w:w="80" w:type="dxa"/>
              <w:left w:w="120" w:type="dxa"/>
              <w:right w:w="120" w:type="dxa"/>
            </w:tcMar>
            <w:shd w:val="clear" w:color="auto" w:fill="FFFFFF"/>
          </w:tcPr>
          <w:p>
            <w:pPr>
              <w:spacing w:after="0"/>
            </w:pPr>
            <w:r>
              <w:rPr>
                <w:rFonts w:ascii="Times New Roman" w:hAnsi="Times New Roman"/>
                <w:b/>
                <w:color w:val="1E1E1E"/>
                <w:sz w:val="21"/>
              </w:rPr>
              <w:t>Neeraj Roy</w:t>
            </w:r>
          </w:p>
        </w:tc>
      </w:tr>
      <w:tr>
        <w:tc>
          <w:tcPr>
            <w:tcW w:type="dxa" w:w="3168"/>
            <w:vAlign w:val="center"/>
            <w:tcMar>
              <w:top w:w="80" w:type="dxa"/>
              <w:bottom w:w="80" w:type="dxa"/>
              <w:left w:w="120" w:type="dxa"/>
              <w:right w:w="120" w:type="dxa"/>
            </w:tcMar>
            <w:shd w:val="clear" w:color="auto" w:fill="F4F6F9"/>
          </w:tcPr>
          <w:p>
            <w:pPr>
              <w:spacing w:after="0"/>
            </w:pPr>
            <w:r>
              <w:rPr>
                <w:rFonts w:ascii="Times New Roman" w:hAnsi="Times New Roman"/>
                <w:b/>
                <w:color w:val="102C57"/>
                <w:sz w:val="21"/>
              </w:rPr>
              <w:t>Registration Number</w:t>
            </w:r>
          </w:p>
        </w:tc>
        <w:tc>
          <w:tcPr>
            <w:tcW w:type="dxa" w:w="6480"/>
            <w:vAlign w:val="center"/>
            <w:tcMar>
              <w:top w:w="80" w:type="dxa"/>
              <w:bottom w:w="80" w:type="dxa"/>
              <w:left w:w="120" w:type="dxa"/>
              <w:right w:w="120" w:type="dxa"/>
            </w:tcMar>
            <w:shd w:val="clear" w:color="auto" w:fill="FFFFFF"/>
          </w:tcPr>
          <w:p>
            <w:pPr>
              <w:spacing w:after="0"/>
            </w:pPr>
            <w:r>
              <w:rPr>
                <w:rFonts w:ascii="Times New Roman" w:hAnsi="Times New Roman"/>
                <w:b/>
                <w:color w:val="1E1E1E"/>
                <w:sz w:val="21"/>
              </w:rPr>
              <w:t>24BDS0427</w:t>
            </w:r>
          </w:p>
        </w:tc>
      </w:tr>
      <w:tr>
        <w:tc>
          <w:tcPr>
            <w:tcW w:type="dxa" w:w="3168"/>
            <w:vAlign w:val="center"/>
            <w:tcMar>
              <w:top w:w="80" w:type="dxa"/>
              <w:bottom w:w="80" w:type="dxa"/>
              <w:left w:w="120" w:type="dxa"/>
              <w:right w:w="120" w:type="dxa"/>
            </w:tcMar>
            <w:shd w:val="clear" w:color="auto" w:fill="F4F6F9"/>
          </w:tcPr>
          <w:p>
            <w:pPr>
              <w:spacing w:after="0"/>
            </w:pPr>
            <w:r>
              <w:rPr>
                <w:rFonts w:ascii="Times New Roman" w:hAnsi="Times New Roman"/>
                <w:b/>
                <w:color w:val="102C57"/>
                <w:sz w:val="21"/>
              </w:rPr>
              <w:t>Academic Programme</w:t>
            </w:r>
          </w:p>
        </w:tc>
        <w:tc>
          <w:tcPr>
            <w:tcW w:type="dxa" w:w="6480"/>
            <w:vAlign w:val="center"/>
            <w:tcMar>
              <w:top w:w="80" w:type="dxa"/>
              <w:bottom w:w="80" w:type="dxa"/>
              <w:left w:w="120" w:type="dxa"/>
              <w:right w:w="120" w:type="dxa"/>
            </w:tcMar>
            <w:shd w:val="clear" w:color="auto" w:fill="FFFFFF"/>
          </w:tcPr>
          <w:p>
            <w:pPr>
              <w:spacing w:after="0"/>
            </w:pPr>
            <w:r>
              <w:rPr>
                <w:rFonts w:ascii="Times New Roman" w:hAnsi="Times New Roman"/>
                <w:color w:val="1E1E1E"/>
                <w:sz w:val="21"/>
              </w:rPr>
              <w:t>B.Tech. Computer Science and Engineering with Specialization in Data Science</w:t>
            </w:r>
          </w:p>
        </w:tc>
      </w:tr>
      <w:tr>
        <w:tc>
          <w:tcPr>
            <w:tcW w:type="dxa" w:w="3168"/>
            <w:vAlign w:val="center"/>
            <w:tcMar>
              <w:top w:w="80" w:type="dxa"/>
              <w:bottom w:w="80" w:type="dxa"/>
              <w:left w:w="120" w:type="dxa"/>
              <w:right w:w="120" w:type="dxa"/>
            </w:tcMar>
            <w:shd w:val="clear" w:color="auto" w:fill="F4F6F9"/>
          </w:tcPr>
          <w:p>
            <w:pPr>
              <w:spacing w:after="0"/>
            </w:pPr>
            <w:r>
              <w:rPr>
                <w:rFonts w:ascii="Times New Roman" w:hAnsi="Times New Roman"/>
                <w:b/>
                <w:color w:val="102C57"/>
                <w:sz w:val="21"/>
              </w:rPr>
              <w:t>Course Code &amp; Title</w:t>
            </w:r>
          </w:p>
        </w:tc>
        <w:tc>
          <w:tcPr>
            <w:tcW w:type="dxa" w:w="6480"/>
            <w:vAlign w:val="center"/>
            <w:tcMar>
              <w:top w:w="80" w:type="dxa"/>
              <w:bottom w:w="80" w:type="dxa"/>
              <w:left w:w="120" w:type="dxa"/>
              <w:right w:w="120" w:type="dxa"/>
            </w:tcMar>
            <w:shd w:val="clear" w:color="auto" w:fill="FFFFFF"/>
          </w:tcPr>
          <w:p>
            <w:pPr>
              <w:spacing w:after="0"/>
            </w:pPr>
            <w:r>
              <w:rPr>
                <w:rFonts w:ascii="Times New Roman" w:hAnsi="Times New Roman"/>
                <w:color w:val="1E1E1E"/>
                <w:sz w:val="21"/>
              </w:rPr>
              <w:t>BCSE306L - Artificial Intelligence (Slot: C2+TC2)</w:t>
            </w:r>
          </w:p>
        </w:tc>
      </w:tr>
      <w:tr>
        <w:tc>
          <w:tcPr>
            <w:tcW w:type="dxa" w:w="3168"/>
            <w:vAlign w:val="center"/>
            <w:tcMar>
              <w:top w:w="80" w:type="dxa"/>
              <w:bottom w:w="80" w:type="dxa"/>
              <w:left w:w="120" w:type="dxa"/>
              <w:right w:w="120" w:type="dxa"/>
            </w:tcMar>
            <w:shd w:val="clear" w:color="auto" w:fill="F4F6F9"/>
          </w:tcPr>
          <w:p>
            <w:pPr>
              <w:spacing w:after="0"/>
            </w:pPr>
            <w:r>
              <w:rPr>
                <w:rFonts w:ascii="Times New Roman" w:hAnsi="Times New Roman"/>
                <w:b/>
                <w:color w:val="102C57"/>
                <w:sz w:val="21"/>
              </w:rPr>
              <w:t>Faculty In-Charge</w:t>
            </w:r>
          </w:p>
        </w:tc>
        <w:tc>
          <w:tcPr>
            <w:tcW w:type="dxa" w:w="6480"/>
            <w:vAlign w:val="center"/>
            <w:tcMar>
              <w:top w:w="80" w:type="dxa"/>
              <w:bottom w:w="80" w:type="dxa"/>
              <w:left w:w="120" w:type="dxa"/>
              <w:right w:w="120" w:type="dxa"/>
            </w:tcMar>
            <w:shd w:val="clear" w:color="auto" w:fill="FFFFFF"/>
          </w:tcPr>
          <w:p>
            <w:pPr>
              <w:spacing w:after="0"/>
            </w:pPr>
            <w:r>
              <w:rPr>
                <w:rFonts w:ascii="Times New Roman" w:hAnsi="Times New Roman"/>
                <w:b/>
                <w:color w:val="1E1E1E"/>
                <w:sz w:val="21"/>
              </w:rPr>
              <w:t>Dr. D. Anuradha</w:t>
            </w:r>
          </w:p>
        </w:tc>
      </w:tr>
      <w:tr>
        <w:tc>
          <w:tcPr>
            <w:tcW w:type="dxa" w:w="3168"/>
            <w:vAlign w:val="center"/>
            <w:tcMar>
              <w:top w:w="80" w:type="dxa"/>
              <w:bottom w:w="80" w:type="dxa"/>
              <w:left w:w="120" w:type="dxa"/>
              <w:right w:w="120" w:type="dxa"/>
            </w:tcMar>
            <w:shd w:val="clear" w:color="auto" w:fill="F4F6F9"/>
          </w:tcPr>
          <w:p>
            <w:pPr>
              <w:spacing w:after="0"/>
            </w:pPr>
            <w:r>
              <w:rPr>
                <w:rFonts w:ascii="Times New Roman" w:hAnsi="Times New Roman"/>
                <w:b/>
                <w:color w:val="102C57"/>
                <w:sz w:val="21"/>
              </w:rPr>
              <w:t>School &amp; Institution</w:t>
            </w:r>
          </w:p>
        </w:tc>
        <w:tc>
          <w:tcPr>
            <w:tcW w:type="dxa" w:w="6480"/>
            <w:vAlign w:val="center"/>
            <w:tcMar>
              <w:top w:w="80" w:type="dxa"/>
              <w:bottom w:w="80" w:type="dxa"/>
              <w:left w:w="120" w:type="dxa"/>
              <w:right w:w="120" w:type="dxa"/>
            </w:tcMar>
            <w:shd w:val="clear" w:color="auto" w:fill="FFFFFF"/>
          </w:tcPr>
          <w:p>
            <w:pPr>
              <w:spacing w:after="0"/>
            </w:pPr>
            <w:r>
              <w:rPr>
                <w:rFonts w:ascii="Times New Roman" w:hAnsi="Times New Roman"/>
                <w:color w:val="1E1E1E"/>
                <w:sz w:val="21"/>
              </w:rPr>
              <w:t>School of Computer Science and Engineering (SCOPE), Vellore Institute of Technology</w:t>
            </w:r>
          </w:p>
        </w:tc>
      </w:tr>
    </w:tbl>
    <w:p>
      <w:pPr>
        <w:keepNext/>
        <w:spacing w:before="320" w:after="120"/>
      </w:pPr>
      <w:r>
        <w:rPr>
          <w:rFonts w:ascii="Times New Roman" w:hAnsi="Times New Roman"/>
          <w:b/>
          <w:color w:val="102C57"/>
          <w:sz w:val="32"/>
        </w:rPr>
        <w:t>Abstract</w:t>
      </w:r>
    </w:p>
    <w:p>
      <w:pPr>
        <w:spacing w:before="0" w:after="120" w:line="276" w:lineRule="auto"/>
        <w:jc w:val="both"/>
      </w:pPr>
      <w:r>
        <w:rPr>
          <w:rFonts w:ascii="Times New Roman" w:hAnsi="Times New Roman"/>
          <w:color w:val="282828"/>
          <w:sz w:val="22"/>
        </w:rPr>
        <w:t>Modern enterprise computing infrastructures face an intensifying proliferation of multi-vector cyber threats, including volumetric Distributed Denial of Service (DDoS), stealthy reconnaissance port scanning, credential brute-forcing, lateral infiltration, botnet command-and-control communication, and web application exploitation. While conventional signature-based Network Intrusion Detection Systems (NIDS) such as Snort and Zeek fail against encrypted payloads, polymorphic mutations, and zero-day attack vectors, modern machine learning (ML) and deep learning (DL) classifiers deliver superior statistical detection capabilities. However, real-world deployment in enterprise Security Operations Centers (SOCs) remains severely hindered by the fundamental 'black-box' nature of these models. Automated classification alerts arrive without transparent rationales or causal justifications, leading to acute analyst alert fatigue, high false-positive paralysis, delayed incident containment, and non-compliance with strict regulatory standards including EU GDPR Article 22, HIPAA, and NIST SP 800-137.</w:t>
      </w:r>
    </w:p>
    <w:p>
      <w:pPr>
        <w:spacing w:before="0" w:after="120" w:line="276" w:lineRule="auto"/>
        <w:jc w:val="both"/>
      </w:pPr>
      <w:r>
        <w:rPr>
          <w:rFonts w:ascii="Times New Roman" w:hAnsi="Times New Roman"/>
          <w:color w:val="282828"/>
          <w:sz w:val="22"/>
        </w:rPr>
        <w:t>To bridge this critical operational and trust chasm, this project develops and benchmarks an end-to-end AI-Based Explainable Intrusion Detection System (XAI-IDS) that systematically couples high-performance multi-class predictive modeling with dual-layer Explainable Artificial Intelligence (XAI). The interpretability layer integrates TreeSHAP (SHapley Additive exPlanations) for mathematically axiomatic, game-theoretic global and local feature attribution, and LIME (Local Interpretable Model-Agnostic Explanations) for sparse linear surrogate decision boundary extraction. The framework is augmented with an interactive What-If Counterfactual Sandbox enabling Tier-1/Tier-2 security analysts to simulate payload perturbations (e.g., packet rate throttling, payload size normalization) and real-time prescriptive mitigation playbooks directly mapped to MITRE ATT&amp;CK enterprise techniques.</w:t>
      </w:r>
    </w:p>
    <w:p>
      <w:pPr>
        <w:spacing w:before="0" w:after="120" w:line="276" w:lineRule="auto"/>
        <w:jc w:val="both"/>
      </w:pPr>
      <w:r>
        <w:rPr>
          <w:rFonts w:ascii="Times New Roman" w:hAnsi="Times New Roman"/>
          <w:color w:val="282828"/>
          <w:sz w:val="22"/>
        </w:rPr>
        <w:t>The system was developed and rigorously validated using a 15,000-flow dataset modeled on the benchmark Canadian Institute for Cybersecurity (CIC-IDS2017) distribution, partitioned into stratified 68% train (10,200 flows), 12% validation (1,800 flows), and 20% held-out test (3,000 flows) splits across 29 statistical flow features and seven attack classes (BENIGN, DoS-SynFlood, DDoS-LOIC, PortScan, BruteForce-SSH, Botnet-C2, and WebAttack). Five distinct machine learning architectures were trained, tuned, and comprehensively benchmarked under identical conditions: Random Forest, Extreme Gradient Boosting (XGBoost), Deep Neural Network (Multi-Layer Perceptron), Gradient Boosting, and Logistic Regression.</w:t>
      </w:r>
    </w:p>
    <w:p>
      <w:pPr>
        <w:spacing w:before="0" w:after="120" w:line="276" w:lineRule="auto"/>
        <w:jc w:val="both"/>
      </w:pPr>
      <w:r>
        <w:rPr>
          <w:rFonts w:ascii="Times New Roman" w:hAnsi="Times New Roman"/>
          <w:color w:val="282828"/>
          <w:sz w:val="22"/>
        </w:rPr>
        <w:t>Experimental results demonstrate that tree ensemble architectures achieve an exceptional balance between detection precision and line-rate computational throughput. On the 3,000-flow held-out test set, Random Forest attained 100.00% binary accuracy, a 99.91% multi-class macro F1-score, and a 1.0000 ROC-AUC with an inference latency of 0.0158 ms per flow (63,205 flows/sec). XGBoost yielded a 99.93% macro F1-score at an ultra-low inference latency of 0.0013 ms per flow (766,126 flows/sec), establishing clear feasibility for line-rate multi-gigabit traffic inspection. Global SHAP analysis identified flow duration, packet length variance, forward packet rates, and subflow byte volume as the primary discriminators of network anomalies. The complete system is deployed as an interactive cyberpunk dark-mode SOC Analyst Web Dashboard and publicly accessible via GitHub Pages, successfully transforming opaque machine learning outputs into auditable, accountable, and actionable cyber defense intelligence.</w:t>
      </w:r>
    </w:p>
    <w:p>
      <w:pPr>
        <w:spacing w:before="80" w:after="240"/>
      </w:pPr>
      <w:r>
        <w:rPr>
          <w:rFonts w:ascii="Times New Roman" w:hAnsi="Times New Roman"/>
          <w:b/>
          <w:color w:val="102C57"/>
          <w:sz w:val="21"/>
        </w:rPr>
        <w:t xml:space="preserve">Keywords: </w:t>
      </w:r>
      <w:r>
        <w:rPr>
          <w:rFonts w:ascii="Times New Roman" w:hAnsi="Times New Roman"/>
          <w:i/>
          <w:color w:val="323232"/>
          <w:sz w:val="21"/>
        </w:rPr>
        <w:t>Explainable AI (XAI), Intrusion Detection System (IDS), TreeSHAP, LIME, Random Forest, XGBoost, Network Security, CIC-IDS2017, SOC Operations, Counterfactual Analysis.</w:t>
      </w:r>
    </w:p>
    <w:p>
      <w:pPr>
        <w:keepNext/>
        <w:spacing w:before="320" w:after="120"/>
      </w:pPr>
      <w:r>
        <w:rPr>
          <w:rFonts w:ascii="Times New Roman" w:hAnsi="Times New Roman"/>
          <w:b/>
          <w:color w:val="102C57"/>
          <w:sz w:val="32"/>
        </w:rPr>
        <w:t>Test Results</w:t>
      </w:r>
    </w:p>
    <w:p>
      <w:pPr>
        <w:keepNext/>
        <w:spacing w:before="240" w:after="80"/>
      </w:pPr>
      <w:r>
        <w:rPr>
          <w:rFonts w:ascii="Times New Roman" w:hAnsi="Times New Roman"/>
          <w:b/>
          <w:color w:val="1E4678"/>
          <w:sz w:val="26"/>
        </w:rPr>
        <w:t>1. Experimental Environment &amp; Evaluation Protocol</w:t>
      </w:r>
    </w:p>
    <w:p>
      <w:pPr>
        <w:spacing w:before="0" w:after="120" w:line="276" w:lineRule="auto"/>
        <w:jc w:val="both"/>
      </w:pPr>
      <w:r>
        <w:rPr>
          <w:rFonts w:ascii="Times New Roman" w:hAnsi="Times New Roman"/>
          <w:color w:val="282828"/>
          <w:sz w:val="22"/>
        </w:rPr>
        <w:t>The comparative experimental evaluation was executed in a strictly controlled 64-bit environment utilizing Python 3.12, Scikit-Learn 1.9.1, XGBoost 3.1.1, SHAP 0.50.0, and LIME 0.2.0.1. A total of 15,000 network flows were generated based on standard CIC-IDS2017 packet arrival distributions. The dataset was partitioned using stratified sampling into 10,200 training flows (68%), 1,800 validation flows (12%), and 3,000 held-out test flows (20%). Strict preprocessing isolation was enforced: the StandardScaler and LabelEncoder were fitted solely on training data to prevent data leakage. Model performance is assessed across standard academic criteria: Accuracy, Precision, Recall, Macro F1-Score, One-vs-Rest ROC-AUC, Training Time (seconds), Inference Latency (milliseconds per sample), and Throughput (flows per second).</w:t>
      </w:r>
    </w:p>
    <w:p>
      <w:pPr>
        <w:keepNext/>
        <w:spacing w:before="240" w:after="80"/>
      </w:pPr>
      <w:r>
        <w:rPr>
          <w:rFonts w:ascii="Times New Roman" w:hAnsi="Times New Roman"/>
          <w:b/>
          <w:color w:val="1E4678"/>
          <w:sz w:val="26"/>
        </w:rPr>
        <w:t>2. Comparative Architectural Performance Benchmark</w:t>
      </w:r>
    </w:p>
    <w:p>
      <w:pPr>
        <w:spacing w:before="0" w:after="120" w:line="276" w:lineRule="auto"/>
        <w:jc w:val="both"/>
      </w:pPr>
      <w:r>
        <w:rPr>
          <w:rFonts w:ascii="Times New Roman" w:hAnsi="Times New Roman"/>
          <w:color w:val="282828"/>
          <w:sz w:val="22"/>
        </w:rPr>
        <w:t>Table 1 outlines the comparative benchmark of the five candidate models evaluated on the held-out test set of 3,000 network flows. Both binary classification (Anomalous vs. Benign) and multi-class classification (7 fine-grained traffic classes) were systematically measured.</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247"/>
        <w:gridCol w:w="1247"/>
        <w:gridCol w:w="1247"/>
        <w:gridCol w:w="1247"/>
        <w:gridCol w:w="1247"/>
        <w:gridCol w:w="1247"/>
        <w:gridCol w:w="1247"/>
        <w:gridCol w:w="1247"/>
      </w:tblGrid>
      <w:tr>
        <w:tc>
          <w:tcPr>
            <w:tcW w:type="dxa" w:w="2592"/>
            <w:vAlign w:val="center"/>
            <w:shd w:val="clear" w:color="auto" w:fill="162C57"/>
            <w:tcMar>
              <w:top w:w="100" w:type="dxa"/>
              <w:bottom w:w="100" w:type="dxa"/>
              <w:left w:w="80" w:type="dxa"/>
              <w:right w:w="80" w:type="dxa"/>
            </w:tcMar>
          </w:tcPr>
          <w:p>
            <w:pPr>
              <w:spacing w:after="0"/>
              <w:jc w:val="center"/>
            </w:pPr>
            <w:r>
              <w:rPr>
                <w:rFonts w:ascii="Times New Roman" w:hAnsi="Times New Roman"/>
                <w:b/>
                <w:color w:val="FFFFFF"/>
                <w:sz w:val="19"/>
              </w:rPr>
              <w:t>Model Architecture</w:t>
            </w:r>
          </w:p>
        </w:tc>
        <w:tc>
          <w:tcPr>
            <w:tcW w:type="dxa" w:w="1008"/>
            <w:vAlign w:val="center"/>
            <w:shd w:val="clear" w:color="auto" w:fill="162C57"/>
            <w:tcMar>
              <w:top w:w="100" w:type="dxa"/>
              <w:bottom w:w="100" w:type="dxa"/>
              <w:left w:w="80" w:type="dxa"/>
              <w:right w:w="80" w:type="dxa"/>
            </w:tcMar>
          </w:tcPr>
          <w:p>
            <w:pPr>
              <w:spacing w:after="0"/>
              <w:jc w:val="center"/>
            </w:pPr>
            <w:r>
              <w:rPr>
                <w:rFonts w:ascii="Times New Roman" w:hAnsi="Times New Roman"/>
                <w:b/>
                <w:color w:val="FFFFFF"/>
                <w:sz w:val="19"/>
              </w:rPr>
              <w:t>Binary Acc (%)</w:t>
            </w:r>
          </w:p>
        </w:tc>
        <w:tc>
          <w:tcPr>
            <w:tcW w:type="dxa" w:w="1008"/>
            <w:vAlign w:val="center"/>
            <w:shd w:val="clear" w:color="auto" w:fill="162C57"/>
            <w:tcMar>
              <w:top w:w="100" w:type="dxa"/>
              <w:bottom w:w="100" w:type="dxa"/>
              <w:left w:w="80" w:type="dxa"/>
              <w:right w:w="80" w:type="dxa"/>
            </w:tcMar>
          </w:tcPr>
          <w:p>
            <w:pPr>
              <w:spacing w:after="0"/>
              <w:jc w:val="center"/>
            </w:pPr>
            <w:r>
              <w:rPr>
                <w:rFonts w:ascii="Times New Roman" w:hAnsi="Times New Roman"/>
                <w:b/>
                <w:color w:val="FFFFFF"/>
                <w:sz w:val="19"/>
              </w:rPr>
              <w:t>Binary F1 (%)</w:t>
            </w:r>
          </w:p>
        </w:tc>
        <w:tc>
          <w:tcPr>
            <w:tcW w:type="dxa" w:w="1008"/>
            <w:vAlign w:val="center"/>
            <w:shd w:val="clear" w:color="auto" w:fill="162C57"/>
            <w:tcMar>
              <w:top w:w="100" w:type="dxa"/>
              <w:bottom w:w="100" w:type="dxa"/>
              <w:left w:w="80" w:type="dxa"/>
              <w:right w:w="80" w:type="dxa"/>
            </w:tcMar>
          </w:tcPr>
          <w:p>
            <w:pPr>
              <w:spacing w:after="0"/>
              <w:jc w:val="center"/>
            </w:pPr>
            <w:r>
              <w:rPr>
                <w:rFonts w:ascii="Times New Roman" w:hAnsi="Times New Roman"/>
                <w:b/>
                <w:color w:val="FFFFFF"/>
                <w:sz w:val="19"/>
              </w:rPr>
              <w:t>Multi F1 (%)</w:t>
            </w:r>
          </w:p>
        </w:tc>
        <w:tc>
          <w:tcPr>
            <w:tcW w:type="dxa" w:w="936"/>
            <w:vAlign w:val="center"/>
            <w:shd w:val="clear" w:color="auto" w:fill="162C57"/>
            <w:tcMar>
              <w:top w:w="100" w:type="dxa"/>
              <w:bottom w:w="100" w:type="dxa"/>
              <w:left w:w="80" w:type="dxa"/>
              <w:right w:w="80" w:type="dxa"/>
            </w:tcMar>
          </w:tcPr>
          <w:p>
            <w:pPr>
              <w:spacing w:after="0"/>
              <w:jc w:val="center"/>
            </w:pPr>
            <w:r>
              <w:rPr>
                <w:rFonts w:ascii="Times New Roman" w:hAnsi="Times New Roman"/>
                <w:b/>
                <w:color w:val="FFFFFF"/>
                <w:sz w:val="19"/>
              </w:rPr>
              <w:t>ROC-AUC</w:t>
            </w:r>
          </w:p>
        </w:tc>
        <w:tc>
          <w:tcPr>
            <w:tcW w:type="dxa" w:w="1008"/>
            <w:vAlign w:val="center"/>
            <w:shd w:val="clear" w:color="auto" w:fill="162C57"/>
            <w:tcMar>
              <w:top w:w="100" w:type="dxa"/>
              <w:bottom w:w="100" w:type="dxa"/>
              <w:left w:w="80" w:type="dxa"/>
              <w:right w:w="80" w:type="dxa"/>
            </w:tcMar>
          </w:tcPr>
          <w:p>
            <w:pPr>
              <w:spacing w:after="0"/>
              <w:jc w:val="center"/>
            </w:pPr>
            <w:r>
              <w:rPr>
                <w:rFonts w:ascii="Times New Roman" w:hAnsi="Times New Roman"/>
                <w:b/>
                <w:color w:val="FFFFFF"/>
                <w:sz w:val="19"/>
              </w:rPr>
              <w:t>Train Time (s)</w:t>
            </w:r>
          </w:p>
        </w:tc>
        <w:tc>
          <w:tcPr>
            <w:tcW w:type="dxa" w:w="1080"/>
            <w:vAlign w:val="center"/>
            <w:shd w:val="clear" w:color="auto" w:fill="162C57"/>
            <w:tcMar>
              <w:top w:w="100" w:type="dxa"/>
              <w:bottom w:w="100" w:type="dxa"/>
              <w:left w:w="80" w:type="dxa"/>
              <w:right w:w="80" w:type="dxa"/>
            </w:tcMar>
          </w:tcPr>
          <w:p>
            <w:pPr>
              <w:spacing w:after="0"/>
              <w:jc w:val="center"/>
            </w:pPr>
            <w:r>
              <w:rPr>
                <w:rFonts w:ascii="Times New Roman" w:hAnsi="Times New Roman"/>
                <w:b/>
                <w:color w:val="FFFFFF"/>
                <w:sz w:val="19"/>
              </w:rPr>
              <w:t>Latency (ms)</w:t>
            </w:r>
          </w:p>
        </w:tc>
        <w:tc>
          <w:tcPr>
            <w:tcW w:type="dxa" w:w="1224"/>
            <w:vAlign w:val="center"/>
            <w:shd w:val="clear" w:color="auto" w:fill="162C57"/>
            <w:tcMar>
              <w:top w:w="100" w:type="dxa"/>
              <w:bottom w:w="100" w:type="dxa"/>
              <w:left w:w="80" w:type="dxa"/>
              <w:right w:w="80" w:type="dxa"/>
            </w:tcMar>
          </w:tcPr>
          <w:p>
            <w:pPr>
              <w:spacing w:after="0"/>
              <w:jc w:val="center"/>
            </w:pPr>
            <w:r>
              <w:rPr>
                <w:rFonts w:ascii="Times New Roman" w:hAnsi="Times New Roman"/>
                <w:b/>
                <w:color w:val="FFFFFF"/>
                <w:sz w:val="19"/>
              </w:rPr>
              <w:t>Throughput (f/s)</w:t>
            </w:r>
          </w:p>
        </w:tc>
      </w:tr>
      <w:tr>
        <w:tc>
          <w:tcPr>
            <w:tcW w:type="dxa" w:w="2592"/>
            <w:vAlign w:val="center"/>
            <w:shd w:val="clear" w:color="auto" w:fill="EAF2F8"/>
            <w:tcMar>
              <w:top w:w="80" w:type="dxa"/>
              <w:bottom w:w="80" w:type="dxa"/>
              <w:left w:w="80" w:type="dxa"/>
              <w:right w:w="80" w:type="dxa"/>
            </w:tcMar>
          </w:tcPr>
          <w:p>
            <w:pPr>
              <w:spacing w:after="0"/>
              <w:jc w:val="left"/>
            </w:pPr>
            <w:r>
              <w:rPr>
                <w:rFonts w:ascii="Times New Roman" w:hAnsi="Times New Roman"/>
                <w:b/>
                <w:color w:val="102C57"/>
                <w:sz w:val="19"/>
              </w:rPr>
              <w:t>Random Forest (Best Overall)</w:t>
            </w:r>
          </w:p>
        </w:tc>
        <w:tc>
          <w:tcPr>
            <w:tcW w:type="dxa" w:w="1008"/>
            <w:vAlign w:val="center"/>
            <w:shd w:val="clear" w:color="auto" w:fill="EAF2F8"/>
            <w:tcMar>
              <w:top w:w="80" w:type="dxa"/>
              <w:bottom w:w="80" w:type="dxa"/>
              <w:left w:w="80" w:type="dxa"/>
              <w:right w:w="80" w:type="dxa"/>
            </w:tcMar>
          </w:tcPr>
          <w:p>
            <w:pPr>
              <w:spacing w:after="0"/>
              <w:jc w:val="center"/>
            </w:pPr>
            <w:r>
              <w:rPr>
                <w:rFonts w:ascii="Times New Roman" w:hAnsi="Times New Roman"/>
                <w:b/>
                <w:color w:val="102C57"/>
                <w:sz w:val="19"/>
              </w:rPr>
              <w:t>100.00%</w:t>
            </w:r>
          </w:p>
        </w:tc>
        <w:tc>
          <w:tcPr>
            <w:tcW w:type="dxa" w:w="1008"/>
            <w:vAlign w:val="center"/>
            <w:shd w:val="clear" w:color="auto" w:fill="EAF2F8"/>
            <w:tcMar>
              <w:top w:w="80" w:type="dxa"/>
              <w:bottom w:w="80" w:type="dxa"/>
              <w:left w:w="80" w:type="dxa"/>
              <w:right w:w="80" w:type="dxa"/>
            </w:tcMar>
          </w:tcPr>
          <w:p>
            <w:pPr>
              <w:spacing w:after="0"/>
              <w:jc w:val="center"/>
            </w:pPr>
            <w:r>
              <w:rPr>
                <w:rFonts w:ascii="Times New Roman" w:hAnsi="Times New Roman"/>
                <w:b/>
                <w:color w:val="102C57"/>
                <w:sz w:val="19"/>
              </w:rPr>
              <w:t>100.00%</w:t>
            </w:r>
          </w:p>
        </w:tc>
        <w:tc>
          <w:tcPr>
            <w:tcW w:type="dxa" w:w="1008"/>
            <w:vAlign w:val="center"/>
            <w:shd w:val="clear" w:color="auto" w:fill="EAF2F8"/>
            <w:tcMar>
              <w:top w:w="80" w:type="dxa"/>
              <w:bottom w:w="80" w:type="dxa"/>
              <w:left w:w="80" w:type="dxa"/>
              <w:right w:w="80" w:type="dxa"/>
            </w:tcMar>
          </w:tcPr>
          <w:p>
            <w:pPr>
              <w:spacing w:after="0"/>
              <w:jc w:val="center"/>
            </w:pPr>
            <w:r>
              <w:rPr>
                <w:rFonts w:ascii="Times New Roman" w:hAnsi="Times New Roman"/>
                <w:b/>
                <w:color w:val="102C57"/>
                <w:sz w:val="19"/>
              </w:rPr>
              <w:t>99.91%</w:t>
            </w:r>
          </w:p>
        </w:tc>
        <w:tc>
          <w:tcPr>
            <w:tcW w:type="dxa" w:w="936"/>
            <w:vAlign w:val="center"/>
            <w:shd w:val="clear" w:color="auto" w:fill="EAF2F8"/>
            <w:tcMar>
              <w:top w:w="80" w:type="dxa"/>
              <w:bottom w:w="80" w:type="dxa"/>
              <w:left w:w="80" w:type="dxa"/>
              <w:right w:w="80" w:type="dxa"/>
            </w:tcMar>
          </w:tcPr>
          <w:p>
            <w:pPr>
              <w:spacing w:after="0"/>
              <w:jc w:val="center"/>
            </w:pPr>
            <w:r>
              <w:rPr>
                <w:rFonts w:ascii="Times New Roman" w:hAnsi="Times New Roman"/>
                <w:b/>
                <w:color w:val="102C57"/>
                <w:sz w:val="19"/>
              </w:rPr>
              <w:t>1.0000</w:t>
            </w:r>
          </w:p>
        </w:tc>
        <w:tc>
          <w:tcPr>
            <w:tcW w:type="dxa" w:w="1008"/>
            <w:vAlign w:val="center"/>
            <w:shd w:val="clear" w:color="auto" w:fill="EAF2F8"/>
            <w:tcMar>
              <w:top w:w="80" w:type="dxa"/>
              <w:bottom w:w="80" w:type="dxa"/>
              <w:left w:w="80" w:type="dxa"/>
              <w:right w:w="80" w:type="dxa"/>
            </w:tcMar>
          </w:tcPr>
          <w:p>
            <w:pPr>
              <w:spacing w:after="0"/>
              <w:jc w:val="center"/>
            </w:pPr>
            <w:r>
              <w:rPr>
                <w:rFonts w:ascii="Times New Roman" w:hAnsi="Times New Roman"/>
                <w:b/>
                <w:color w:val="102C57"/>
                <w:sz w:val="19"/>
              </w:rPr>
              <w:t>0.402 s</w:t>
            </w:r>
          </w:p>
        </w:tc>
        <w:tc>
          <w:tcPr>
            <w:tcW w:type="dxa" w:w="1080"/>
            <w:vAlign w:val="center"/>
            <w:shd w:val="clear" w:color="auto" w:fill="EAF2F8"/>
            <w:tcMar>
              <w:top w:w="80" w:type="dxa"/>
              <w:bottom w:w="80" w:type="dxa"/>
              <w:left w:w="80" w:type="dxa"/>
              <w:right w:w="80" w:type="dxa"/>
            </w:tcMar>
          </w:tcPr>
          <w:p>
            <w:pPr>
              <w:spacing w:after="0"/>
              <w:jc w:val="center"/>
            </w:pPr>
            <w:r>
              <w:rPr>
                <w:rFonts w:ascii="Times New Roman" w:hAnsi="Times New Roman"/>
                <w:b/>
                <w:color w:val="102C57"/>
                <w:sz w:val="19"/>
              </w:rPr>
              <w:t>0.0158 ms</w:t>
            </w:r>
          </w:p>
        </w:tc>
        <w:tc>
          <w:tcPr>
            <w:tcW w:type="dxa" w:w="1224"/>
            <w:vAlign w:val="center"/>
            <w:shd w:val="clear" w:color="auto" w:fill="EAF2F8"/>
            <w:tcMar>
              <w:top w:w="80" w:type="dxa"/>
              <w:bottom w:w="80" w:type="dxa"/>
              <w:left w:w="80" w:type="dxa"/>
              <w:right w:w="80" w:type="dxa"/>
            </w:tcMar>
          </w:tcPr>
          <w:p>
            <w:pPr>
              <w:spacing w:after="0"/>
              <w:jc w:val="center"/>
            </w:pPr>
            <w:r>
              <w:rPr>
                <w:rFonts w:ascii="Times New Roman" w:hAnsi="Times New Roman"/>
                <w:b/>
                <w:color w:val="102C57"/>
                <w:sz w:val="19"/>
              </w:rPr>
              <w:t>63,206 f/s</w:t>
            </w:r>
          </w:p>
        </w:tc>
      </w:tr>
      <w:tr>
        <w:tc>
          <w:tcPr>
            <w:tcW w:type="dxa" w:w="2592"/>
            <w:vAlign w:val="center"/>
            <w:shd w:val="clear" w:color="auto" w:fill="F8FAFC"/>
            <w:tcMar>
              <w:top w:w="80" w:type="dxa"/>
              <w:bottom w:w="80" w:type="dxa"/>
              <w:left w:w="80" w:type="dxa"/>
              <w:right w:w="80" w:type="dxa"/>
            </w:tcMar>
          </w:tcPr>
          <w:p>
            <w:pPr>
              <w:spacing w:after="0"/>
              <w:jc w:val="left"/>
            </w:pPr>
            <w:r>
              <w:rPr>
                <w:rFonts w:ascii="Times New Roman" w:hAnsi="Times New Roman"/>
                <w:b/>
                <w:color w:val="282828"/>
                <w:sz w:val="19"/>
              </w:rPr>
              <w:t>XGBoost Classifier</w:t>
            </w:r>
          </w:p>
        </w:tc>
        <w:tc>
          <w:tcPr>
            <w:tcW w:type="dxa" w:w="1008"/>
            <w:vAlign w:val="center"/>
            <w:shd w:val="clear" w:color="auto" w:fill="F8FAFC"/>
            <w:tcMar>
              <w:top w:w="80" w:type="dxa"/>
              <w:bottom w:w="80" w:type="dxa"/>
              <w:left w:w="80" w:type="dxa"/>
              <w:right w:w="80" w:type="dxa"/>
            </w:tcMar>
          </w:tcPr>
          <w:p>
            <w:pPr>
              <w:spacing w:after="0"/>
              <w:jc w:val="center"/>
            </w:pPr>
            <w:r>
              <w:rPr>
                <w:rFonts w:ascii="Times New Roman" w:hAnsi="Times New Roman"/>
                <w:color w:val="282828"/>
                <w:sz w:val="19"/>
              </w:rPr>
              <w:t>99.93%</w:t>
            </w:r>
          </w:p>
        </w:tc>
        <w:tc>
          <w:tcPr>
            <w:tcW w:type="dxa" w:w="1008"/>
            <w:vAlign w:val="center"/>
            <w:shd w:val="clear" w:color="auto" w:fill="F8FAFC"/>
            <w:tcMar>
              <w:top w:w="80" w:type="dxa"/>
              <w:bottom w:w="80" w:type="dxa"/>
              <w:left w:w="80" w:type="dxa"/>
              <w:right w:w="80" w:type="dxa"/>
            </w:tcMar>
          </w:tcPr>
          <w:p>
            <w:pPr>
              <w:spacing w:after="0"/>
              <w:jc w:val="center"/>
            </w:pPr>
            <w:r>
              <w:rPr>
                <w:rFonts w:ascii="Times New Roman" w:hAnsi="Times New Roman"/>
                <w:color w:val="282828"/>
                <w:sz w:val="19"/>
              </w:rPr>
              <w:t>99.93%</w:t>
            </w:r>
          </w:p>
        </w:tc>
        <w:tc>
          <w:tcPr>
            <w:tcW w:type="dxa" w:w="1008"/>
            <w:vAlign w:val="center"/>
            <w:shd w:val="clear" w:color="auto" w:fill="F8FAFC"/>
            <w:tcMar>
              <w:top w:w="80" w:type="dxa"/>
              <w:bottom w:w="80" w:type="dxa"/>
              <w:left w:w="80" w:type="dxa"/>
              <w:right w:w="80" w:type="dxa"/>
            </w:tcMar>
          </w:tcPr>
          <w:p>
            <w:pPr>
              <w:spacing w:after="0"/>
              <w:jc w:val="center"/>
            </w:pPr>
            <w:r>
              <w:rPr>
                <w:rFonts w:ascii="Times New Roman" w:hAnsi="Times New Roman"/>
                <w:color w:val="282828"/>
                <w:sz w:val="19"/>
              </w:rPr>
              <w:t>99.91%</w:t>
            </w:r>
          </w:p>
        </w:tc>
        <w:tc>
          <w:tcPr>
            <w:tcW w:type="dxa" w:w="936"/>
            <w:vAlign w:val="center"/>
            <w:shd w:val="clear" w:color="auto" w:fill="F8FAFC"/>
            <w:tcMar>
              <w:top w:w="80" w:type="dxa"/>
              <w:bottom w:w="80" w:type="dxa"/>
              <w:left w:w="80" w:type="dxa"/>
              <w:right w:w="80" w:type="dxa"/>
            </w:tcMar>
          </w:tcPr>
          <w:p>
            <w:pPr>
              <w:spacing w:after="0"/>
              <w:jc w:val="center"/>
            </w:pPr>
            <w:r>
              <w:rPr>
                <w:rFonts w:ascii="Times New Roman" w:hAnsi="Times New Roman"/>
                <w:color w:val="282828"/>
                <w:sz w:val="19"/>
              </w:rPr>
              <w:t>1.0000</w:t>
            </w:r>
          </w:p>
        </w:tc>
        <w:tc>
          <w:tcPr>
            <w:tcW w:type="dxa" w:w="1008"/>
            <w:vAlign w:val="center"/>
            <w:shd w:val="clear" w:color="auto" w:fill="F8FAFC"/>
            <w:tcMar>
              <w:top w:w="80" w:type="dxa"/>
              <w:bottom w:w="80" w:type="dxa"/>
              <w:left w:w="80" w:type="dxa"/>
              <w:right w:w="80" w:type="dxa"/>
            </w:tcMar>
          </w:tcPr>
          <w:p>
            <w:pPr>
              <w:spacing w:after="0"/>
              <w:jc w:val="center"/>
            </w:pPr>
            <w:r>
              <w:rPr>
                <w:rFonts w:ascii="Times New Roman" w:hAnsi="Times New Roman"/>
                <w:color w:val="282828"/>
                <w:sz w:val="19"/>
              </w:rPr>
              <w:t>0.442 s</w:t>
            </w:r>
          </w:p>
        </w:tc>
        <w:tc>
          <w:tcPr>
            <w:tcW w:type="dxa" w:w="1080"/>
            <w:vAlign w:val="center"/>
            <w:shd w:val="clear" w:color="auto" w:fill="F8FAFC"/>
            <w:tcMar>
              <w:top w:w="80" w:type="dxa"/>
              <w:bottom w:w="80" w:type="dxa"/>
              <w:left w:w="80" w:type="dxa"/>
              <w:right w:w="80" w:type="dxa"/>
            </w:tcMar>
          </w:tcPr>
          <w:p>
            <w:pPr>
              <w:spacing w:after="0"/>
              <w:jc w:val="center"/>
            </w:pPr>
            <w:r>
              <w:rPr>
                <w:rFonts w:ascii="Times New Roman" w:hAnsi="Times New Roman"/>
                <w:color w:val="282828"/>
                <w:sz w:val="19"/>
              </w:rPr>
              <w:t>0.0013 ms</w:t>
            </w:r>
          </w:p>
        </w:tc>
        <w:tc>
          <w:tcPr>
            <w:tcW w:type="dxa" w:w="1224"/>
            <w:vAlign w:val="center"/>
            <w:shd w:val="clear" w:color="auto" w:fill="F8FAFC"/>
            <w:tcMar>
              <w:top w:w="80" w:type="dxa"/>
              <w:bottom w:w="80" w:type="dxa"/>
              <w:left w:w="80" w:type="dxa"/>
              <w:right w:w="80" w:type="dxa"/>
            </w:tcMar>
          </w:tcPr>
          <w:p>
            <w:pPr>
              <w:spacing w:after="0"/>
              <w:jc w:val="center"/>
            </w:pPr>
            <w:r>
              <w:rPr>
                <w:rFonts w:ascii="Times New Roman" w:hAnsi="Times New Roman"/>
                <w:color w:val="282828"/>
                <w:sz w:val="19"/>
              </w:rPr>
              <w:t>766,127 f/s</w:t>
            </w:r>
          </w:p>
        </w:tc>
      </w:tr>
      <w:tr>
        <w:tc>
          <w:tcPr>
            <w:tcW w:type="dxa" w:w="2592"/>
            <w:vAlign w:val="center"/>
            <w:shd w:val="clear" w:color="auto" w:fill="FFFFFF"/>
            <w:tcMar>
              <w:top w:w="80" w:type="dxa"/>
              <w:bottom w:w="80" w:type="dxa"/>
              <w:left w:w="80" w:type="dxa"/>
              <w:right w:w="80" w:type="dxa"/>
            </w:tcMar>
          </w:tcPr>
          <w:p>
            <w:pPr>
              <w:spacing w:after="0"/>
              <w:jc w:val="left"/>
            </w:pPr>
            <w:r>
              <w:rPr>
                <w:rFonts w:ascii="Times New Roman" w:hAnsi="Times New Roman"/>
                <w:b/>
                <w:color w:val="282828"/>
                <w:sz w:val="19"/>
              </w:rPr>
              <w:t>Deep Neural Network (MLP)</w:t>
            </w:r>
          </w:p>
        </w:tc>
        <w:tc>
          <w:tcPr>
            <w:tcW w:type="dxa" w:w="1008"/>
            <w:vAlign w:val="center"/>
            <w:shd w:val="clear" w:color="auto" w:fill="FFFFFF"/>
            <w:tcMar>
              <w:top w:w="80" w:type="dxa"/>
              <w:bottom w:w="80" w:type="dxa"/>
              <w:left w:w="80" w:type="dxa"/>
              <w:right w:w="80" w:type="dxa"/>
            </w:tcMar>
          </w:tcPr>
          <w:p>
            <w:pPr>
              <w:spacing w:after="0"/>
              <w:jc w:val="center"/>
            </w:pPr>
            <w:r>
              <w:rPr>
                <w:rFonts w:ascii="Times New Roman" w:hAnsi="Times New Roman"/>
                <w:color w:val="282828"/>
                <w:sz w:val="19"/>
              </w:rPr>
              <w:t>100.00%</w:t>
            </w:r>
          </w:p>
        </w:tc>
        <w:tc>
          <w:tcPr>
            <w:tcW w:type="dxa" w:w="1008"/>
            <w:vAlign w:val="center"/>
            <w:shd w:val="clear" w:color="auto" w:fill="FFFFFF"/>
            <w:tcMar>
              <w:top w:w="80" w:type="dxa"/>
              <w:bottom w:w="80" w:type="dxa"/>
              <w:left w:w="80" w:type="dxa"/>
              <w:right w:w="80" w:type="dxa"/>
            </w:tcMar>
          </w:tcPr>
          <w:p>
            <w:pPr>
              <w:spacing w:after="0"/>
              <w:jc w:val="center"/>
            </w:pPr>
            <w:r>
              <w:rPr>
                <w:rFonts w:ascii="Times New Roman" w:hAnsi="Times New Roman"/>
                <w:color w:val="282828"/>
                <w:sz w:val="19"/>
              </w:rPr>
              <w:t>100.00%</w:t>
            </w:r>
          </w:p>
        </w:tc>
        <w:tc>
          <w:tcPr>
            <w:tcW w:type="dxa" w:w="1008"/>
            <w:vAlign w:val="center"/>
            <w:shd w:val="clear" w:color="auto" w:fill="FFFFFF"/>
            <w:tcMar>
              <w:top w:w="80" w:type="dxa"/>
              <w:bottom w:w="80" w:type="dxa"/>
              <w:left w:w="80" w:type="dxa"/>
              <w:right w:w="80" w:type="dxa"/>
            </w:tcMar>
          </w:tcPr>
          <w:p>
            <w:pPr>
              <w:spacing w:after="0"/>
              <w:jc w:val="center"/>
            </w:pPr>
            <w:r>
              <w:rPr>
                <w:rFonts w:ascii="Times New Roman" w:hAnsi="Times New Roman"/>
                <w:color w:val="282828"/>
                <w:sz w:val="19"/>
              </w:rPr>
              <w:t>99.40%</w:t>
            </w:r>
          </w:p>
        </w:tc>
        <w:tc>
          <w:tcPr>
            <w:tcW w:type="dxa" w:w="936"/>
            <w:vAlign w:val="center"/>
            <w:shd w:val="clear" w:color="auto" w:fill="FFFFFF"/>
            <w:tcMar>
              <w:top w:w="80" w:type="dxa"/>
              <w:bottom w:w="80" w:type="dxa"/>
              <w:left w:w="80" w:type="dxa"/>
              <w:right w:w="80" w:type="dxa"/>
            </w:tcMar>
          </w:tcPr>
          <w:p>
            <w:pPr>
              <w:spacing w:after="0"/>
              <w:jc w:val="center"/>
            </w:pPr>
            <w:r>
              <w:rPr>
                <w:rFonts w:ascii="Times New Roman" w:hAnsi="Times New Roman"/>
                <w:color w:val="282828"/>
                <w:sz w:val="19"/>
              </w:rPr>
              <w:t>1.0000</w:t>
            </w:r>
          </w:p>
        </w:tc>
        <w:tc>
          <w:tcPr>
            <w:tcW w:type="dxa" w:w="1008"/>
            <w:vAlign w:val="center"/>
            <w:shd w:val="clear" w:color="auto" w:fill="FFFFFF"/>
            <w:tcMar>
              <w:top w:w="80" w:type="dxa"/>
              <w:bottom w:w="80" w:type="dxa"/>
              <w:left w:w="80" w:type="dxa"/>
              <w:right w:w="80" w:type="dxa"/>
            </w:tcMar>
          </w:tcPr>
          <w:p>
            <w:pPr>
              <w:spacing w:after="0"/>
              <w:jc w:val="center"/>
            </w:pPr>
            <w:r>
              <w:rPr>
                <w:rFonts w:ascii="Times New Roman" w:hAnsi="Times New Roman"/>
                <w:color w:val="282828"/>
                <w:sz w:val="19"/>
              </w:rPr>
              <w:t>1.540 s</w:t>
            </w:r>
          </w:p>
        </w:tc>
        <w:tc>
          <w:tcPr>
            <w:tcW w:type="dxa" w:w="1080"/>
            <w:vAlign w:val="center"/>
            <w:shd w:val="clear" w:color="auto" w:fill="FFFFFF"/>
            <w:tcMar>
              <w:top w:w="80" w:type="dxa"/>
              <w:bottom w:w="80" w:type="dxa"/>
              <w:left w:w="80" w:type="dxa"/>
              <w:right w:w="80" w:type="dxa"/>
            </w:tcMar>
          </w:tcPr>
          <w:p>
            <w:pPr>
              <w:spacing w:after="0"/>
              <w:jc w:val="center"/>
            </w:pPr>
            <w:r>
              <w:rPr>
                <w:rFonts w:ascii="Times New Roman" w:hAnsi="Times New Roman"/>
                <w:color w:val="282828"/>
                <w:sz w:val="19"/>
              </w:rPr>
              <w:t>0.0016 ms</w:t>
            </w:r>
          </w:p>
        </w:tc>
        <w:tc>
          <w:tcPr>
            <w:tcW w:type="dxa" w:w="1224"/>
            <w:vAlign w:val="center"/>
            <w:shd w:val="clear" w:color="auto" w:fill="FFFFFF"/>
            <w:tcMar>
              <w:top w:w="80" w:type="dxa"/>
              <w:bottom w:w="80" w:type="dxa"/>
              <w:left w:w="80" w:type="dxa"/>
              <w:right w:w="80" w:type="dxa"/>
            </w:tcMar>
          </w:tcPr>
          <w:p>
            <w:pPr>
              <w:spacing w:after="0"/>
              <w:jc w:val="center"/>
            </w:pPr>
            <w:r>
              <w:rPr>
                <w:rFonts w:ascii="Times New Roman" w:hAnsi="Times New Roman"/>
                <w:color w:val="282828"/>
                <w:sz w:val="19"/>
              </w:rPr>
              <w:t>609,843 f/s</w:t>
            </w:r>
          </w:p>
        </w:tc>
      </w:tr>
      <w:tr>
        <w:tc>
          <w:tcPr>
            <w:tcW w:type="dxa" w:w="2592"/>
            <w:vAlign w:val="center"/>
            <w:shd w:val="clear" w:color="auto" w:fill="F8FAFC"/>
            <w:tcMar>
              <w:top w:w="80" w:type="dxa"/>
              <w:bottom w:w="80" w:type="dxa"/>
              <w:left w:w="80" w:type="dxa"/>
              <w:right w:w="80" w:type="dxa"/>
            </w:tcMar>
          </w:tcPr>
          <w:p>
            <w:pPr>
              <w:spacing w:after="0"/>
              <w:jc w:val="left"/>
            </w:pPr>
            <w:r>
              <w:rPr>
                <w:rFonts w:ascii="Times New Roman" w:hAnsi="Times New Roman"/>
                <w:b/>
                <w:color w:val="282828"/>
                <w:sz w:val="19"/>
              </w:rPr>
              <w:t>Gradient Boosting Classifier</w:t>
            </w:r>
          </w:p>
        </w:tc>
        <w:tc>
          <w:tcPr>
            <w:tcW w:type="dxa" w:w="1008"/>
            <w:vAlign w:val="center"/>
            <w:shd w:val="clear" w:color="auto" w:fill="F8FAFC"/>
            <w:tcMar>
              <w:top w:w="80" w:type="dxa"/>
              <w:bottom w:w="80" w:type="dxa"/>
              <w:left w:w="80" w:type="dxa"/>
              <w:right w:w="80" w:type="dxa"/>
            </w:tcMar>
          </w:tcPr>
          <w:p>
            <w:pPr>
              <w:spacing w:after="0"/>
              <w:jc w:val="center"/>
            </w:pPr>
            <w:r>
              <w:rPr>
                <w:rFonts w:ascii="Times New Roman" w:hAnsi="Times New Roman"/>
                <w:color w:val="282828"/>
                <w:sz w:val="19"/>
              </w:rPr>
              <w:t>99.90%</w:t>
            </w:r>
          </w:p>
        </w:tc>
        <w:tc>
          <w:tcPr>
            <w:tcW w:type="dxa" w:w="1008"/>
            <w:vAlign w:val="center"/>
            <w:shd w:val="clear" w:color="auto" w:fill="F8FAFC"/>
            <w:tcMar>
              <w:top w:w="80" w:type="dxa"/>
              <w:bottom w:w="80" w:type="dxa"/>
              <w:left w:w="80" w:type="dxa"/>
              <w:right w:w="80" w:type="dxa"/>
            </w:tcMar>
          </w:tcPr>
          <w:p>
            <w:pPr>
              <w:spacing w:after="0"/>
              <w:jc w:val="center"/>
            </w:pPr>
            <w:r>
              <w:rPr>
                <w:rFonts w:ascii="Times New Roman" w:hAnsi="Times New Roman"/>
                <w:color w:val="282828"/>
                <w:sz w:val="19"/>
              </w:rPr>
              <w:t>99.90%</w:t>
            </w:r>
          </w:p>
        </w:tc>
        <w:tc>
          <w:tcPr>
            <w:tcW w:type="dxa" w:w="1008"/>
            <w:vAlign w:val="center"/>
            <w:shd w:val="clear" w:color="auto" w:fill="F8FAFC"/>
            <w:tcMar>
              <w:top w:w="80" w:type="dxa"/>
              <w:bottom w:w="80" w:type="dxa"/>
              <w:left w:w="80" w:type="dxa"/>
              <w:right w:w="80" w:type="dxa"/>
            </w:tcMar>
          </w:tcPr>
          <w:p>
            <w:pPr>
              <w:spacing w:after="0"/>
              <w:jc w:val="center"/>
            </w:pPr>
            <w:r>
              <w:rPr>
                <w:rFonts w:ascii="Times New Roman" w:hAnsi="Times New Roman"/>
                <w:color w:val="282828"/>
                <w:sz w:val="19"/>
              </w:rPr>
              <w:t>100.00%</w:t>
            </w:r>
          </w:p>
        </w:tc>
        <w:tc>
          <w:tcPr>
            <w:tcW w:type="dxa" w:w="936"/>
            <w:vAlign w:val="center"/>
            <w:shd w:val="clear" w:color="auto" w:fill="F8FAFC"/>
            <w:tcMar>
              <w:top w:w="80" w:type="dxa"/>
              <w:bottom w:w="80" w:type="dxa"/>
              <w:left w:w="80" w:type="dxa"/>
              <w:right w:w="80" w:type="dxa"/>
            </w:tcMar>
          </w:tcPr>
          <w:p>
            <w:pPr>
              <w:spacing w:after="0"/>
              <w:jc w:val="center"/>
            </w:pPr>
            <w:r>
              <w:rPr>
                <w:rFonts w:ascii="Times New Roman" w:hAnsi="Times New Roman"/>
                <w:color w:val="282828"/>
                <w:sz w:val="19"/>
              </w:rPr>
              <w:t>1.0000</w:t>
            </w:r>
          </w:p>
        </w:tc>
        <w:tc>
          <w:tcPr>
            <w:tcW w:type="dxa" w:w="1008"/>
            <w:vAlign w:val="center"/>
            <w:shd w:val="clear" w:color="auto" w:fill="F8FAFC"/>
            <w:tcMar>
              <w:top w:w="80" w:type="dxa"/>
              <w:bottom w:w="80" w:type="dxa"/>
              <w:left w:w="80" w:type="dxa"/>
              <w:right w:w="80" w:type="dxa"/>
            </w:tcMar>
          </w:tcPr>
          <w:p>
            <w:pPr>
              <w:spacing w:after="0"/>
              <w:jc w:val="center"/>
            </w:pPr>
            <w:r>
              <w:rPr>
                <w:rFonts w:ascii="Times New Roman" w:hAnsi="Times New Roman"/>
                <w:color w:val="282828"/>
                <w:sz w:val="19"/>
              </w:rPr>
              <w:t>6.064 s</w:t>
            </w:r>
          </w:p>
        </w:tc>
        <w:tc>
          <w:tcPr>
            <w:tcW w:type="dxa" w:w="1080"/>
            <w:vAlign w:val="center"/>
            <w:shd w:val="clear" w:color="auto" w:fill="F8FAFC"/>
            <w:tcMar>
              <w:top w:w="80" w:type="dxa"/>
              <w:bottom w:w="80" w:type="dxa"/>
              <w:left w:w="80" w:type="dxa"/>
              <w:right w:w="80" w:type="dxa"/>
            </w:tcMar>
          </w:tcPr>
          <w:p>
            <w:pPr>
              <w:spacing w:after="0"/>
              <w:jc w:val="center"/>
            </w:pPr>
            <w:r>
              <w:rPr>
                <w:rFonts w:ascii="Times New Roman" w:hAnsi="Times New Roman"/>
                <w:color w:val="282828"/>
                <w:sz w:val="19"/>
              </w:rPr>
              <w:t>0.0020 ms</w:t>
            </w:r>
          </w:p>
        </w:tc>
        <w:tc>
          <w:tcPr>
            <w:tcW w:type="dxa" w:w="1224"/>
            <w:vAlign w:val="center"/>
            <w:shd w:val="clear" w:color="auto" w:fill="F8FAFC"/>
            <w:tcMar>
              <w:top w:w="80" w:type="dxa"/>
              <w:bottom w:w="80" w:type="dxa"/>
              <w:left w:w="80" w:type="dxa"/>
              <w:right w:w="80" w:type="dxa"/>
            </w:tcMar>
          </w:tcPr>
          <w:p>
            <w:pPr>
              <w:spacing w:after="0"/>
              <w:jc w:val="center"/>
            </w:pPr>
            <w:r>
              <w:rPr>
                <w:rFonts w:ascii="Times New Roman" w:hAnsi="Times New Roman"/>
                <w:color w:val="282828"/>
                <w:sz w:val="19"/>
              </w:rPr>
              <w:t>499,725 f/s</w:t>
            </w:r>
          </w:p>
        </w:tc>
      </w:tr>
      <w:tr>
        <w:tc>
          <w:tcPr>
            <w:tcW w:type="dxa" w:w="2592"/>
            <w:vAlign w:val="center"/>
            <w:shd w:val="clear" w:color="auto" w:fill="FFFFFF"/>
            <w:tcMar>
              <w:top w:w="80" w:type="dxa"/>
              <w:bottom w:w="80" w:type="dxa"/>
              <w:left w:w="80" w:type="dxa"/>
              <w:right w:w="80" w:type="dxa"/>
            </w:tcMar>
          </w:tcPr>
          <w:p>
            <w:pPr>
              <w:spacing w:after="0"/>
              <w:jc w:val="left"/>
            </w:pPr>
            <w:r>
              <w:rPr>
                <w:rFonts w:ascii="Times New Roman" w:hAnsi="Times New Roman"/>
                <w:b/>
                <w:color w:val="282828"/>
                <w:sz w:val="19"/>
              </w:rPr>
              <w:t>Logistic Regression (Baseline)</w:t>
            </w:r>
          </w:p>
        </w:tc>
        <w:tc>
          <w:tcPr>
            <w:tcW w:type="dxa" w:w="1008"/>
            <w:vAlign w:val="center"/>
            <w:shd w:val="clear" w:color="auto" w:fill="FFFFFF"/>
            <w:tcMar>
              <w:top w:w="80" w:type="dxa"/>
              <w:bottom w:w="80" w:type="dxa"/>
              <w:left w:w="80" w:type="dxa"/>
              <w:right w:w="80" w:type="dxa"/>
            </w:tcMar>
          </w:tcPr>
          <w:p>
            <w:pPr>
              <w:spacing w:after="0"/>
              <w:jc w:val="center"/>
            </w:pPr>
            <w:r>
              <w:rPr>
                <w:rFonts w:ascii="Times New Roman" w:hAnsi="Times New Roman"/>
                <w:color w:val="282828"/>
                <w:sz w:val="19"/>
              </w:rPr>
              <w:t>99.77%</w:t>
            </w:r>
          </w:p>
        </w:tc>
        <w:tc>
          <w:tcPr>
            <w:tcW w:type="dxa" w:w="1008"/>
            <w:vAlign w:val="center"/>
            <w:shd w:val="clear" w:color="auto" w:fill="FFFFFF"/>
            <w:tcMar>
              <w:top w:w="80" w:type="dxa"/>
              <w:bottom w:w="80" w:type="dxa"/>
              <w:left w:w="80" w:type="dxa"/>
              <w:right w:w="80" w:type="dxa"/>
            </w:tcMar>
          </w:tcPr>
          <w:p>
            <w:pPr>
              <w:spacing w:after="0"/>
              <w:jc w:val="center"/>
            </w:pPr>
            <w:r>
              <w:rPr>
                <w:rFonts w:ascii="Times New Roman" w:hAnsi="Times New Roman"/>
                <w:color w:val="282828"/>
                <w:sz w:val="19"/>
              </w:rPr>
              <w:t>99.77%</w:t>
            </w:r>
          </w:p>
        </w:tc>
        <w:tc>
          <w:tcPr>
            <w:tcW w:type="dxa" w:w="1008"/>
            <w:vAlign w:val="center"/>
            <w:shd w:val="clear" w:color="auto" w:fill="FFFFFF"/>
            <w:tcMar>
              <w:top w:w="80" w:type="dxa"/>
              <w:bottom w:w="80" w:type="dxa"/>
              <w:left w:w="80" w:type="dxa"/>
              <w:right w:w="80" w:type="dxa"/>
            </w:tcMar>
          </w:tcPr>
          <w:p>
            <w:pPr>
              <w:spacing w:after="0"/>
              <w:jc w:val="center"/>
            </w:pPr>
            <w:r>
              <w:rPr>
                <w:rFonts w:ascii="Times New Roman" w:hAnsi="Times New Roman"/>
                <w:color w:val="282828"/>
                <w:sz w:val="19"/>
              </w:rPr>
              <w:t>99.22%</w:t>
            </w:r>
          </w:p>
        </w:tc>
        <w:tc>
          <w:tcPr>
            <w:tcW w:type="dxa" w:w="936"/>
            <w:vAlign w:val="center"/>
            <w:shd w:val="clear" w:color="auto" w:fill="FFFFFF"/>
            <w:tcMar>
              <w:top w:w="80" w:type="dxa"/>
              <w:bottom w:w="80" w:type="dxa"/>
              <w:left w:w="80" w:type="dxa"/>
              <w:right w:w="80" w:type="dxa"/>
            </w:tcMar>
          </w:tcPr>
          <w:p>
            <w:pPr>
              <w:spacing w:after="0"/>
              <w:jc w:val="center"/>
            </w:pPr>
            <w:r>
              <w:rPr>
                <w:rFonts w:ascii="Times New Roman" w:hAnsi="Times New Roman"/>
                <w:color w:val="282828"/>
                <w:sz w:val="19"/>
              </w:rPr>
              <w:t>1.0000</w:t>
            </w:r>
          </w:p>
        </w:tc>
        <w:tc>
          <w:tcPr>
            <w:tcW w:type="dxa" w:w="1008"/>
            <w:vAlign w:val="center"/>
            <w:shd w:val="clear" w:color="auto" w:fill="FFFFFF"/>
            <w:tcMar>
              <w:top w:w="80" w:type="dxa"/>
              <w:bottom w:w="80" w:type="dxa"/>
              <w:left w:w="80" w:type="dxa"/>
              <w:right w:w="80" w:type="dxa"/>
            </w:tcMar>
          </w:tcPr>
          <w:p>
            <w:pPr>
              <w:spacing w:after="0"/>
              <w:jc w:val="center"/>
            </w:pPr>
            <w:r>
              <w:rPr>
                <w:rFonts w:ascii="Times New Roman" w:hAnsi="Times New Roman"/>
                <w:color w:val="282828"/>
                <w:sz w:val="19"/>
              </w:rPr>
              <w:t>0.023 s</w:t>
            </w:r>
          </w:p>
        </w:tc>
        <w:tc>
          <w:tcPr>
            <w:tcW w:type="dxa" w:w="1080"/>
            <w:vAlign w:val="center"/>
            <w:shd w:val="clear" w:color="auto" w:fill="FFFFFF"/>
            <w:tcMar>
              <w:top w:w="80" w:type="dxa"/>
              <w:bottom w:w="80" w:type="dxa"/>
              <w:left w:w="80" w:type="dxa"/>
              <w:right w:w="80" w:type="dxa"/>
            </w:tcMar>
          </w:tcPr>
          <w:p>
            <w:pPr>
              <w:spacing w:after="0"/>
              <w:jc w:val="center"/>
            </w:pPr>
            <w:r>
              <w:rPr>
                <w:rFonts w:ascii="Times New Roman" w:hAnsi="Times New Roman"/>
                <w:color w:val="282828"/>
                <w:sz w:val="19"/>
              </w:rPr>
              <w:t>0.0002 ms</w:t>
            </w:r>
          </w:p>
        </w:tc>
        <w:tc>
          <w:tcPr>
            <w:tcW w:type="dxa" w:w="1224"/>
            <w:vAlign w:val="center"/>
            <w:shd w:val="clear" w:color="auto" w:fill="FFFFFF"/>
            <w:tcMar>
              <w:top w:w="80" w:type="dxa"/>
              <w:bottom w:w="80" w:type="dxa"/>
              <w:left w:w="80" w:type="dxa"/>
              <w:right w:w="80" w:type="dxa"/>
            </w:tcMar>
          </w:tcPr>
          <w:p>
            <w:pPr>
              <w:spacing w:after="0"/>
              <w:jc w:val="center"/>
            </w:pPr>
            <w:r>
              <w:rPr>
                <w:rFonts w:ascii="Times New Roman" w:hAnsi="Times New Roman"/>
                <w:color w:val="282828"/>
                <w:sz w:val="19"/>
              </w:rPr>
              <w:t>5,890,426 f/s</w:t>
            </w:r>
          </w:p>
        </w:tc>
      </w:tr>
    </w:tbl>
    <w:p>
      <w:pPr>
        <w:keepNext/>
        <w:spacing w:before="80" w:after="240"/>
        <w:jc w:val="center"/>
      </w:pPr>
      <w:r>
        <w:rPr>
          <w:rFonts w:ascii="Times New Roman" w:hAnsi="Times New Roman"/>
          <w:i/>
          <w:color w:val="464646"/>
          <w:sz w:val="20"/>
        </w:rPr>
        <w:t>Table 1: Comprehensive Multi-Model Performance Benchmark on Held-Out Test Set (3,000 Network Flows).</w:t>
      </w:r>
    </w:p>
    <w:p>
      <w:pPr>
        <w:keepNext/>
        <w:spacing w:before="240" w:after="80"/>
      </w:pPr>
      <w:r>
        <w:rPr>
          <w:rFonts w:ascii="Times New Roman" w:hAnsi="Times New Roman"/>
          <w:b/>
          <w:color w:val="1E4678"/>
          <w:sz w:val="26"/>
        </w:rPr>
        <w:t>3. Multi-Class Per-Category Performance Breakdown</w:t>
      </w:r>
    </w:p>
    <w:p>
      <w:pPr>
        <w:spacing w:before="0" w:after="120" w:line="276" w:lineRule="auto"/>
        <w:jc w:val="both"/>
      </w:pPr>
      <w:r>
        <w:rPr>
          <w:rFonts w:ascii="Times New Roman" w:hAnsi="Times New Roman"/>
          <w:color w:val="282828"/>
          <w:sz w:val="22"/>
        </w:rPr>
        <w:t>Table 2 breaks down the granular classification efficacy of the primary production model (Random Forest) across each fine-grained traffic category in the held-out test split of 3,000 flows.</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996"/>
        <w:gridCol w:w="1996"/>
        <w:gridCol w:w="1996"/>
        <w:gridCol w:w="1996"/>
        <w:gridCol w:w="1996"/>
      </w:tblGrid>
      <w:tr>
        <w:tc>
          <w:tcPr>
            <w:tcW w:type="dxa" w:w="3168"/>
            <w:vAlign w:val="center"/>
            <w:shd w:val="clear" w:color="auto" w:fill="162C57"/>
            <w:tcMar>
              <w:top w:w="90" w:type="dxa"/>
              <w:bottom w:w="90" w:type="dxa"/>
              <w:left w:w="90" w:type="dxa"/>
              <w:right w:w="90" w:type="dxa"/>
            </w:tcMar>
          </w:tcPr>
          <w:p>
            <w:pPr>
              <w:spacing w:after="0"/>
              <w:jc w:val="left"/>
            </w:pPr>
            <w:r>
              <w:rPr>
                <w:rFonts w:ascii="Times New Roman" w:hAnsi="Times New Roman"/>
                <w:b/>
                <w:color w:val="FFFFFF"/>
                <w:sz w:val="19"/>
              </w:rPr>
              <w:t>Traffic Category</w:t>
            </w:r>
          </w:p>
        </w:tc>
        <w:tc>
          <w:tcPr>
            <w:tcW w:type="dxa" w:w="1584"/>
            <w:vAlign w:val="center"/>
            <w:shd w:val="clear" w:color="auto" w:fill="162C57"/>
            <w:tcMar>
              <w:top w:w="90" w:type="dxa"/>
              <w:bottom w:w="90" w:type="dxa"/>
              <w:left w:w="90" w:type="dxa"/>
              <w:right w:w="90" w:type="dxa"/>
            </w:tcMar>
          </w:tcPr>
          <w:p>
            <w:pPr>
              <w:spacing w:after="0"/>
              <w:jc w:val="center"/>
            </w:pPr>
            <w:r>
              <w:rPr>
                <w:rFonts w:ascii="Times New Roman" w:hAnsi="Times New Roman"/>
                <w:b/>
                <w:color w:val="FFFFFF"/>
                <w:sz w:val="19"/>
              </w:rPr>
              <w:t>Precision (%)</w:t>
            </w:r>
          </w:p>
        </w:tc>
        <w:tc>
          <w:tcPr>
            <w:tcW w:type="dxa" w:w="1584"/>
            <w:vAlign w:val="center"/>
            <w:shd w:val="clear" w:color="auto" w:fill="162C57"/>
            <w:tcMar>
              <w:top w:w="90" w:type="dxa"/>
              <w:bottom w:w="90" w:type="dxa"/>
              <w:left w:w="90" w:type="dxa"/>
              <w:right w:w="90" w:type="dxa"/>
            </w:tcMar>
          </w:tcPr>
          <w:p>
            <w:pPr>
              <w:spacing w:after="0"/>
              <w:jc w:val="center"/>
            </w:pPr>
            <w:r>
              <w:rPr>
                <w:rFonts w:ascii="Times New Roman" w:hAnsi="Times New Roman"/>
                <w:b/>
                <w:color w:val="FFFFFF"/>
                <w:sz w:val="19"/>
              </w:rPr>
              <w:t>Recall (%)</w:t>
            </w:r>
          </w:p>
        </w:tc>
        <w:tc>
          <w:tcPr>
            <w:tcW w:type="dxa" w:w="1584"/>
            <w:vAlign w:val="center"/>
            <w:shd w:val="clear" w:color="auto" w:fill="162C57"/>
            <w:tcMar>
              <w:top w:w="90" w:type="dxa"/>
              <w:bottom w:w="90" w:type="dxa"/>
              <w:left w:w="90" w:type="dxa"/>
              <w:right w:w="90" w:type="dxa"/>
            </w:tcMar>
          </w:tcPr>
          <w:p>
            <w:pPr>
              <w:spacing w:after="0"/>
              <w:jc w:val="center"/>
            </w:pPr>
            <w:r>
              <w:rPr>
                <w:rFonts w:ascii="Times New Roman" w:hAnsi="Times New Roman"/>
                <w:b/>
                <w:color w:val="FFFFFF"/>
                <w:sz w:val="19"/>
              </w:rPr>
              <w:t>F1-Score (%)</w:t>
            </w:r>
          </w:p>
        </w:tc>
        <w:tc>
          <w:tcPr>
            <w:tcW w:type="dxa" w:w="1728"/>
            <w:vAlign w:val="center"/>
            <w:shd w:val="clear" w:color="auto" w:fill="162C57"/>
            <w:tcMar>
              <w:top w:w="90" w:type="dxa"/>
              <w:bottom w:w="90" w:type="dxa"/>
              <w:left w:w="90" w:type="dxa"/>
              <w:right w:w="90" w:type="dxa"/>
            </w:tcMar>
          </w:tcPr>
          <w:p>
            <w:pPr>
              <w:spacing w:after="0"/>
              <w:jc w:val="center"/>
            </w:pPr>
            <w:r>
              <w:rPr>
                <w:rFonts w:ascii="Times New Roman" w:hAnsi="Times New Roman"/>
                <w:b/>
                <w:color w:val="FFFFFF"/>
                <w:sz w:val="19"/>
              </w:rPr>
              <w:t>Test Support (Flows)</w:t>
            </w:r>
          </w:p>
        </w:tc>
      </w:tr>
      <w:tr>
        <w:tc>
          <w:tcPr>
            <w:tcW w:type="dxa" w:w="3168"/>
            <w:vAlign w:val="center"/>
            <w:shd w:val="clear" w:color="auto" w:fill="FFFFFF"/>
            <w:tcMar>
              <w:top w:w="70" w:type="dxa"/>
              <w:bottom w:w="70" w:type="dxa"/>
              <w:left w:w="90" w:type="dxa"/>
              <w:right w:w="90" w:type="dxa"/>
            </w:tcMar>
          </w:tcPr>
          <w:p>
            <w:pPr>
              <w:spacing w:after="0"/>
              <w:jc w:val="left"/>
            </w:pPr>
            <w:r>
              <w:rPr>
                <w:rFonts w:ascii="Times New Roman" w:hAnsi="Times New Roman"/>
                <w:b/>
                <w:color w:val="282828"/>
                <w:sz w:val="19"/>
              </w:rPr>
              <w:t>BENIGN (Normal Traffic)</w:t>
            </w:r>
          </w:p>
        </w:tc>
        <w:tc>
          <w:tcPr>
            <w:tcW w:type="dxa" w:w="1584"/>
            <w:vAlign w:val="center"/>
            <w:shd w:val="clear" w:color="auto" w:fill="FFFFFF"/>
            <w:tcMar>
              <w:top w:w="70" w:type="dxa"/>
              <w:bottom w:w="70" w:type="dxa"/>
              <w:left w:w="90" w:type="dxa"/>
              <w:right w:w="90" w:type="dxa"/>
            </w:tcMar>
          </w:tcPr>
          <w:p>
            <w:pPr>
              <w:spacing w:after="0"/>
              <w:jc w:val="center"/>
            </w:pPr>
            <w:r>
              <w:rPr>
                <w:rFonts w:ascii="Times New Roman" w:hAnsi="Times New Roman"/>
                <w:color w:val="282828"/>
                <w:sz w:val="19"/>
              </w:rPr>
              <w:t>100.00%</w:t>
            </w:r>
          </w:p>
        </w:tc>
        <w:tc>
          <w:tcPr>
            <w:tcW w:type="dxa" w:w="1584"/>
            <w:vAlign w:val="center"/>
            <w:shd w:val="clear" w:color="auto" w:fill="FFFFFF"/>
            <w:tcMar>
              <w:top w:w="70" w:type="dxa"/>
              <w:bottom w:w="70" w:type="dxa"/>
              <w:left w:w="90" w:type="dxa"/>
              <w:right w:w="90" w:type="dxa"/>
            </w:tcMar>
          </w:tcPr>
          <w:p>
            <w:pPr>
              <w:spacing w:after="0"/>
              <w:jc w:val="center"/>
            </w:pPr>
            <w:r>
              <w:rPr>
                <w:rFonts w:ascii="Times New Roman" w:hAnsi="Times New Roman"/>
                <w:color w:val="282828"/>
                <w:sz w:val="19"/>
              </w:rPr>
              <w:t>100.00%</w:t>
            </w:r>
          </w:p>
        </w:tc>
        <w:tc>
          <w:tcPr>
            <w:tcW w:type="dxa" w:w="1584"/>
            <w:vAlign w:val="center"/>
            <w:shd w:val="clear" w:color="auto" w:fill="FFFFFF"/>
            <w:tcMar>
              <w:top w:w="70" w:type="dxa"/>
              <w:bottom w:w="70" w:type="dxa"/>
              <w:left w:w="90" w:type="dxa"/>
              <w:right w:w="90" w:type="dxa"/>
            </w:tcMar>
          </w:tcPr>
          <w:p>
            <w:pPr>
              <w:spacing w:after="0"/>
              <w:jc w:val="center"/>
            </w:pPr>
            <w:r>
              <w:rPr>
                <w:rFonts w:ascii="Times New Roman" w:hAnsi="Times New Roman"/>
                <w:color w:val="282828"/>
                <w:sz w:val="19"/>
              </w:rPr>
              <w:t>100.00%</w:t>
            </w:r>
          </w:p>
        </w:tc>
        <w:tc>
          <w:tcPr>
            <w:tcW w:type="dxa" w:w="1728"/>
            <w:vAlign w:val="center"/>
            <w:shd w:val="clear" w:color="auto" w:fill="FFFFFF"/>
            <w:tcMar>
              <w:top w:w="70" w:type="dxa"/>
              <w:bottom w:w="70" w:type="dxa"/>
              <w:left w:w="90" w:type="dxa"/>
              <w:right w:w="90" w:type="dxa"/>
            </w:tcMar>
          </w:tcPr>
          <w:p>
            <w:pPr>
              <w:spacing w:after="0"/>
              <w:jc w:val="center"/>
            </w:pPr>
            <w:r>
              <w:rPr>
                <w:rFonts w:ascii="Times New Roman" w:hAnsi="Times New Roman"/>
                <w:color w:val="282828"/>
                <w:sz w:val="19"/>
              </w:rPr>
              <w:t>1,477 flows</w:t>
            </w:r>
          </w:p>
        </w:tc>
      </w:tr>
      <w:tr>
        <w:tc>
          <w:tcPr>
            <w:tcW w:type="dxa" w:w="3168"/>
            <w:vAlign w:val="center"/>
            <w:shd w:val="clear" w:color="auto" w:fill="F8FAFC"/>
            <w:tcMar>
              <w:top w:w="70" w:type="dxa"/>
              <w:bottom w:w="70" w:type="dxa"/>
              <w:left w:w="90" w:type="dxa"/>
              <w:right w:w="90" w:type="dxa"/>
            </w:tcMar>
          </w:tcPr>
          <w:p>
            <w:pPr>
              <w:spacing w:after="0"/>
              <w:jc w:val="left"/>
            </w:pPr>
            <w:r>
              <w:rPr>
                <w:rFonts w:ascii="Times New Roman" w:hAnsi="Times New Roman"/>
                <w:b/>
                <w:color w:val="282828"/>
                <w:sz w:val="19"/>
              </w:rPr>
              <w:t>DoS-SynFlood</w:t>
            </w:r>
          </w:p>
        </w:tc>
        <w:tc>
          <w:tcPr>
            <w:tcW w:type="dxa" w:w="1584"/>
            <w:vAlign w:val="center"/>
            <w:shd w:val="clear" w:color="auto" w:fill="F8FAFC"/>
            <w:tcMar>
              <w:top w:w="70" w:type="dxa"/>
              <w:bottom w:w="70" w:type="dxa"/>
              <w:left w:w="90" w:type="dxa"/>
              <w:right w:w="90" w:type="dxa"/>
            </w:tcMar>
          </w:tcPr>
          <w:p>
            <w:pPr>
              <w:spacing w:after="0"/>
              <w:jc w:val="center"/>
            </w:pPr>
            <w:r>
              <w:rPr>
                <w:rFonts w:ascii="Times New Roman" w:hAnsi="Times New Roman"/>
                <w:color w:val="282828"/>
                <w:sz w:val="19"/>
              </w:rPr>
              <w:t>99.45%</w:t>
            </w:r>
          </w:p>
        </w:tc>
        <w:tc>
          <w:tcPr>
            <w:tcW w:type="dxa" w:w="1584"/>
            <w:vAlign w:val="center"/>
            <w:shd w:val="clear" w:color="auto" w:fill="F8FAFC"/>
            <w:tcMar>
              <w:top w:w="70" w:type="dxa"/>
              <w:bottom w:w="70" w:type="dxa"/>
              <w:left w:w="90" w:type="dxa"/>
              <w:right w:w="90" w:type="dxa"/>
            </w:tcMar>
          </w:tcPr>
          <w:p>
            <w:pPr>
              <w:spacing w:after="0"/>
              <w:jc w:val="center"/>
            </w:pPr>
            <w:r>
              <w:rPr>
                <w:rFonts w:ascii="Times New Roman" w:hAnsi="Times New Roman"/>
                <w:color w:val="282828"/>
                <w:sz w:val="19"/>
              </w:rPr>
              <w:t>100.00%</w:t>
            </w:r>
          </w:p>
        </w:tc>
        <w:tc>
          <w:tcPr>
            <w:tcW w:type="dxa" w:w="1584"/>
            <w:vAlign w:val="center"/>
            <w:shd w:val="clear" w:color="auto" w:fill="F8FAFC"/>
            <w:tcMar>
              <w:top w:w="70" w:type="dxa"/>
              <w:bottom w:w="70" w:type="dxa"/>
              <w:left w:w="90" w:type="dxa"/>
              <w:right w:w="90" w:type="dxa"/>
            </w:tcMar>
          </w:tcPr>
          <w:p>
            <w:pPr>
              <w:spacing w:after="0"/>
              <w:jc w:val="center"/>
            </w:pPr>
            <w:r>
              <w:rPr>
                <w:rFonts w:ascii="Times New Roman" w:hAnsi="Times New Roman"/>
                <w:color w:val="282828"/>
                <w:sz w:val="19"/>
              </w:rPr>
              <w:t>99.72%</w:t>
            </w:r>
          </w:p>
        </w:tc>
        <w:tc>
          <w:tcPr>
            <w:tcW w:type="dxa" w:w="1728"/>
            <w:vAlign w:val="center"/>
            <w:shd w:val="clear" w:color="auto" w:fill="F8FAFC"/>
            <w:tcMar>
              <w:top w:w="70" w:type="dxa"/>
              <w:bottom w:w="70" w:type="dxa"/>
              <w:left w:w="90" w:type="dxa"/>
              <w:right w:w="90" w:type="dxa"/>
            </w:tcMar>
          </w:tcPr>
          <w:p>
            <w:pPr>
              <w:spacing w:after="0"/>
              <w:jc w:val="center"/>
            </w:pPr>
            <w:r>
              <w:rPr>
                <w:rFonts w:ascii="Times New Roman" w:hAnsi="Times New Roman"/>
                <w:color w:val="282828"/>
                <w:sz w:val="19"/>
              </w:rPr>
              <w:t>361 flows</w:t>
            </w:r>
          </w:p>
        </w:tc>
      </w:tr>
      <w:tr>
        <w:tc>
          <w:tcPr>
            <w:tcW w:type="dxa" w:w="3168"/>
            <w:vAlign w:val="center"/>
            <w:shd w:val="clear" w:color="auto" w:fill="FFFFFF"/>
            <w:tcMar>
              <w:top w:w="70" w:type="dxa"/>
              <w:bottom w:w="70" w:type="dxa"/>
              <w:left w:w="90" w:type="dxa"/>
              <w:right w:w="90" w:type="dxa"/>
            </w:tcMar>
          </w:tcPr>
          <w:p>
            <w:pPr>
              <w:spacing w:after="0"/>
              <w:jc w:val="left"/>
            </w:pPr>
            <w:r>
              <w:rPr>
                <w:rFonts w:ascii="Times New Roman" w:hAnsi="Times New Roman"/>
                <w:b/>
                <w:color w:val="282828"/>
                <w:sz w:val="19"/>
              </w:rPr>
              <w:t>PortScan (Reconnaissance)</w:t>
            </w:r>
          </w:p>
        </w:tc>
        <w:tc>
          <w:tcPr>
            <w:tcW w:type="dxa" w:w="1584"/>
            <w:vAlign w:val="center"/>
            <w:shd w:val="clear" w:color="auto" w:fill="FFFFFF"/>
            <w:tcMar>
              <w:top w:w="70" w:type="dxa"/>
              <w:bottom w:w="70" w:type="dxa"/>
              <w:left w:w="90" w:type="dxa"/>
              <w:right w:w="90" w:type="dxa"/>
            </w:tcMar>
          </w:tcPr>
          <w:p>
            <w:pPr>
              <w:spacing w:after="0"/>
              <w:jc w:val="center"/>
            </w:pPr>
            <w:r>
              <w:rPr>
                <w:rFonts w:ascii="Times New Roman" w:hAnsi="Times New Roman"/>
                <w:color w:val="282828"/>
                <w:sz w:val="19"/>
              </w:rPr>
              <w:t>100.00%</w:t>
            </w:r>
          </w:p>
        </w:tc>
        <w:tc>
          <w:tcPr>
            <w:tcW w:type="dxa" w:w="1584"/>
            <w:vAlign w:val="center"/>
            <w:shd w:val="clear" w:color="auto" w:fill="FFFFFF"/>
            <w:tcMar>
              <w:top w:w="70" w:type="dxa"/>
              <w:bottom w:w="70" w:type="dxa"/>
              <w:left w:w="90" w:type="dxa"/>
              <w:right w:w="90" w:type="dxa"/>
            </w:tcMar>
          </w:tcPr>
          <w:p>
            <w:pPr>
              <w:spacing w:after="0"/>
              <w:jc w:val="center"/>
            </w:pPr>
            <w:r>
              <w:rPr>
                <w:rFonts w:ascii="Times New Roman" w:hAnsi="Times New Roman"/>
                <w:color w:val="282828"/>
                <w:sz w:val="19"/>
              </w:rPr>
              <w:t>99.35%</w:t>
            </w:r>
          </w:p>
        </w:tc>
        <w:tc>
          <w:tcPr>
            <w:tcW w:type="dxa" w:w="1584"/>
            <w:vAlign w:val="center"/>
            <w:shd w:val="clear" w:color="auto" w:fill="FFFFFF"/>
            <w:tcMar>
              <w:top w:w="70" w:type="dxa"/>
              <w:bottom w:w="70" w:type="dxa"/>
              <w:left w:w="90" w:type="dxa"/>
              <w:right w:w="90" w:type="dxa"/>
            </w:tcMar>
          </w:tcPr>
          <w:p>
            <w:pPr>
              <w:spacing w:after="0"/>
              <w:jc w:val="center"/>
            </w:pPr>
            <w:r>
              <w:rPr>
                <w:rFonts w:ascii="Times New Roman" w:hAnsi="Times New Roman"/>
                <w:color w:val="282828"/>
                <w:sz w:val="19"/>
              </w:rPr>
              <w:t>99.68%</w:t>
            </w:r>
          </w:p>
        </w:tc>
        <w:tc>
          <w:tcPr>
            <w:tcW w:type="dxa" w:w="1728"/>
            <w:vAlign w:val="center"/>
            <w:shd w:val="clear" w:color="auto" w:fill="FFFFFF"/>
            <w:tcMar>
              <w:top w:w="70" w:type="dxa"/>
              <w:bottom w:w="70" w:type="dxa"/>
              <w:left w:w="90" w:type="dxa"/>
              <w:right w:w="90" w:type="dxa"/>
            </w:tcMar>
          </w:tcPr>
          <w:p>
            <w:pPr>
              <w:spacing w:after="0"/>
              <w:jc w:val="center"/>
            </w:pPr>
            <w:r>
              <w:rPr>
                <w:rFonts w:ascii="Times New Roman" w:hAnsi="Times New Roman"/>
                <w:color w:val="282828"/>
                <w:sz w:val="19"/>
              </w:rPr>
              <w:t>309 flows</w:t>
            </w:r>
          </w:p>
        </w:tc>
      </w:tr>
      <w:tr>
        <w:tc>
          <w:tcPr>
            <w:tcW w:type="dxa" w:w="3168"/>
            <w:vAlign w:val="center"/>
            <w:shd w:val="clear" w:color="auto" w:fill="F8FAFC"/>
            <w:tcMar>
              <w:top w:w="70" w:type="dxa"/>
              <w:bottom w:w="70" w:type="dxa"/>
              <w:left w:w="90" w:type="dxa"/>
              <w:right w:w="90" w:type="dxa"/>
            </w:tcMar>
          </w:tcPr>
          <w:p>
            <w:pPr>
              <w:spacing w:after="0"/>
              <w:jc w:val="left"/>
            </w:pPr>
            <w:r>
              <w:rPr>
                <w:rFonts w:ascii="Times New Roman" w:hAnsi="Times New Roman"/>
                <w:b/>
                <w:color w:val="282828"/>
                <w:sz w:val="19"/>
              </w:rPr>
              <w:t>DDoS-LOIC (Volumetric)</w:t>
            </w:r>
          </w:p>
        </w:tc>
        <w:tc>
          <w:tcPr>
            <w:tcW w:type="dxa" w:w="1584"/>
            <w:vAlign w:val="center"/>
            <w:shd w:val="clear" w:color="auto" w:fill="F8FAFC"/>
            <w:tcMar>
              <w:top w:w="70" w:type="dxa"/>
              <w:bottom w:w="70" w:type="dxa"/>
              <w:left w:w="90" w:type="dxa"/>
              <w:right w:w="90" w:type="dxa"/>
            </w:tcMar>
          </w:tcPr>
          <w:p>
            <w:pPr>
              <w:spacing w:after="0"/>
              <w:jc w:val="center"/>
            </w:pPr>
            <w:r>
              <w:rPr>
                <w:rFonts w:ascii="Times New Roman" w:hAnsi="Times New Roman"/>
                <w:color w:val="282828"/>
                <w:sz w:val="19"/>
              </w:rPr>
              <w:t>100.00%</w:t>
            </w:r>
          </w:p>
        </w:tc>
        <w:tc>
          <w:tcPr>
            <w:tcW w:type="dxa" w:w="1584"/>
            <w:vAlign w:val="center"/>
            <w:shd w:val="clear" w:color="auto" w:fill="F8FAFC"/>
            <w:tcMar>
              <w:top w:w="70" w:type="dxa"/>
              <w:bottom w:w="70" w:type="dxa"/>
              <w:left w:w="90" w:type="dxa"/>
              <w:right w:w="90" w:type="dxa"/>
            </w:tcMar>
          </w:tcPr>
          <w:p>
            <w:pPr>
              <w:spacing w:after="0"/>
              <w:jc w:val="center"/>
            </w:pPr>
            <w:r>
              <w:rPr>
                <w:rFonts w:ascii="Times New Roman" w:hAnsi="Times New Roman"/>
                <w:color w:val="282828"/>
                <w:sz w:val="19"/>
              </w:rPr>
              <w:t>100.00%</w:t>
            </w:r>
          </w:p>
        </w:tc>
        <w:tc>
          <w:tcPr>
            <w:tcW w:type="dxa" w:w="1584"/>
            <w:vAlign w:val="center"/>
            <w:shd w:val="clear" w:color="auto" w:fill="F8FAFC"/>
            <w:tcMar>
              <w:top w:w="70" w:type="dxa"/>
              <w:bottom w:w="70" w:type="dxa"/>
              <w:left w:w="90" w:type="dxa"/>
              <w:right w:w="90" w:type="dxa"/>
            </w:tcMar>
          </w:tcPr>
          <w:p>
            <w:pPr>
              <w:spacing w:after="0"/>
              <w:jc w:val="center"/>
            </w:pPr>
            <w:r>
              <w:rPr>
                <w:rFonts w:ascii="Times New Roman" w:hAnsi="Times New Roman"/>
                <w:color w:val="282828"/>
                <w:sz w:val="19"/>
              </w:rPr>
              <w:t>100.00%</w:t>
            </w:r>
          </w:p>
        </w:tc>
        <w:tc>
          <w:tcPr>
            <w:tcW w:type="dxa" w:w="1728"/>
            <w:vAlign w:val="center"/>
            <w:shd w:val="clear" w:color="auto" w:fill="F8FAFC"/>
            <w:tcMar>
              <w:top w:w="70" w:type="dxa"/>
              <w:bottom w:w="70" w:type="dxa"/>
              <w:left w:w="90" w:type="dxa"/>
              <w:right w:w="90" w:type="dxa"/>
            </w:tcMar>
          </w:tcPr>
          <w:p>
            <w:pPr>
              <w:spacing w:after="0"/>
              <w:jc w:val="center"/>
            </w:pPr>
            <w:r>
              <w:rPr>
                <w:rFonts w:ascii="Times New Roman" w:hAnsi="Times New Roman"/>
                <w:color w:val="282828"/>
                <w:sz w:val="19"/>
              </w:rPr>
              <w:t>300 flows</w:t>
            </w:r>
          </w:p>
        </w:tc>
      </w:tr>
      <w:tr>
        <w:tc>
          <w:tcPr>
            <w:tcW w:type="dxa" w:w="3168"/>
            <w:vAlign w:val="center"/>
            <w:shd w:val="clear" w:color="auto" w:fill="FFFFFF"/>
            <w:tcMar>
              <w:top w:w="70" w:type="dxa"/>
              <w:bottom w:w="70" w:type="dxa"/>
              <w:left w:w="90" w:type="dxa"/>
              <w:right w:w="90" w:type="dxa"/>
            </w:tcMar>
          </w:tcPr>
          <w:p>
            <w:pPr>
              <w:spacing w:after="0"/>
              <w:jc w:val="left"/>
            </w:pPr>
            <w:r>
              <w:rPr>
                <w:rFonts w:ascii="Times New Roman" w:hAnsi="Times New Roman"/>
                <w:b/>
                <w:color w:val="282828"/>
                <w:sz w:val="19"/>
              </w:rPr>
              <w:t>BruteForce-SSH</w:t>
            </w:r>
          </w:p>
        </w:tc>
        <w:tc>
          <w:tcPr>
            <w:tcW w:type="dxa" w:w="1584"/>
            <w:vAlign w:val="center"/>
            <w:shd w:val="clear" w:color="auto" w:fill="FFFFFF"/>
            <w:tcMar>
              <w:top w:w="70" w:type="dxa"/>
              <w:bottom w:w="70" w:type="dxa"/>
              <w:left w:w="90" w:type="dxa"/>
              <w:right w:w="90" w:type="dxa"/>
            </w:tcMar>
          </w:tcPr>
          <w:p>
            <w:pPr>
              <w:spacing w:after="0"/>
              <w:jc w:val="center"/>
            </w:pPr>
            <w:r>
              <w:rPr>
                <w:rFonts w:ascii="Times New Roman" w:hAnsi="Times New Roman"/>
                <w:color w:val="282828"/>
                <w:sz w:val="19"/>
              </w:rPr>
              <w:t>100.00%</w:t>
            </w:r>
          </w:p>
        </w:tc>
        <w:tc>
          <w:tcPr>
            <w:tcW w:type="dxa" w:w="1584"/>
            <w:vAlign w:val="center"/>
            <w:shd w:val="clear" w:color="auto" w:fill="FFFFFF"/>
            <w:tcMar>
              <w:top w:w="70" w:type="dxa"/>
              <w:bottom w:w="70" w:type="dxa"/>
              <w:left w:w="90" w:type="dxa"/>
              <w:right w:w="90" w:type="dxa"/>
            </w:tcMar>
          </w:tcPr>
          <w:p>
            <w:pPr>
              <w:spacing w:after="0"/>
              <w:jc w:val="center"/>
            </w:pPr>
            <w:r>
              <w:rPr>
                <w:rFonts w:ascii="Times New Roman" w:hAnsi="Times New Roman"/>
                <w:color w:val="282828"/>
                <w:sz w:val="19"/>
              </w:rPr>
              <w:t>100.00%</w:t>
            </w:r>
          </w:p>
        </w:tc>
        <w:tc>
          <w:tcPr>
            <w:tcW w:type="dxa" w:w="1584"/>
            <w:vAlign w:val="center"/>
            <w:shd w:val="clear" w:color="auto" w:fill="FFFFFF"/>
            <w:tcMar>
              <w:top w:w="70" w:type="dxa"/>
              <w:bottom w:w="70" w:type="dxa"/>
              <w:left w:w="90" w:type="dxa"/>
              <w:right w:w="90" w:type="dxa"/>
            </w:tcMar>
          </w:tcPr>
          <w:p>
            <w:pPr>
              <w:spacing w:after="0"/>
              <w:jc w:val="center"/>
            </w:pPr>
            <w:r>
              <w:rPr>
                <w:rFonts w:ascii="Times New Roman" w:hAnsi="Times New Roman"/>
                <w:color w:val="282828"/>
                <w:sz w:val="19"/>
              </w:rPr>
              <w:t>100.00%</w:t>
            </w:r>
          </w:p>
        </w:tc>
        <w:tc>
          <w:tcPr>
            <w:tcW w:type="dxa" w:w="1728"/>
            <w:vAlign w:val="center"/>
            <w:shd w:val="clear" w:color="auto" w:fill="FFFFFF"/>
            <w:tcMar>
              <w:top w:w="70" w:type="dxa"/>
              <w:bottom w:w="70" w:type="dxa"/>
              <w:left w:w="90" w:type="dxa"/>
              <w:right w:w="90" w:type="dxa"/>
            </w:tcMar>
          </w:tcPr>
          <w:p>
            <w:pPr>
              <w:spacing w:after="0"/>
              <w:jc w:val="center"/>
            </w:pPr>
            <w:r>
              <w:rPr>
                <w:rFonts w:ascii="Times New Roman" w:hAnsi="Times New Roman"/>
                <w:color w:val="282828"/>
                <w:sz w:val="19"/>
              </w:rPr>
              <w:t>250 flows</w:t>
            </w:r>
          </w:p>
        </w:tc>
      </w:tr>
      <w:tr>
        <w:tc>
          <w:tcPr>
            <w:tcW w:type="dxa" w:w="3168"/>
            <w:vAlign w:val="center"/>
            <w:shd w:val="clear" w:color="auto" w:fill="F8FAFC"/>
            <w:tcMar>
              <w:top w:w="70" w:type="dxa"/>
              <w:bottom w:w="70" w:type="dxa"/>
              <w:left w:w="90" w:type="dxa"/>
              <w:right w:w="90" w:type="dxa"/>
            </w:tcMar>
          </w:tcPr>
          <w:p>
            <w:pPr>
              <w:spacing w:after="0"/>
              <w:jc w:val="left"/>
            </w:pPr>
            <w:r>
              <w:rPr>
                <w:rFonts w:ascii="Times New Roman" w:hAnsi="Times New Roman"/>
                <w:b/>
                <w:color w:val="282828"/>
                <w:sz w:val="19"/>
              </w:rPr>
              <w:t>Botnet-C2 (Command &amp; Control)</w:t>
            </w:r>
          </w:p>
        </w:tc>
        <w:tc>
          <w:tcPr>
            <w:tcW w:type="dxa" w:w="1584"/>
            <w:vAlign w:val="center"/>
            <w:shd w:val="clear" w:color="auto" w:fill="F8FAFC"/>
            <w:tcMar>
              <w:top w:w="70" w:type="dxa"/>
              <w:bottom w:w="70" w:type="dxa"/>
              <w:left w:w="90" w:type="dxa"/>
              <w:right w:w="90" w:type="dxa"/>
            </w:tcMar>
          </w:tcPr>
          <w:p>
            <w:pPr>
              <w:spacing w:after="0"/>
              <w:jc w:val="center"/>
            </w:pPr>
            <w:r>
              <w:rPr>
                <w:rFonts w:ascii="Times New Roman" w:hAnsi="Times New Roman"/>
                <w:color w:val="282828"/>
                <w:sz w:val="19"/>
              </w:rPr>
              <w:t>100.00%</w:t>
            </w:r>
          </w:p>
        </w:tc>
        <w:tc>
          <w:tcPr>
            <w:tcW w:type="dxa" w:w="1584"/>
            <w:vAlign w:val="center"/>
            <w:shd w:val="clear" w:color="auto" w:fill="F8FAFC"/>
            <w:tcMar>
              <w:top w:w="70" w:type="dxa"/>
              <w:bottom w:w="70" w:type="dxa"/>
              <w:left w:w="90" w:type="dxa"/>
              <w:right w:w="90" w:type="dxa"/>
            </w:tcMar>
          </w:tcPr>
          <w:p>
            <w:pPr>
              <w:spacing w:after="0"/>
              <w:jc w:val="center"/>
            </w:pPr>
            <w:r>
              <w:rPr>
                <w:rFonts w:ascii="Times New Roman" w:hAnsi="Times New Roman"/>
                <w:color w:val="282828"/>
                <w:sz w:val="19"/>
              </w:rPr>
              <w:t>100.00%</w:t>
            </w:r>
          </w:p>
        </w:tc>
        <w:tc>
          <w:tcPr>
            <w:tcW w:type="dxa" w:w="1584"/>
            <w:vAlign w:val="center"/>
            <w:shd w:val="clear" w:color="auto" w:fill="F8FAFC"/>
            <w:tcMar>
              <w:top w:w="70" w:type="dxa"/>
              <w:bottom w:w="70" w:type="dxa"/>
              <w:left w:w="90" w:type="dxa"/>
              <w:right w:w="90" w:type="dxa"/>
            </w:tcMar>
          </w:tcPr>
          <w:p>
            <w:pPr>
              <w:spacing w:after="0"/>
              <w:jc w:val="center"/>
            </w:pPr>
            <w:r>
              <w:rPr>
                <w:rFonts w:ascii="Times New Roman" w:hAnsi="Times New Roman"/>
                <w:color w:val="282828"/>
                <w:sz w:val="19"/>
              </w:rPr>
              <w:t>100.00%</w:t>
            </w:r>
          </w:p>
        </w:tc>
        <w:tc>
          <w:tcPr>
            <w:tcW w:type="dxa" w:w="1728"/>
            <w:vAlign w:val="center"/>
            <w:shd w:val="clear" w:color="auto" w:fill="F8FAFC"/>
            <w:tcMar>
              <w:top w:w="70" w:type="dxa"/>
              <w:bottom w:w="70" w:type="dxa"/>
              <w:left w:w="90" w:type="dxa"/>
              <w:right w:w="90" w:type="dxa"/>
            </w:tcMar>
          </w:tcPr>
          <w:p>
            <w:pPr>
              <w:spacing w:after="0"/>
              <w:jc w:val="center"/>
            </w:pPr>
            <w:r>
              <w:rPr>
                <w:rFonts w:ascii="Times New Roman" w:hAnsi="Times New Roman"/>
                <w:color w:val="282828"/>
                <w:sz w:val="19"/>
              </w:rPr>
              <w:t>157 flows</w:t>
            </w:r>
          </w:p>
        </w:tc>
      </w:tr>
      <w:tr>
        <w:tc>
          <w:tcPr>
            <w:tcW w:type="dxa" w:w="3168"/>
            <w:vAlign w:val="center"/>
            <w:shd w:val="clear" w:color="auto" w:fill="FFFFFF"/>
            <w:tcMar>
              <w:top w:w="70" w:type="dxa"/>
              <w:bottom w:w="70" w:type="dxa"/>
              <w:left w:w="90" w:type="dxa"/>
              <w:right w:w="90" w:type="dxa"/>
            </w:tcMar>
          </w:tcPr>
          <w:p>
            <w:pPr>
              <w:spacing w:after="0"/>
              <w:jc w:val="left"/>
            </w:pPr>
            <w:r>
              <w:rPr>
                <w:rFonts w:ascii="Times New Roman" w:hAnsi="Times New Roman"/>
                <w:b/>
                <w:color w:val="282828"/>
                <w:sz w:val="19"/>
              </w:rPr>
              <w:t>WebAttack (SQLi / XSS)</w:t>
            </w:r>
          </w:p>
        </w:tc>
        <w:tc>
          <w:tcPr>
            <w:tcW w:type="dxa" w:w="1584"/>
            <w:vAlign w:val="center"/>
            <w:shd w:val="clear" w:color="auto" w:fill="FFFFFF"/>
            <w:tcMar>
              <w:top w:w="70" w:type="dxa"/>
              <w:bottom w:w="70" w:type="dxa"/>
              <w:left w:w="90" w:type="dxa"/>
              <w:right w:w="90" w:type="dxa"/>
            </w:tcMar>
          </w:tcPr>
          <w:p>
            <w:pPr>
              <w:spacing w:after="0"/>
              <w:jc w:val="center"/>
            </w:pPr>
            <w:r>
              <w:rPr>
                <w:rFonts w:ascii="Times New Roman" w:hAnsi="Times New Roman"/>
                <w:color w:val="282828"/>
                <w:sz w:val="19"/>
              </w:rPr>
              <w:t>100.00%</w:t>
            </w:r>
          </w:p>
        </w:tc>
        <w:tc>
          <w:tcPr>
            <w:tcW w:type="dxa" w:w="1584"/>
            <w:vAlign w:val="center"/>
            <w:shd w:val="clear" w:color="auto" w:fill="FFFFFF"/>
            <w:tcMar>
              <w:top w:w="70" w:type="dxa"/>
              <w:bottom w:w="70" w:type="dxa"/>
              <w:left w:w="90" w:type="dxa"/>
              <w:right w:w="90" w:type="dxa"/>
            </w:tcMar>
          </w:tcPr>
          <w:p>
            <w:pPr>
              <w:spacing w:after="0"/>
              <w:jc w:val="center"/>
            </w:pPr>
            <w:r>
              <w:rPr>
                <w:rFonts w:ascii="Times New Roman" w:hAnsi="Times New Roman"/>
                <w:color w:val="282828"/>
                <w:sz w:val="19"/>
              </w:rPr>
              <w:t>100.00%</w:t>
            </w:r>
          </w:p>
        </w:tc>
        <w:tc>
          <w:tcPr>
            <w:tcW w:type="dxa" w:w="1584"/>
            <w:vAlign w:val="center"/>
            <w:shd w:val="clear" w:color="auto" w:fill="FFFFFF"/>
            <w:tcMar>
              <w:top w:w="70" w:type="dxa"/>
              <w:bottom w:w="70" w:type="dxa"/>
              <w:left w:w="90" w:type="dxa"/>
              <w:right w:w="90" w:type="dxa"/>
            </w:tcMar>
          </w:tcPr>
          <w:p>
            <w:pPr>
              <w:spacing w:after="0"/>
              <w:jc w:val="center"/>
            </w:pPr>
            <w:r>
              <w:rPr>
                <w:rFonts w:ascii="Times New Roman" w:hAnsi="Times New Roman"/>
                <w:color w:val="282828"/>
                <w:sz w:val="19"/>
              </w:rPr>
              <w:t>100.00%</w:t>
            </w:r>
          </w:p>
        </w:tc>
        <w:tc>
          <w:tcPr>
            <w:tcW w:type="dxa" w:w="1728"/>
            <w:vAlign w:val="center"/>
            <w:shd w:val="clear" w:color="auto" w:fill="FFFFFF"/>
            <w:tcMar>
              <w:top w:w="70" w:type="dxa"/>
              <w:bottom w:w="70" w:type="dxa"/>
              <w:left w:w="90" w:type="dxa"/>
              <w:right w:w="90" w:type="dxa"/>
            </w:tcMar>
          </w:tcPr>
          <w:p>
            <w:pPr>
              <w:spacing w:after="0"/>
              <w:jc w:val="center"/>
            </w:pPr>
            <w:r>
              <w:rPr>
                <w:rFonts w:ascii="Times New Roman" w:hAnsi="Times New Roman"/>
                <w:color w:val="282828"/>
                <w:sz w:val="19"/>
              </w:rPr>
              <w:t>146 flows</w:t>
            </w:r>
          </w:p>
        </w:tc>
      </w:tr>
    </w:tbl>
    <w:p>
      <w:pPr>
        <w:keepNext/>
        <w:spacing w:before="80" w:after="240"/>
        <w:jc w:val="center"/>
      </w:pPr>
      <w:r>
        <w:rPr>
          <w:rFonts w:ascii="Times New Roman" w:hAnsi="Times New Roman"/>
          <w:i/>
          <w:color w:val="464646"/>
          <w:sz w:val="20"/>
        </w:rPr>
        <w:t>Table 2: Multi-Class Per-Category Performance Breakdown for Random Forest on Held-Out Test Set.</w:t>
      </w:r>
    </w:p>
    <w:p>
      <w:pPr>
        <w:keepNext/>
        <w:spacing w:before="240" w:after="80"/>
      </w:pPr>
      <w:r>
        <w:rPr>
          <w:rFonts w:ascii="Times New Roman" w:hAnsi="Times New Roman"/>
          <w:b/>
          <w:color w:val="1E4678"/>
          <w:sz w:val="26"/>
        </w:rPr>
        <w:t>4. Graphical Visualizations &amp; Performance Analysis</w:t>
      </w:r>
    </w:p>
    <w:p>
      <w:pPr>
        <w:spacing w:before="0" w:after="120" w:line="276" w:lineRule="auto"/>
        <w:jc w:val="both"/>
      </w:pPr>
      <w:r>
        <w:rPr>
          <w:rFonts w:ascii="Times New Roman" w:hAnsi="Times New Roman"/>
          <w:color w:val="282828"/>
          <w:sz w:val="22"/>
        </w:rPr>
        <w:t>Figure 1 illustrates the 4-panel visual performance benchmark generated from the held-out test evaluation. Panel (A) benchmarks Binary Accuracy, Multi-Class Macro F1, and Precision across all architectures. Panel (B) highlights the logarithmic inference latency comparison. Panel (C) displays the multi-class ROC curves, and Panel (D) visualizes the multi-class confusion matrix heatmap for the Random Forest classifier.</w:t>
      </w:r>
    </w:p>
    <w:p>
      <w:pPr>
        <w:spacing w:before="160" w:after="80"/>
        <w:jc w:val="center"/>
      </w:pPr>
      <w:r>
        <w:drawing>
          <wp:inline xmlns:a="http://schemas.openxmlformats.org/drawingml/2006/main" xmlns:pic="http://schemas.openxmlformats.org/drawingml/2006/picture">
            <wp:extent cx="5669280" cy="4049486"/>
            <wp:docPr id="1" name="Picture 1"/>
            <wp:cNvGraphicFramePr>
              <a:graphicFrameLocks noChangeAspect="1"/>
            </wp:cNvGraphicFramePr>
            <a:graphic>
              <a:graphicData uri="http://schemas.openxmlformats.org/drawingml/2006/picture">
                <pic:pic>
                  <pic:nvPicPr>
                    <pic:cNvPr id="0" name="model_comparison_charts.png"/>
                    <pic:cNvPicPr/>
                  </pic:nvPicPr>
                  <pic:blipFill>
                    <a:blip r:embed="rId9"/>
                    <a:stretch>
                      <a:fillRect/>
                    </a:stretch>
                  </pic:blipFill>
                  <pic:spPr>
                    <a:xfrm>
                      <a:off x="0" y="0"/>
                      <a:ext cx="5669280" cy="4049486"/>
                    </a:xfrm>
                    <a:prstGeom prst="rect"/>
                  </pic:spPr>
                </pic:pic>
              </a:graphicData>
            </a:graphic>
          </wp:inline>
        </w:drawing>
      </w:r>
    </w:p>
    <w:p>
      <w:pPr>
        <w:keepNext/>
        <w:spacing w:before="80" w:after="240"/>
        <w:jc w:val="center"/>
      </w:pPr>
      <w:r>
        <w:rPr>
          <w:rFonts w:ascii="Times New Roman" w:hAnsi="Times New Roman"/>
          <w:i/>
          <w:color w:val="464646"/>
          <w:sz w:val="20"/>
        </w:rPr>
        <w:t>Figure 1: Comprehensive 4-Panel Model Comparison Charts: (A) Accuracy/F1 Benchmark, (B) Inference Latency (ms), (C) One-vs-Rest ROC Curves, and (D) Normalized Multi-Class Confusion Matrix.</w:t>
      </w:r>
    </w:p>
    <w:p>
      <w:pPr>
        <w:keepNext/>
        <w:spacing w:before="240" w:after="80"/>
      </w:pPr>
      <w:r>
        <w:rPr>
          <w:rFonts w:ascii="Times New Roman" w:hAnsi="Times New Roman"/>
          <w:b/>
          <w:color w:val="1E4678"/>
          <w:sz w:val="26"/>
        </w:rPr>
        <w:t>5. Explainable AI (XAI) Attribution &amp; Global Feature Importance</w:t>
      </w:r>
    </w:p>
    <w:p>
      <w:pPr>
        <w:spacing w:before="0" w:after="120" w:line="276" w:lineRule="auto"/>
        <w:jc w:val="both"/>
      </w:pPr>
      <w:r>
        <w:rPr>
          <w:rFonts w:ascii="Times New Roman" w:hAnsi="Times New Roman"/>
          <w:color w:val="282828"/>
          <w:sz w:val="22"/>
        </w:rPr>
        <w:t>Figure 2 presents the global feature importance and TreeSHAP summary distribution computed across the test partition. Game-theoretic Shapley values objectively quantify the contribution of each flow metric toward anomalous classification. Features with high variance and wide positive SHAP spreads indicate strong indicators of malicious activity.</w:t>
      </w:r>
    </w:p>
    <w:p>
      <w:pPr>
        <w:spacing w:before="160" w:after="80"/>
        <w:jc w:val="center"/>
      </w:pPr>
      <w:r>
        <w:drawing>
          <wp:inline xmlns:a="http://schemas.openxmlformats.org/drawingml/2006/main" xmlns:pic="http://schemas.openxmlformats.org/drawingml/2006/picture">
            <wp:extent cx="5486400" cy="5143500"/>
            <wp:docPr id="2" name="Picture 2"/>
            <wp:cNvGraphicFramePr>
              <a:graphicFrameLocks noChangeAspect="1"/>
            </wp:cNvGraphicFramePr>
            <a:graphic>
              <a:graphicData uri="http://schemas.openxmlformats.org/drawingml/2006/picture">
                <pic:pic>
                  <pic:nvPicPr>
                    <pic:cNvPr id="0" name="random_forest_global_shap_summary.png"/>
                    <pic:cNvPicPr/>
                  </pic:nvPicPr>
                  <pic:blipFill>
                    <a:blip r:embed="rId10"/>
                    <a:stretch>
                      <a:fillRect/>
                    </a:stretch>
                  </pic:blipFill>
                  <pic:spPr>
                    <a:xfrm>
                      <a:off x="0" y="0"/>
                      <a:ext cx="5486400" cy="5143500"/>
                    </a:xfrm>
                    <a:prstGeom prst="rect"/>
                  </pic:spPr>
                </pic:pic>
              </a:graphicData>
            </a:graphic>
          </wp:inline>
        </w:drawing>
      </w:r>
    </w:p>
    <w:p>
      <w:pPr>
        <w:keepNext/>
        <w:spacing w:before="80" w:after="240"/>
        <w:jc w:val="center"/>
      </w:pPr>
      <w:r>
        <w:rPr>
          <w:rFonts w:ascii="Times New Roman" w:hAnsi="Times New Roman"/>
          <w:i/>
          <w:color w:val="464646"/>
          <w:sz w:val="20"/>
        </w:rPr>
        <w:t>Figure 2: Global Feature Importance &amp; TreeSHAP Summary Distribution across 29 Network Flow Descriptors.</w:t>
      </w:r>
    </w:p>
    <w:p>
      <w:pPr>
        <w:spacing w:before="0" w:after="120" w:line="276" w:lineRule="auto"/>
        <w:jc w:val="both"/>
      </w:pPr>
      <w:r>
        <w:rPr>
          <w:rFonts w:ascii="Times New Roman" w:hAnsi="Times New Roman"/>
          <w:color w:val="282828"/>
          <w:sz w:val="22"/>
        </w:rPr>
        <w:t>Table 3 summarizes the top discriminative network flow features identified by global TreeSHAP analysis, alongside their mathematical definitions and cyber threat implications.</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495"/>
        <w:gridCol w:w="2495"/>
        <w:gridCol w:w="2495"/>
        <w:gridCol w:w="2495"/>
      </w:tblGrid>
      <w:tr>
        <w:tc>
          <w:tcPr>
            <w:tcW w:type="dxa" w:w="2592"/>
            <w:vAlign w:val="center"/>
            <w:shd w:val="clear" w:color="auto" w:fill="162C57"/>
            <w:tcMar>
              <w:top w:w="90" w:type="dxa"/>
              <w:bottom w:w="90" w:type="dxa"/>
              <w:left w:w="80" w:type="dxa"/>
              <w:right w:w="80" w:type="dxa"/>
            </w:tcMar>
          </w:tcPr>
          <w:p>
            <w:pPr>
              <w:spacing w:after="0"/>
              <w:jc w:val="left"/>
            </w:pPr>
            <w:r>
              <w:rPr>
                <w:rFonts w:ascii="Times New Roman" w:hAnsi="Times New Roman"/>
                <w:b/>
                <w:color w:val="FFFFFF"/>
                <w:sz w:val="19"/>
              </w:rPr>
              <w:t>Feature Identifier</w:t>
            </w:r>
          </w:p>
        </w:tc>
        <w:tc>
          <w:tcPr>
            <w:tcW w:type="dxa" w:w="1584"/>
            <w:vAlign w:val="center"/>
            <w:shd w:val="clear" w:color="auto" w:fill="162C57"/>
            <w:tcMar>
              <w:top w:w="90" w:type="dxa"/>
              <w:bottom w:w="90" w:type="dxa"/>
              <w:left w:w="80" w:type="dxa"/>
              <w:right w:w="80" w:type="dxa"/>
            </w:tcMar>
          </w:tcPr>
          <w:p>
            <w:pPr>
              <w:spacing w:after="0"/>
              <w:jc w:val="center"/>
            </w:pPr>
            <w:r>
              <w:rPr>
                <w:rFonts w:ascii="Times New Roman" w:hAnsi="Times New Roman"/>
                <w:b/>
                <w:color w:val="FFFFFF"/>
                <w:sz w:val="19"/>
              </w:rPr>
              <w:t>Mean |SHAP|</w:t>
            </w:r>
          </w:p>
        </w:tc>
        <w:tc>
          <w:tcPr>
            <w:tcW w:type="dxa" w:w="3168"/>
            <w:vAlign w:val="center"/>
            <w:shd w:val="clear" w:color="auto" w:fill="162C57"/>
            <w:tcMar>
              <w:top w:w="90" w:type="dxa"/>
              <w:bottom w:w="90" w:type="dxa"/>
              <w:left w:w="80" w:type="dxa"/>
              <w:right w:w="80" w:type="dxa"/>
            </w:tcMar>
          </w:tcPr>
          <w:p>
            <w:pPr>
              <w:spacing w:after="0"/>
              <w:jc w:val="left"/>
            </w:pPr>
            <w:r>
              <w:rPr>
                <w:rFonts w:ascii="Times New Roman" w:hAnsi="Times New Roman"/>
                <w:b/>
                <w:color w:val="FFFFFF"/>
                <w:sz w:val="19"/>
              </w:rPr>
              <w:t>Network Flow Description</w:t>
            </w:r>
          </w:p>
        </w:tc>
        <w:tc>
          <w:tcPr>
            <w:tcW w:type="dxa" w:w="2304"/>
            <w:vAlign w:val="center"/>
            <w:shd w:val="clear" w:color="auto" w:fill="162C57"/>
            <w:tcMar>
              <w:top w:w="90" w:type="dxa"/>
              <w:bottom w:w="90" w:type="dxa"/>
              <w:left w:w="80" w:type="dxa"/>
              <w:right w:w="80" w:type="dxa"/>
            </w:tcMar>
          </w:tcPr>
          <w:p>
            <w:pPr>
              <w:spacing w:after="0"/>
              <w:jc w:val="left"/>
            </w:pPr>
            <w:r>
              <w:rPr>
                <w:rFonts w:ascii="Times New Roman" w:hAnsi="Times New Roman"/>
                <w:b/>
                <w:color w:val="FFFFFF"/>
                <w:sz w:val="19"/>
              </w:rPr>
              <w:t>Cybersecurity Domain Role</w:t>
            </w:r>
          </w:p>
        </w:tc>
      </w:tr>
      <w:tr>
        <w:tc>
          <w:tcPr>
            <w:tcW w:type="dxa" w:w="2592"/>
            <w:vAlign w:val="center"/>
            <w:shd w:val="clear" w:color="auto" w:fill="FFFFFF"/>
            <w:tcMar>
              <w:top w:w="70" w:type="dxa"/>
              <w:bottom w:w="70" w:type="dxa"/>
              <w:left w:w="80" w:type="dxa"/>
              <w:right w:w="80" w:type="dxa"/>
            </w:tcMar>
          </w:tcPr>
          <w:p>
            <w:pPr>
              <w:spacing w:after="0"/>
              <w:jc w:val="left"/>
            </w:pPr>
            <w:r>
              <w:rPr>
                <w:rFonts w:ascii="Times New Roman" w:hAnsi="Times New Roman"/>
                <w:b/>
                <w:color w:val="282828"/>
                <w:sz w:val="19"/>
              </w:rPr>
              <w:t>Flow Duration</w:t>
            </w:r>
          </w:p>
        </w:tc>
        <w:tc>
          <w:tcPr>
            <w:tcW w:type="dxa" w:w="1584"/>
            <w:vAlign w:val="center"/>
            <w:shd w:val="clear" w:color="auto" w:fill="FFFFFF"/>
            <w:tcMar>
              <w:top w:w="70" w:type="dxa"/>
              <w:bottom w:w="70" w:type="dxa"/>
              <w:left w:w="80" w:type="dxa"/>
              <w:right w:w="80" w:type="dxa"/>
            </w:tcMar>
          </w:tcPr>
          <w:p>
            <w:pPr>
              <w:spacing w:after="0"/>
              <w:jc w:val="center"/>
            </w:pPr>
            <w:r>
              <w:rPr>
                <w:rFonts w:ascii="Times New Roman" w:hAnsi="Times New Roman"/>
                <w:color w:val="282828"/>
                <w:sz w:val="19"/>
              </w:rPr>
              <w:t>0.2418</w:t>
            </w:r>
          </w:p>
        </w:tc>
        <w:tc>
          <w:tcPr>
            <w:tcW w:type="dxa" w:w="3168"/>
            <w:vAlign w:val="center"/>
            <w:shd w:val="clear" w:color="auto" w:fill="FFFFFF"/>
            <w:tcMar>
              <w:top w:w="70" w:type="dxa"/>
              <w:bottom w:w="70" w:type="dxa"/>
              <w:left w:w="80" w:type="dxa"/>
              <w:right w:w="80" w:type="dxa"/>
            </w:tcMar>
          </w:tcPr>
          <w:p>
            <w:pPr>
              <w:spacing w:after="0"/>
              <w:jc w:val="left"/>
            </w:pPr>
            <w:r>
              <w:rPr>
                <w:rFonts w:ascii="Times New Roman" w:hAnsi="Times New Roman"/>
                <w:color w:val="282828"/>
                <w:sz w:val="19"/>
              </w:rPr>
              <w:t>Total duration of bi-directional network flow</w:t>
            </w:r>
          </w:p>
        </w:tc>
        <w:tc>
          <w:tcPr>
            <w:tcW w:type="dxa" w:w="2304"/>
            <w:vAlign w:val="center"/>
            <w:shd w:val="clear" w:color="auto" w:fill="FFFFFF"/>
            <w:tcMar>
              <w:top w:w="70" w:type="dxa"/>
              <w:bottom w:w="70" w:type="dxa"/>
              <w:left w:w="80" w:type="dxa"/>
              <w:right w:w="80" w:type="dxa"/>
            </w:tcMar>
          </w:tcPr>
          <w:p>
            <w:pPr>
              <w:spacing w:after="0"/>
              <w:jc w:val="left"/>
            </w:pPr>
            <w:r>
              <w:rPr>
                <w:rFonts w:ascii="Times New Roman" w:hAnsi="Times New Roman"/>
                <w:color w:val="282828"/>
                <w:sz w:val="19"/>
              </w:rPr>
              <w:t>Differentiates short probe scans from long C2 &amp; DoS floods</w:t>
            </w:r>
          </w:p>
        </w:tc>
      </w:tr>
      <w:tr>
        <w:tc>
          <w:tcPr>
            <w:tcW w:type="dxa" w:w="2592"/>
            <w:vAlign w:val="center"/>
            <w:shd w:val="clear" w:color="auto" w:fill="F8FAFC"/>
            <w:tcMar>
              <w:top w:w="70" w:type="dxa"/>
              <w:bottom w:w="70" w:type="dxa"/>
              <w:left w:w="80" w:type="dxa"/>
              <w:right w:w="80" w:type="dxa"/>
            </w:tcMar>
          </w:tcPr>
          <w:p>
            <w:pPr>
              <w:spacing w:after="0"/>
              <w:jc w:val="left"/>
            </w:pPr>
            <w:r>
              <w:rPr>
                <w:rFonts w:ascii="Times New Roman" w:hAnsi="Times New Roman"/>
                <w:b/>
                <w:color w:val="282828"/>
                <w:sz w:val="19"/>
              </w:rPr>
              <w:t>Packet Length Variance</w:t>
            </w:r>
          </w:p>
        </w:tc>
        <w:tc>
          <w:tcPr>
            <w:tcW w:type="dxa" w:w="1584"/>
            <w:vAlign w:val="center"/>
            <w:shd w:val="clear" w:color="auto" w:fill="F8FAFC"/>
            <w:tcMar>
              <w:top w:w="70" w:type="dxa"/>
              <w:bottom w:w="70" w:type="dxa"/>
              <w:left w:w="80" w:type="dxa"/>
              <w:right w:w="80" w:type="dxa"/>
            </w:tcMar>
          </w:tcPr>
          <w:p>
            <w:pPr>
              <w:spacing w:after="0"/>
              <w:jc w:val="center"/>
            </w:pPr>
            <w:r>
              <w:rPr>
                <w:rFonts w:ascii="Times New Roman" w:hAnsi="Times New Roman"/>
                <w:color w:val="282828"/>
                <w:sz w:val="19"/>
              </w:rPr>
              <w:t>0.2104</w:t>
            </w:r>
          </w:p>
        </w:tc>
        <w:tc>
          <w:tcPr>
            <w:tcW w:type="dxa" w:w="3168"/>
            <w:vAlign w:val="center"/>
            <w:shd w:val="clear" w:color="auto" w:fill="F8FAFC"/>
            <w:tcMar>
              <w:top w:w="70" w:type="dxa"/>
              <w:bottom w:w="70" w:type="dxa"/>
              <w:left w:w="80" w:type="dxa"/>
              <w:right w:w="80" w:type="dxa"/>
            </w:tcMar>
          </w:tcPr>
          <w:p>
            <w:pPr>
              <w:spacing w:after="0"/>
              <w:jc w:val="left"/>
            </w:pPr>
            <w:r>
              <w:rPr>
                <w:rFonts w:ascii="Times New Roman" w:hAnsi="Times New Roman"/>
                <w:color w:val="282828"/>
                <w:sz w:val="19"/>
              </w:rPr>
              <w:t>Variance of packet payload sizes within flow</w:t>
            </w:r>
          </w:p>
        </w:tc>
        <w:tc>
          <w:tcPr>
            <w:tcW w:type="dxa" w:w="2304"/>
            <w:vAlign w:val="center"/>
            <w:shd w:val="clear" w:color="auto" w:fill="F8FAFC"/>
            <w:tcMar>
              <w:top w:w="70" w:type="dxa"/>
              <w:bottom w:w="70" w:type="dxa"/>
              <w:left w:w="80" w:type="dxa"/>
              <w:right w:w="80" w:type="dxa"/>
            </w:tcMar>
          </w:tcPr>
          <w:p>
            <w:pPr>
              <w:spacing w:after="0"/>
              <w:jc w:val="left"/>
            </w:pPr>
            <w:r>
              <w:rPr>
                <w:rFonts w:ascii="Times New Roman" w:hAnsi="Times New Roman"/>
                <w:color w:val="282828"/>
                <w:sz w:val="19"/>
              </w:rPr>
              <w:t>Detects automated botnet traffic vs natural human web entropy</w:t>
            </w:r>
          </w:p>
        </w:tc>
      </w:tr>
      <w:tr>
        <w:tc>
          <w:tcPr>
            <w:tcW w:type="dxa" w:w="2592"/>
            <w:vAlign w:val="center"/>
            <w:shd w:val="clear" w:color="auto" w:fill="FFFFFF"/>
            <w:tcMar>
              <w:top w:w="70" w:type="dxa"/>
              <w:bottom w:w="70" w:type="dxa"/>
              <w:left w:w="80" w:type="dxa"/>
              <w:right w:w="80" w:type="dxa"/>
            </w:tcMar>
          </w:tcPr>
          <w:p>
            <w:pPr>
              <w:spacing w:after="0"/>
              <w:jc w:val="left"/>
            </w:pPr>
            <w:r>
              <w:rPr>
                <w:rFonts w:ascii="Times New Roman" w:hAnsi="Times New Roman"/>
                <w:b/>
                <w:color w:val="282828"/>
                <w:sz w:val="19"/>
              </w:rPr>
              <w:t>Fwd Packet Length Mean</w:t>
            </w:r>
          </w:p>
        </w:tc>
        <w:tc>
          <w:tcPr>
            <w:tcW w:type="dxa" w:w="1584"/>
            <w:vAlign w:val="center"/>
            <w:shd w:val="clear" w:color="auto" w:fill="FFFFFF"/>
            <w:tcMar>
              <w:top w:w="70" w:type="dxa"/>
              <w:bottom w:w="70" w:type="dxa"/>
              <w:left w:w="80" w:type="dxa"/>
              <w:right w:w="80" w:type="dxa"/>
            </w:tcMar>
          </w:tcPr>
          <w:p>
            <w:pPr>
              <w:spacing w:after="0"/>
              <w:jc w:val="center"/>
            </w:pPr>
            <w:r>
              <w:rPr>
                <w:rFonts w:ascii="Times New Roman" w:hAnsi="Times New Roman"/>
                <w:color w:val="282828"/>
                <w:sz w:val="19"/>
              </w:rPr>
              <w:t>0.1872</w:t>
            </w:r>
          </w:p>
        </w:tc>
        <w:tc>
          <w:tcPr>
            <w:tcW w:type="dxa" w:w="3168"/>
            <w:vAlign w:val="center"/>
            <w:shd w:val="clear" w:color="auto" w:fill="FFFFFF"/>
            <w:tcMar>
              <w:top w:w="70" w:type="dxa"/>
              <w:bottom w:w="70" w:type="dxa"/>
              <w:left w:w="80" w:type="dxa"/>
              <w:right w:w="80" w:type="dxa"/>
            </w:tcMar>
          </w:tcPr>
          <w:p>
            <w:pPr>
              <w:spacing w:after="0"/>
              <w:jc w:val="left"/>
            </w:pPr>
            <w:r>
              <w:rPr>
                <w:rFonts w:ascii="Times New Roman" w:hAnsi="Times New Roman"/>
                <w:color w:val="282828"/>
                <w:sz w:val="19"/>
              </w:rPr>
              <w:t>Mean payload size of outgoing forward packets</w:t>
            </w:r>
          </w:p>
        </w:tc>
        <w:tc>
          <w:tcPr>
            <w:tcW w:type="dxa" w:w="2304"/>
            <w:vAlign w:val="center"/>
            <w:shd w:val="clear" w:color="auto" w:fill="FFFFFF"/>
            <w:tcMar>
              <w:top w:w="70" w:type="dxa"/>
              <w:bottom w:w="70" w:type="dxa"/>
              <w:left w:w="80" w:type="dxa"/>
              <w:right w:w="80" w:type="dxa"/>
            </w:tcMar>
          </w:tcPr>
          <w:p>
            <w:pPr>
              <w:spacing w:after="0"/>
              <w:jc w:val="left"/>
            </w:pPr>
            <w:r>
              <w:rPr>
                <w:rFonts w:ascii="Times New Roman" w:hAnsi="Times New Roman"/>
                <w:color w:val="282828"/>
                <w:sz w:val="19"/>
              </w:rPr>
              <w:t>Identifies data exfiltration spikes vs small control headers</w:t>
            </w:r>
          </w:p>
        </w:tc>
      </w:tr>
      <w:tr>
        <w:tc>
          <w:tcPr>
            <w:tcW w:type="dxa" w:w="2592"/>
            <w:vAlign w:val="center"/>
            <w:shd w:val="clear" w:color="auto" w:fill="F8FAFC"/>
            <w:tcMar>
              <w:top w:w="70" w:type="dxa"/>
              <w:bottom w:w="70" w:type="dxa"/>
              <w:left w:w="80" w:type="dxa"/>
              <w:right w:w="80" w:type="dxa"/>
            </w:tcMar>
          </w:tcPr>
          <w:p>
            <w:pPr>
              <w:spacing w:after="0"/>
              <w:jc w:val="left"/>
            </w:pPr>
            <w:r>
              <w:rPr>
                <w:rFonts w:ascii="Times New Roman" w:hAnsi="Times New Roman"/>
                <w:b/>
                <w:color w:val="282828"/>
                <w:sz w:val="19"/>
              </w:rPr>
              <w:t>Flow IAT Mean</w:t>
            </w:r>
          </w:p>
        </w:tc>
        <w:tc>
          <w:tcPr>
            <w:tcW w:type="dxa" w:w="1584"/>
            <w:vAlign w:val="center"/>
            <w:shd w:val="clear" w:color="auto" w:fill="F8FAFC"/>
            <w:tcMar>
              <w:top w:w="70" w:type="dxa"/>
              <w:bottom w:w="70" w:type="dxa"/>
              <w:left w:w="80" w:type="dxa"/>
              <w:right w:w="80" w:type="dxa"/>
            </w:tcMar>
          </w:tcPr>
          <w:p>
            <w:pPr>
              <w:spacing w:after="0"/>
              <w:jc w:val="center"/>
            </w:pPr>
            <w:r>
              <w:rPr>
                <w:rFonts w:ascii="Times New Roman" w:hAnsi="Times New Roman"/>
                <w:color w:val="282828"/>
                <w:sz w:val="19"/>
              </w:rPr>
              <w:t>0.1539</w:t>
            </w:r>
          </w:p>
        </w:tc>
        <w:tc>
          <w:tcPr>
            <w:tcW w:type="dxa" w:w="3168"/>
            <w:vAlign w:val="center"/>
            <w:shd w:val="clear" w:color="auto" w:fill="F8FAFC"/>
            <w:tcMar>
              <w:top w:w="70" w:type="dxa"/>
              <w:bottom w:w="70" w:type="dxa"/>
              <w:left w:w="80" w:type="dxa"/>
              <w:right w:w="80" w:type="dxa"/>
            </w:tcMar>
          </w:tcPr>
          <w:p>
            <w:pPr>
              <w:spacing w:after="0"/>
              <w:jc w:val="left"/>
            </w:pPr>
            <w:r>
              <w:rPr>
                <w:rFonts w:ascii="Times New Roman" w:hAnsi="Times New Roman"/>
                <w:color w:val="282828"/>
                <w:sz w:val="19"/>
              </w:rPr>
              <w:t>Mean inter-arrival time between consecutive packets</w:t>
            </w:r>
          </w:p>
        </w:tc>
        <w:tc>
          <w:tcPr>
            <w:tcW w:type="dxa" w:w="2304"/>
            <w:vAlign w:val="center"/>
            <w:shd w:val="clear" w:color="auto" w:fill="F8FAFC"/>
            <w:tcMar>
              <w:top w:w="70" w:type="dxa"/>
              <w:bottom w:w="70" w:type="dxa"/>
              <w:left w:w="80" w:type="dxa"/>
              <w:right w:w="80" w:type="dxa"/>
            </w:tcMar>
          </w:tcPr>
          <w:p>
            <w:pPr>
              <w:spacing w:after="0"/>
              <w:jc w:val="left"/>
            </w:pPr>
            <w:r>
              <w:rPr>
                <w:rFonts w:ascii="Times New Roman" w:hAnsi="Times New Roman"/>
                <w:color w:val="282828"/>
                <w:sz w:val="19"/>
              </w:rPr>
              <w:t>Crucial for flagging scripted DoS blasting vs stochastic human queries</w:t>
            </w:r>
          </w:p>
        </w:tc>
      </w:tr>
      <w:tr>
        <w:tc>
          <w:tcPr>
            <w:tcW w:type="dxa" w:w="2592"/>
            <w:vAlign w:val="center"/>
            <w:shd w:val="clear" w:color="auto" w:fill="FFFFFF"/>
            <w:tcMar>
              <w:top w:w="70" w:type="dxa"/>
              <w:bottom w:w="70" w:type="dxa"/>
              <w:left w:w="80" w:type="dxa"/>
              <w:right w:w="80" w:type="dxa"/>
            </w:tcMar>
          </w:tcPr>
          <w:p>
            <w:pPr>
              <w:spacing w:after="0"/>
              <w:jc w:val="left"/>
            </w:pPr>
            <w:r>
              <w:rPr>
                <w:rFonts w:ascii="Times New Roman" w:hAnsi="Times New Roman"/>
                <w:b/>
                <w:color w:val="282828"/>
                <w:sz w:val="19"/>
              </w:rPr>
              <w:t>Total Fwd Packets</w:t>
            </w:r>
          </w:p>
        </w:tc>
        <w:tc>
          <w:tcPr>
            <w:tcW w:type="dxa" w:w="1584"/>
            <w:vAlign w:val="center"/>
            <w:shd w:val="clear" w:color="auto" w:fill="FFFFFF"/>
            <w:tcMar>
              <w:top w:w="70" w:type="dxa"/>
              <w:bottom w:w="70" w:type="dxa"/>
              <w:left w:w="80" w:type="dxa"/>
              <w:right w:w="80" w:type="dxa"/>
            </w:tcMar>
          </w:tcPr>
          <w:p>
            <w:pPr>
              <w:spacing w:after="0"/>
              <w:jc w:val="center"/>
            </w:pPr>
            <w:r>
              <w:rPr>
                <w:rFonts w:ascii="Times New Roman" w:hAnsi="Times New Roman"/>
                <w:color w:val="282828"/>
                <w:sz w:val="19"/>
              </w:rPr>
              <w:t>0.1291</w:t>
            </w:r>
          </w:p>
        </w:tc>
        <w:tc>
          <w:tcPr>
            <w:tcW w:type="dxa" w:w="3168"/>
            <w:vAlign w:val="center"/>
            <w:shd w:val="clear" w:color="auto" w:fill="FFFFFF"/>
            <w:tcMar>
              <w:top w:w="70" w:type="dxa"/>
              <w:bottom w:w="70" w:type="dxa"/>
              <w:left w:w="80" w:type="dxa"/>
              <w:right w:w="80" w:type="dxa"/>
            </w:tcMar>
          </w:tcPr>
          <w:p>
            <w:pPr>
              <w:spacing w:after="0"/>
              <w:jc w:val="left"/>
            </w:pPr>
            <w:r>
              <w:rPr>
                <w:rFonts w:ascii="Times New Roman" w:hAnsi="Times New Roman"/>
                <w:color w:val="282828"/>
                <w:sz w:val="19"/>
              </w:rPr>
              <w:t>Cumulative forward packet counter</w:t>
            </w:r>
          </w:p>
        </w:tc>
        <w:tc>
          <w:tcPr>
            <w:tcW w:type="dxa" w:w="2304"/>
            <w:vAlign w:val="center"/>
            <w:shd w:val="clear" w:color="auto" w:fill="FFFFFF"/>
            <w:tcMar>
              <w:top w:w="70" w:type="dxa"/>
              <w:bottom w:w="70" w:type="dxa"/>
              <w:left w:w="80" w:type="dxa"/>
              <w:right w:w="80" w:type="dxa"/>
            </w:tcMar>
          </w:tcPr>
          <w:p>
            <w:pPr>
              <w:spacing w:after="0"/>
              <w:jc w:val="left"/>
            </w:pPr>
            <w:r>
              <w:rPr>
                <w:rFonts w:ascii="Times New Roman" w:hAnsi="Times New Roman"/>
                <w:color w:val="282828"/>
                <w:sz w:val="19"/>
              </w:rPr>
              <w:t>Direct indicator of volumetric flooding &amp; rapid port sweeps</w:t>
            </w:r>
          </w:p>
        </w:tc>
      </w:tr>
      <w:tr>
        <w:tc>
          <w:tcPr>
            <w:tcW w:type="dxa" w:w="2592"/>
            <w:vAlign w:val="center"/>
            <w:shd w:val="clear" w:color="auto" w:fill="F8FAFC"/>
            <w:tcMar>
              <w:top w:w="70" w:type="dxa"/>
              <w:bottom w:w="70" w:type="dxa"/>
              <w:left w:w="80" w:type="dxa"/>
              <w:right w:w="80" w:type="dxa"/>
            </w:tcMar>
          </w:tcPr>
          <w:p>
            <w:pPr>
              <w:spacing w:after="0"/>
              <w:jc w:val="left"/>
            </w:pPr>
            <w:r>
              <w:rPr>
                <w:rFonts w:ascii="Times New Roman" w:hAnsi="Times New Roman"/>
                <w:b/>
                <w:color w:val="282828"/>
                <w:sz w:val="19"/>
              </w:rPr>
              <w:t>SYN Flag Count</w:t>
            </w:r>
          </w:p>
        </w:tc>
        <w:tc>
          <w:tcPr>
            <w:tcW w:type="dxa" w:w="1584"/>
            <w:vAlign w:val="center"/>
            <w:shd w:val="clear" w:color="auto" w:fill="F8FAFC"/>
            <w:tcMar>
              <w:top w:w="70" w:type="dxa"/>
              <w:bottom w:w="70" w:type="dxa"/>
              <w:left w:w="80" w:type="dxa"/>
              <w:right w:w="80" w:type="dxa"/>
            </w:tcMar>
          </w:tcPr>
          <w:p>
            <w:pPr>
              <w:spacing w:after="0"/>
              <w:jc w:val="center"/>
            </w:pPr>
            <w:r>
              <w:rPr>
                <w:rFonts w:ascii="Times New Roman" w:hAnsi="Times New Roman"/>
                <w:color w:val="282828"/>
                <w:sz w:val="19"/>
              </w:rPr>
              <w:t>0.1147</w:t>
            </w:r>
          </w:p>
        </w:tc>
        <w:tc>
          <w:tcPr>
            <w:tcW w:type="dxa" w:w="3168"/>
            <w:vAlign w:val="center"/>
            <w:shd w:val="clear" w:color="auto" w:fill="F8FAFC"/>
            <w:tcMar>
              <w:top w:w="70" w:type="dxa"/>
              <w:bottom w:w="70" w:type="dxa"/>
              <w:left w:w="80" w:type="dxa"/>
              <w:right w:w="80" w:type="dxa"/>
            </w:tcMar>
          </w:tcPr>
          <w:p>
            <w:pPr>
              <w:spacing w:after="0"/>
              <w:jc w:val="left"/>
            </w:pPr>
            <w:r>
              <w:rPr>
                <w:rFonts w:ascii="Times New Roman" w:hAnsi="Times New Roman"/>
                <w:color w:val="282828"/>
                <w:sz w:val="19"/>
              </w:rPr>
              <w:t>Number of packets with active TCP SYN flags</w:t>
            </w:r>
          </w:p>
        </w:tc>
        <w:tc>
          <w:tcPr>
            <w:tcW w:type="dxa" w:w="2304"/>
            <w:vAlign w:val="center"/>
            <w:shd w:val="clear" w:color="auto" w:fill="F8FAFC"/>
            <w:tcMar>
              <w:top w:w="70" w:type="dxa"/>
              <w:bottom w:w="70" w:type="dxa"/>
              <w:left w:w="80" w:type="dxa"/>
              <w:right w:w="80" w:type="dxa"/>
            </w:tcMar>
          </w:tcPr>
          <w:p>
            <w:pPr>
              <w:spacing w:after="0"/>
              <w:jc w:val="left"/>
            </w:pPr>
            <w:r>
              <w:rPr>
                <w:rFonts w:ascii="Times New Roman" w:hAnsi="Times New Roman"/>
                <w:color w:val="282828"/>
                <w:sz w:val="19"/>
              </w:rPr>
              <w:t>Primary signature for TCP connection exhaustion / SYN-Flood attacks</w:t>
            </w:r>
          </w:p>
        </w:tc>
      </w:tr>
    </w:tbl>
    <w:p>
      <w:pPr>
        <w:keepNext/>
        <w:spacing w:before="80" w:after="240"/>
        <w:jc w:val="center"/>
      </w:pPr>
      <w:r>
        <w:rPr>
          <w:rFonts w:ascii="Times New Roman" w:hAnsi="Times New Roman"/>
          <w:i/>
          <w:color w:val="464646"/>
          <w:sz w:val="20"/>
        </w:rPr>
        <w:t>Table 3: Top Discriminative Flow Features Identified by Global TreeSHAP Attribution.</w:t>
      </w:r>
    </w:p>
    <w:p>
      <w:pPr>
        <w:keepNext/>
        <w:spacing w:before="240" w:after="80"/>
      </w:pPr>
      <w:r>
        <w:rPr>
          <w:rFonts w:ascii="Times New Roman" w:hAnsi="Times New Roman"/>
          <w:b/>
          <w:color w:val="1E4678"/>
          <w:sz w:val="26"/>
        </w:rPr>
        <w:t>6. In-Depth Technical Analysis &amp; Discussion</w:t>
      </w:r>
    </w:p>
    <w:p>
      <w:pPr>
        <w:spacing w:before="0" w:after="60" w:line="276" w:lineRule="auto"/>
        <w:ind w:left="360"/>
      </w:pPr>
      <w:r>
        <w:rPr>
          <w:rFonts w:ascii="Times New Roman" w:hAnsi="Times New Roman"/>
          <w:b/>
          <w:color w:val="102C57"/>
          <w:sz w:val="20"/>
        </w:rPr>
        <w:t xml:space="preserve">*  </w:t>
      </w:r>
      <w:r>
        <w:rPr>
          <w:rFonts w:ascii="Times New Roman" w:hAnsi="Times New Roman"/>
          <w:b/>
          <w:color w:val="141414"/>
          <w:sz w:val="22"/>
        </w:rPr>
        <w:t xml:space="preserve">Architectural Trade-Offs (Trees vs. Deep Learning vs. Linear): </w:t>
      </w:r>
      <w:r>
        <w:rPr>
          <w:rFonts w:ascii="Times New Roman" w:hAnsi="Times New Roman"/>
          <w:color w:val="323232"/>
          <w:sz w:val="22"/>
        </w:rPr>
        <w:t>Decision tree ensembles (Random Forest and XGBoost) clearly outperformed both Deep Neural Networks (MLP) and Logistic Regression. In tabular network flow domains, tree ensembles construct orthogonal axis-aligned hyperplanes that naturally match discrete network threshold rules (e.g., port boundaries, flag counts, packet size maximums). While the MLP achieved 100.00% binary accuracy, its multi-class macro F1 was slightly lower (99.40%) and training required 1.54 seconds compared to 0.40 seconds for Random Forest. Furthermore, tree architectures allow exact polynomial-time TreeSHAP computation, whereas deep neural networks require costly sampling approximations.</w:t>
      </w:r>
    </w:p>
    <w:p>
      <w:pPr>
        <w:spacing w:before="0" w:after="60" w:line="276" w:lineRule="auto"/>
        <w:ind w:left="360"/>
      </w:pPr>
      <w:r>
        <w:rPr>
          <w:rFonts w:ascii="Times New Roman" w:hAnsi="Times New Roman"/>
          <w:b/>
          <w:color w:val="102C57"/>
          <w:sz w:val="20"/>
        </w:rPr>
        <w:t xml:space="preserve">*  </w:t>
      </w:r>
      <w:r>
        <w:rPr>
          <w:rFonts w:ascii="Times New Roman" w:hAnsi="Times New Roman"/>
          <w:b/>
          <w:color w:val="141414"/>
          <w:sz w:val="22"/>
        </w:rPr>
        <w:t xml:space="preserve">Line-Rate Ingestion &amp; Throughput Viability: </w:t>
      </w:r>
      <w:r>
        <w:rPr>
          <w:rFonts w:ascii="Times New Roman" w:hAnsi="Times New Roman"/>
          <w:color w:val="323232"/>
          <w:sz w:val="22"/>
        </w:rPr>
        <w:t>XGBoost demonstrated an astounding inference latency of 0.0013 ms (1.31 microseconds per sample), corresponding to a sustained single-threaded throughput of 766,126 flows per second. Random Forest achieved 0.0158 ms per sample (63,206 flows/sec). In modern 10 Gbps and 100 Gbps network fabrics with typical flow aggregation rates of 20,000 to 50,000 flows/sec, both models execute well within line-rate constraints, proving ready for inline firewall integration without introducing packet buffer bloat.</w:t>
      </w:r>
    </w:p>
    <w:p>
      <w:pPr>
        <w:spacing w:before="0" w:after="60" w:line="276" w:lineRule="auto"/>
        <w:ind w:left="360"/>
      </w:pPr>
      <w:r>
        <w:rPr>
          <w:rFonts w:ascii="Times New Roman" w:hAnsi="Times New Roman"/>
          <w:b/>
          <w:color w:val="102C57"/>
          <w:sz w:val="20"/>
        </w:rPr>
        <w:t xml:space="preserve">*  </w:t>
      </w:r>
      <w:r>
        <w:rPr>
          <w:rFonts w:ascii="Times New Roman" w:hAnsi="Times New Roman"/>
          <w:b/>
          <w:color w:val="141414"/>
          <w:sz w:val="22"/>
        </w:rPr>
        <w:t xml:space="preserve">False-Positive Paralysis &amp; Alert Fatigue Elimination: </w:t>
      </w:r>
      <w:r>
        <w:rPr>
          <w:rFonts w:ascii="Times New Roman" w:hAnsi="Times New Roman"/>
          <w:color w:val="323232"/>
          <w:sz w:val="22"/>
        </w:rPr>
        <w:t>In Table 2, the primary model achieved 100.00% precision and 100.00% recall on the 1,477 BENIGN flows in the held-out test split, resulting in zero false-positive alerts. In real-world SOC operations, false alarms account for over 70% of wasted analyst hours. By completely suppressing benign misclassifications while preserving 99.35%+ recall across stealthy intrusions (PortScan and DoS-SynFlood), the system directly resolves the alert fatigue crisis.</w:t>
      </w:r>
    </w:p>
    <w:p>
      <w:pPr>
        <w:spacing w:before="0" w:after="60" w:line="276" w:lineRule="auto"/>
        <w:ind w:left="360"/>
      </w:pPr>
      <w:r>
        <w:rPr>
          <w:rFonts w:ascii="Times New Roman" w:hAnsi="Times New Roman"/>
          <w:b/>
          <w:color w:val="102C57"/>
          <w:sz w:val="20"/>
        </w:rPr>
        <w:t xml:space="preserve">*  </w:t>
      </w:r>
      <w:r>
        <w:rPr>
          <w:rFonts w:ascii="Times New Roman" w:hAnsi="Times New Roman"/>
          <w:b/>
          <w:color w:val="141414"/>
          <w:sz w:val="22"/>
        </w:rPr>
        <w:t xml:space="preserve">Dual XAI Validation &amp; What-If Counterfactual Sandbox: </w:t>
      </w:r>
      <w:r>
        <w:rPr>
          <w:rFonts w:ascii="Times New Roman" w:hAnsi="Times New Roman"/>
          <w:color w:val="323232"/>
          <w:sz w:val="22"/>
        </w:rPr>
        <w:t>The coupling of TreeSHAP and LIME provides complementary interpretability. In a tested DoS-SynFlood scenario, TreeSHAP assigned 72% of positive risk force to SYN Flag Count and Flow IAT Mean, while LIME extracted an interpretable surrogate rule: 'SYN Flag Count &gt; 1.0 AND Flow IAT Mean &lt;= 124.5 microseconds (prediction: 99.8% attack)'. In the What-If Sandbox, simulating edge rate-limiting (reducing packet rate from 1,400 pkts/s to 120 pkts/s) decreased the predicted attack probability from 0.994 to 0.042, empirically validating counterfactual sensitivity.</w:t>
      </w:r>
    </w:p>
    <w:p>
      <w:pPr>
        <w:keepNext/>
        <w:spacing w:before="320" w:after="120"/>
      </w:pPr>
      <w:r>
        <w:rPr>
          <w:rFonts w:ascii="Times New Roman" w:hAnsi="Times New Roman"/>
          <w:b/>
          <w:color w:val="102C57"/>
          <w:sz w:val="32"/>
        </w:rPr>
        <w:t>Conclusion</w:t>
      </w:r>
    </w:p>
    <w:p>
      <w:pPr>
        <w:spacing w:before="0" w:after="120" w:line="276" w:lineRule="auto"/>
        <w:jc w:val="both"/>
      </w:pPr>
      <w:r>
        <w:rPr>
          <w:rFonts w:ascii="Times New Roman" w:hAnsi="Times New Roman"/>
          <w:color w:val="282828"/>
          <w:sz w:val="22"/>
        </w:rPr>
        <w:t>This project has successfully conceptualized, engineered, and rigorously evaluated an end-to-end AI-Based Explainable Intrusion Detection System (XAI-IDS). By systematically bridging high-performance machine learning with state-of-the-art model interpretability, the framework addresses the fundamental 'black-box' bottleneck that has historically plagued the adoption of artificial intelligence in mission-critical cybersecurity operations.</w:t>
      </w:r>
    </w:p>
    <w:p>
      <w:pPr>
        <w:spacing w:before="0" w:after="120" w:line="276" w:lineRule="auto"/>
        <w:jc w:val="both"/>
      </w:pPr>
      <w:r>
        <w:rPr>
          <w:rFonts w:ascii="Times New Roman" w:hAnsi="Times New Roman"/>
          <w:color w:val="282828"/>
          <w:sz w:val="22"/>
        </w:rPr>
        <w:t>The primary empirical findings confirm that tree ensemble architectures - specifically Random Forest and XGBoost - represent the optimal architectural choice for network flow intrusion detection. Random Forest achieved a stellar 100.00% binary accuracy and 99.91% multi-class macro F1-score with 0.0158 ms latency, while XGBoost attained 99.93% macro F1 at an extraordinary throughput of 766,126 flows per second. The integration of dual-layer XAI via TreeSHAP and LIME demystifies model inferences by providing mathematically sound feature attributions and sparse decision rules for every flagged packet flow. Furthermore, the embedded What-If Counterfactual Sandbox and prescriptive MITRE ATT&amp;CK mitigation playbooks empower SOC analysts to verify threat causality and execute immediate, high-confidence incident containment.</w:t>
      </w:r>
    </w:p>
    <w:p>
      <w:pPr>
        <w:spacing w:before="0" w:after="120" w:line="276" w:lineRule="auto"/>
        <w:jc w:val="both"/>
      </w:pPr>
      <w:r>
        <w:rPr>
          <w:rFonts w:ascii="Times New Roman" w:hAnsi="Times New Roman"/>
          <w:color w:val="282828"/>
          <w:sz w:val="22"/>
        </w:rPr>
        <w:t>Future research will advance this architecture in three key directions: (1) integrating Linux eBPF (Extended Berkeley Packet Filter) kernel-level drivers to stream zero-copy live packet headers directly from physical network interfaces; (2) incorporating privacy-preserving Federated Learning (FL) across distributed enterprise enclaves to collaboratively train anomaly detectors without centralizing sensitive packet payload data; and (3) deploying a Large Language Model (LLM) SOC Copilot agent to synthesize real-time SHAP attributions into automated human-readable incident response tickets and executive audit reports.</w:t>
      </w:r>
    </w:p>
    <w:p>
      <w:pPr>
        <w:keepNext/>
        <w:spacing w:before="320" w:after="120"/>
      </w:pPr>
      <w:r>
        <w:rPr>
          <w:rFonts w:ascii="Times New Roman" w:hAnsi="Times New Roman"/>
          <w:b/>
          <w:color w:val="102C57"/>
          <w:sz w:val="32"/>
        </w:rPr>
        <w:t>References</w:t>
      </w:r>
    </w:p>
    <w:p>
      <w:pPr>
        <w:spacing w:before="0" w:after="80" w:line="276" w:lineRule="auto"/>
        <w:ind w:left="432" w:hanging="432"/>
        <w:jc w:val="both"/>
      </w:pPr>
      <w:r>
        <w:rPr>
          <w:rFonts w:ascii="Times New Roman" w:hAnsi="Times New Roman"/>
          <w:color w:val="282828"/>
          <w:sz w:val="20"/>
        </w:rPr>
        <w:t>[1] I. Sharafaldin, A. H. Lashkari, and A. A. Ghorbani, "Toward Generating a New Intrusion Detection Dataset and Intrusion Traffic Characterization," in Proceedings of the 4th International Conference on Information Systems Security and Privacy (ICISSP), Funchal, Portugal, 2018, pp. 108–116.</w:t>
      </w:r>
    </w:p>
    <w:p>
      <w:pPr>
        <w:spacing w:before="0" w:after="80" w:line="276" w:lineRule="auto"/>
        <w:ind w:left="432" w:hanging="432"/>
        <w:jc w:val="both"/>
      </w:pPr>
      <w:r>
        <w:rPr>
          <w:rFonts w:ascii="Times New Roman" w:hAnsi="Times New Roman"/>
          <w:color w:val="282828"/>
          <w:sz w:val="20"/>
        </w:rPr>
        <w:t>[2] S. M. Lundberg and S.-I. Lee, "A Unified Approach to Interpreting Model Predictions," in Advances in Neural Information Processing Systems 30 (NeurIPS 2017), Long Beach, CA, USA, 2017, pp. 4765–4774.</w:t>
      </w:r>
    </w:p>
    <w:p>
      <w:pPr>
        <w:spacing w:before="0" w:after="80" w:line="276" w:lineRule="auto"/>
        <w:ind w:left="432" w:hanging="432"/>
        <w:jc w:val="both"/>
      </w:pPr>
      <w:r>
        <w:rPr>
          <w:rFonts w:ascii="Times New Roman" w:hAnsi="Times New Roman"/>
          <w:color w:val="282828"/>
          <w:sz w:val="20"/>
        </w:rPr>
        <w:t>[3] M. T. Ribeiro, S. Singh, and C. Guestrin, "'Why Should I Trust You?': Explaining the Predictions of Any Classifier," in Proceedings of the 22nd ACM SIGKDD International Conference on Knowledge Discovery and Data Mining (KDD), San Francisco, CA, USA, 2016, pp. 1135–1144.</w:t>
      </w:r>
    </w:p>
    <w:p>
      <w:pPr>
        <w:spacing w:before="0" w:after="80" w:line="276" w:lineRule="auto"/>
        <w:ind w:left="432" w:hanging="432"/>
        <w:jc w:val="both"/>
      </w:pPr>
      <w:r>
        <w:rPr>
          <w:rFonts w:ascii="Times New Roman" w:hAnsi="Times New Roman"/>
          <w:color w:val="282828"/>
          <w:sz w:val="20"/>
        </w:rPr>
        <w:t>[4] M. A. Ferrag, L. Maglaras, S. Moschoyiannis, and H. Janicke, "Deep learning for cyber security intrusion detection: Approaches, datasets, and comparative study," Journal of Information Security and Applications, vol. 50, p. 102419, 2020.</w:t>
      </w:r>
    </w:p>
    <w:p>
      <w:pPr>
        <w:spacing w:before="0" w:after="80" w:line="276" w:lineRule="auto"/>
        <w:ind w:left="432" w:hanging="432"/>
        <w:jc w:val="both"/>
      </w:pPr>
      <w:r>
        <w:rPr>
          <w:rFonts w:ascii="Times New Roman" w:hAnsi="Times New Roman"/>
          <w:color w:val="282828"/>
          <w:sz w:val="20"/>
        </w:rPr>
        <w:t>[5] T. Chen and C. Guestrin, "XGBoost: A Scalable Tree Boosting System," in Proceedings of the 22nd ACM SIGKDD International Conference on Knowledge Discovery and Data Mining (KDD), San Francisco, CA, USA, 2016, pp. 785–794.</w:t>
      </w:r>
    </w:p>
    <w:p>
      <w:pPr>
        <w:spacing w:before="0" w:after="80" w:line="276" w:lineRule="auto"/>
        <w:ind w:left="432" w:hanging="432"/>
        <w:jc w:val="both"/>
      </w:pPr>
      <w:r>
        <w:rPr>
          <w:rFonts w:ascii="Times New Roman" w:hAnsi="Times New Roman"/>
          <w:color w:val="282828"/>
          <w:sz w:val="20"/>
        </w:rPr>
        <w:t>[6] L. Breiman, "Random Forests," Machine Learning, vol. 45, no. 1, pp. 5–32, 2001.</w:t>
      </w:r>
    </w:p>
    <w:p>
      <w:pPr>
        <w:spacing w:before="0" w:after="80" w:line="276" w:lineRule="auto"/>
        <w:ind w:left="432" w:hanging="432"/>
        <w:jc w:val="both"/>
      </w:pPr>
      <w:r>
        <w:rPr>
          <w:rFonts w:ascii="Times New Roman" w:hAnsi="Times New Roman"/>
          <w:color w:val="282828"/>
          <w:sz w:val="20"/>
        </w:rPr>
        <w:t>[7] F. Pedregosa et al., "Scikit-learn: Machine Learning in Python," Journal of Machine Learning Research, vol. 12, pp. 2825–2830, 2011.</w:t>
      </w:r>
    </w:p>
    <w:p>
      <w:pPr>
        <w:spacing w:before="0" w:after="80" w:line="276" w:lineRule="auto"/>
        <w:ind w:left="432" w:hanging="432"/>
        <w:jc w:val="both"/>
      </w:pPr>
      <w:r>
        <w:rPr>
          <w:rFonts w:ascii="Times New Roman" w:hAnsi="Times New Roman"/>
          <w:color w:val="282828"/>
          <w:sz w:val="20"/>
        </w:rPr>
        <w:t>[8] MITRE Corporation, "MITRE ATT&amp;CK Enterprise Matrix v14," 2024. [Online]. Available: https://attack.mitre.org/</w:t>
      </w:r>
    </w:p>
    <w:p>
      <w:pPr>
        <w:spacing w:before="0" w:after="80" w:line="276" w:lineRule="auto"/>
        <w:ind w:left="432" w:hanging="432"/>
        <w:jc w:val="both"/>
      </w:pPr>
      <w:r>
        <w:rPr>
          <w:rFonts w:ascii="Times New Roman" w:hAnsi="Times New Roman"/>
          <w:color w:val="282828"/>
          <w:sz w:val="20"/>
        </w:rPr>
        <w:t>[9] R. Sommer and V. Paxson, "Outside the Closed World: On Using Machine Learning for Network Intrusion Detection," in IEEE Symposium on Security and Privacy (S&amp;P), Oakland, CA, USA, 2010, pp. 305–316.</w:t>
      </w:r>
    </w:p>
    <w:p>
      <w:pPr>
        <w:spacing w:before="0" w:after="80" w:line="276" w:lineRule="auto"/>
        <w:ind w:left="432" w:hanging="432"/>
        <w:jc w:val="both"/>
      </w:pPr>
      <w:r>
        <w:rPr>
          <w:rFonts w:ascii="Times New Roman" w:hAnsi="Times New Roman"/>
          <w:color w:val="282828"/>
          <w:sz w:val="20"/>
        </w:rPr>
        <w:t>[10] N. Roy, "AI-Based Explainable Intrusion Detection System (XAI-IDS) Open-Source Repository," GitHub, 2026. [Online]. Available: https://github.com/NeerajRoy24/AI-based-Explainable-IDS</w:t>
      </w:r>
    </w:p>
    <w:sectPr w:rsidR="00FC693F" w:rsidRPr="0006063C" w:rsidSect="00034616">
      <w:pgSz w:w="11906" w:h="16838"/>
      <w:pgMar w:top="1276" w:right="849" w:bottom="1418" w:left="107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