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120"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w:hAnsi="Calibri (MS)" w:cs="Calibri (MS)" w:eastAsia="Calibri (MS)"/>
          <w:color w:val="000000"/>
          <w:sz w:val="44"/>
          <w:szCs w:val="44"/>
        </w:rPr>
        <w:t>School of Computer Science and Engineering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w:hAnsi="Calibri (MS)" w:cs="Calibri (MS)" w:eastAsia="Calibri (MS)"/>
          <w:color w:val="000000"/>
          <w:sz w:val="32"/>
          <w:szCs w:val="32"/>
        </w:rPr>
        <w:t>BCSE306L-ARTIFICIAL INTELLIGENCE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w:hAnsi="Calibri (MS)" w:cs="Calibri (MS)" w:eastAsia="Calibri (MS)"/>
          <w:color w:val="000000"/>
          <w:sz w:val="32"/>
          <w:szCs w:val="32"/>
        </w:rPr>
        <w:t>COURSE PROJECT REVIEW – 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4"/>
          <w:szCs w:val="24"/>
        </w:rPr>
        <w:t>Last date of Submission – 21-Jul-2026 Slot – C2+TC2</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4"/>
          <w:szCs w:val="24"/>
        </w:rPr>
        <w:t>Semester - Fall 2026-27 Faculty member–Dr.D.Anuradha</w:t>
      </w:r>
      <w:r>
        <w:rPr>
          <w:rFonts w:ascii="Calibri (MS)" w:hAnsi="Calibri (MS)" w:cs="Calibri (MS)" w:eastAsia="Calibri (MS)"/>
          <w:color w:val="000000"/>
          <w:sz w:val="32"/>
          <w:szCs w:val="32"/>
        </w:rPr>
        <w:t xml:space="preserv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Bold" w:hAnsi="Calibri (MS) Bold" w:cs="Calibri (MS) Bold" w:eastAsia="Calibri (MS) Bold"/>
          <w:b/>
          <w:bCs/>
          <w:color w:val="000000"/>
          <w:sz w:val="24"/>
          <w:szCs w:val="24"/>
        </w:rPr>
        <w:t>Title</w:t>
      </w:r>
      <w:r>
        <w:rPr>
          <w:rFonts w:ascii="Calibri (MS) Bold" w:hAnsi="Calibri (MS) Bold" w:cs="Calibri (MS) Bold" w:eastAsia="Calibri (MS) Bold"/>
          <w:b/>
          <w:bCs/>
          <w:color w:val="000000"/>
          <w:spacing w:val="-3"/>
          <w:sz w:val="24"/>
          <w:szCs w:val="24"/>
        </w:rPr>
        <w:t xml:space="preserve"> </w:t>
      </w:r>
      <w:r>
        <w:rPr>
          <w:rFonts w:ascii="Calibri (MS) Bold" w:hAnsi="Calibri (MS) Bold" w:cs="Calibri (MS) Bold" w:eastAsia="Calibri (MS) Bold"/>
          <w:b/>
          <w:bCs/>
          <w:color w:val="000000"/>
          <w:sz w:val="24"/>
          <w:szCs w:val="24"/>
        </w:rPr>
        <w:t>of</w:t>
      </w:r>
      <w:r>
        <w:rPr>
          <w:rFonts w:ascii="Calibri (MS) Bold" w:hAnsi="Calibri (MS) Bold" w:cs="Calibri (MS) Bold" w:eastAsia="Calibri (MS) Bold"/>
          <w:b/>
          <w:bCs/>
          <w:color w:val="000000"/>
          <w:spacing w:val="1"/>
          <w:sz w:val="24"/>
          <w:szCs w:val="24"/>
        </w:rPr>
        <w:t xml:space="preserve"> </w:t>
      </w:r>
      <w:r>
        <w:rPr>
          <w:rFonts w:ascii="Calibri (MS) Bold" w:hAnsi="Calibri (MS) Bold" w:cs="Calibri (MS) Bold" w:eastAsia="Calibri (MS) Bold"/>
          <w:b/>
          <w:bCs/>
          <w:color w:val="000000"/>
          <w:sz w:val="24"/>
          <w:szCs w:val="24"/>
        </w:rPr>
        <w:t>the</w:t>
      </w:r>
      <w:r>
        <w:rPr>
          <w:rFonts w:ascii="Calibri (MS) Bold" w:hAnsi="Calibri (MS) Bold" w:cs="Calibri (MS) Bold" w:eastAsia="Calibri (MS) Bold"/>
          <w:b/>
          <w:bCs/>
          <w:color w:val="000000"/>
          <w:spacing w:val="-1"/>
          <w:sz w:val="24"/>
          <w:szCs w:val="24"/>
        </w:rPr>
        <w:t xml:space="preserve"> </w:t>
      </w:r>
      <w:r>
        <w:rPr>
          <w:rFonts w:ascii="Calibri (MS) Bold" w:hAnsi="Calibri (MS) Bold" w:cs="Calibri (MS) Bold" w:eastAsia="Calibri (MS) Bold"/>
          <w:b/>
          <w:bCs/>
          <w:color w:val="000000"/>
          <w:sz w:val="24"/>
          <w:szCs w:val="24"/>
        </w:rPr>
        <w:t>Project: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AI-based Explainable Intrusion Detection System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4"/>
          <w:szCs w:val="24"/>
        </w:rPr>
        <w:t>Team members (max – 5):</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43"/>
        <w:gridCol w:w="2467"/>
        <w:gridCol w:w="6019"/>
      </w:tblGrid>
      <w:tr>
        <w:tc>
          <w:tcPr>
            <w:tcW w:w="543"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467" w:type="dxa"/>
            <w:tcMar>
              <w:top w:w="75"/>
              <w:start w:w="75"/>
              <w:bottom w:w="75"/>
              <w:end w:w="75"/>
            </w:tcMar>
          </w:tcPr>
          <w:p>
            <w:pPr>
              <w:spacing w:after="120" w:before="120" w:line="259" w:lineRule="auto"/>
              <w:ind w:firstLine="0" w:start="0"/>
              <w:jc w:val="start"/>
            </w:pPr>
            <w:r>
              <w:rPr>
                <w:rFonts w:ascii="Times New Roman Bold" w:hAnsi="Times New Roman Bold" w:cs="Times New Roman Bold" w:eastAsia="Times New Roman Bold"/>
                <w:b/>
                <w:bCs/>
                <w:color w:val="000000"/>
                <w:sz w:val="24"/>
                <w:szCs w:val="24"/>
              </w:rPr>
              <w:t>Reg. No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19" w:type="dxa"/>
            <w:tcMar>
              <w:top w:w="75"/>
              <w:start w:w="75"/>
              <w:bottom w:w="75"/>
              <w:end w:w="75"/>
            </w:tcMar>
          </w:tcPr>
          <w:p>
            <w:pPr>
              <w:spacing w:after="120" w:before="120" w:line="259" w:lineRule="auto"/>
              <w:ind w:firstLine="0" w:start="0"/>
              <w:jc w:val="start"/>
            </w:pPr>
            <w:r>
              <w:rPr>
                <w:rFonts w:ascii="Times New Roman Bold" w:hAnsi="Times New Roman Bold" w:cs="Times New Roman Bold" w:eastAsia="Times New Roman Bold"/>
                <w:b/>
                <w:bCs/>
                <w:color w:val="000000"/>
                <w:sz w:val="24"/>
                <w:szCs w:val="24"/>
              </w:rPr>
              <w:t>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543" w:type="dxa"/>
            <w:tcMar>
              <w:top w:w="75"/>
              <w:start w:w="75"/>
              <w:bottom w:w="75"/>
              <w:end w:w="75"/>
            </w:tcMar>
          </w:tcPr>
          <w:p>
            <w:pPr>
              <w:spacing w:after="120" w:before="120" w:line="259" w:lineRule="auto"/>
              <w:ind w:firstLine="0" w:start="0"/>
              <w:jc w:val="start"/>
            </w:pPr>
            <w:r>
              <w:rPr>
                <w:rFonts w:ascii="Times New Roman Bold" w:hAnsi="Times New Roman Bold" w:cs="Times New Roman Bold" w:eastAsia="Times New Roman Bold"/>
                <w:b/>
                <w:bCs/>
                <w:color w:val="000000"/>
                <w:sz w:val="24"/>
                <w:szCs w:val="24"/>
              </w:rPr>
              <w:t>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467"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24BDS0427</w:t>
            </w:r>
            <w:r>
              <w:rPr>
                <w:rFonts w:ascii="Arimo" w:hAnsi="Arimo" w:cs="Arimo" w:eastAsia="Arimo"/>
                <w:color w:val="000000"/>
                <w:sz w:val="24"/>
                <w:szCs w:val="24"/>
              </w:rPr>
              <w:t xml:space="preserve">
</w:t>
            </w:r>
          </w:p>
        </w:tc>
        <w:tc>
          <w:tcPr>
            <w:tcW w:w="6019"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br/>
            </w:r>
            <w:r>
              <w:rPr>
                <w:rFonts w:ascii="Arimo" w:hAnsi="Arimo" w:cs="Arimo" w:eastAsia="Arimo"/>
                <w:color w:val="000000"/>
                <w:sz w:val="24"/>
                <w:szCs w:val="24"/>
              </w:rPr>
              <w:t xml:space="preserve"> </w:t>
              <w:br/>
            </w:r>
            <w:r>
              <w:rPr>
                <w:rFonts w:ascii="Arimo" w:hAnsi="Arimo" w:cs="Arimo" w:eastAsia="Arimo"/>
                <w:color w:val="000000"/>
                <w:sz w:val="24"/>
                <w:szCs w:val="24"/>
              </w:rPr>
              <w:t>Neeraj Roy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543" w:type="dxa"/>
            <w:tcMar>
              <w:top w:w="75"/>
              <w:start w:w="75"/>
              <w:bottom w:w="75"/>
              <w:end w:w="75"/>
            </w:tcMar>
          </w:tcPr>
          <w:p>
            <w:pPr>
              <w:spacing w:after="120" w:before="120" w:line="259" w:lineRule="auto"/>
              <w:ind w:firstLine="0" w:start="0"/>
              <w:jc w:val="start"/>
            </w:pPr>
            <w:r>
              <w:rPr>
                <w:rFonts w:ascii="Times New Roman Bold" w:hAnsi="Times New Roman Bold" w:cs="Times New Roman Bold" w:eastAsia="Times New Roman Bold"/>
                <w:b/>
                <w:bCs/>
                <w:color w:val="000000"/>
                <w:sz w:val="24"/>
                <w:szCs w:val="24"/>
              </w:rPr>
              <w:t>2</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467"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19"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543" w:type="dxa"/>
            <w:tcMar>
              <w:top w:w="75"/>
              <w:start w:w="75"/>
              <w:bottom w:w="75"/>
              <w:end w:w="75"/>
            </w:tcMar>
          </w:tcPr>
          <w:p>
            <w:pPr>
              <w:spacing w:after="120" w:before="120" w:line="259" w:lineRule="auto"/>
              <w:ind w:firstLine="0" w:start="0"/>
              <w:jc w:val="start"/>
            </w:pPr>
            <w:r>
              <w:rPr>
                <w:rFonts w:ascii="Times New Roman Bold" w:hAnsi="Times New Roman Bold" w:cs="Times New Roman Bold" w:eastAsia="Times New Roman Bold"/>
                <w:b/>
                <w:bCs/>
                <w:color w:val="000000"/>
                <w:sz w:val="24"/>
                <w:szCs w:val="24"/>
              </w:rPr>
              <w:t>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467"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19"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543" w:type="dxa"/>
            <w:tcMar>
              <w:top w:w="75"/>
              <w:start w:w="75"/>
              <w:bottom w:w="75"/>
              <w:end w:w="75"/>
            </w:tcMar>
          </w:tcPr>
          <w:p>
            <w:pPr>
              <w:spacing w:after="120" w:before="120" w:line="259" w:lineRule="auto"/>
              <w:ind w:firstLine="0" w:start="0"/>
              <w:jc w:val="start"/>
            </w:pPr>
            <w:r>
              <w:rPr>
                <w:rFonts w:ascii="Times New Roman Bold" w:hAnsi="Times New Roman Bold" w:cs="Times New Roman Bold" w:eastAsia="Times New Roman Bold"/>
                <w:b/>
                <w:bCs/>
                <w:color w:val="000000"/>
                <w:sz w:val="24"/>
                <w:szCs w:val="24"/>
              </w:rPr>
              <w:t>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467"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19"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543" w:type="dxa"/>
            <w:tcMar>
              <w:top w:w="75"/>
              <w:start w:w="75"/>
              <w:bottom w:w="75"/>
              <w:end w:w="75"/>
            </w:tcMar>
          </w:tcPr>
          <w:p>
            <w:pPr>
              <w:spacing w:after="120" w:before="120" w:line="259" w:lineRule="auto"/>
              <w:ind w:firstLine="0" w:start="0"/>
              <w:jc w:val="start"/>
            </w:pPr>
            <w:r>
              <w:rPr>
                <w:rFonts w:ascii="Times New Roman Bold" w:hAnsi="Times New Roman Bold" w:cs="Times New Roman Bold" w:eastAsia="Times New Roman Bold"/>
                <w:b/>
                <w:bCs/>
                <w:color w:val="000000"/>
                <w:sz w:val="24"/>
                <w:szCs w:val="24"/>
              </w:rPr>
              <w:t>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467"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19"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Bold" w:hAnsi="Calibri (MS) Bold" w:cs="Calibri (MS) Bold" w:eastAsia="Calibri (MS) Bold"/>
          <w:b/>
          <w:bCs/>
          <w:color w:val="000000"/>
          <w:sz w:val="24"/>
          <w:szCs w:val="24"/>
        </w:rPr>
        <w:t>Problem definition: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Traditional Intrusion Detection Systems (IDS) rely heavily on machine learning models such as Random Forests, Support Vector Machines, or deep neural networks to classify network traffic as normal or malicious. While these models achieve high detection accuracy, they function as "black boxes" — security analysts receive an alert (e.g., "this traffic is an attack") without any insight into </w:t>
      </w:r>
      <w:r>
        <w:rPr>
          <w:rFonts w:ascii="Arimo Italics" w:hAnsi="Arimo Italics" w:cs="Arimo Italics" w:eastAsia="Arimo Italics"/>
          <w:i/>
          <w:iCs/>
          <w:color w:val="000000"/>
          <w:sz w:val="24"/>
          <w:szCs w:val="24"/>
        </w:rPr>
        <w:t>why</w:t>
      </w:r>
      <w:r>
        <w:rPr>
          <w:rFonts w:ascii="Arimo" w:hAnsi="Arimo" w:cs="Arimo" w:eastAsia="Arimo"/>
          <w:color w:val="000000"/>
          <w:sz w:val="24"/>
          <w:szCs w:val="24"/>
        </w:rPr>
        <w:t xml:space="preserve"> the model made that decision. This lack of transparency creates a critical trust and usability gap in real-world Security Operations Centers (SOCs), where analysts must quickly verify alerts, distinguish true positives from false positives, and justify response actions. Without interpretability, analysts either blindly trust automated alerts (risking missed context or bias) or distrust and ignore them (defeating the purpose of automation). This project aims to design an Intrusion Detection System that not only classifies network traffic with high accuracy but also explains each prediction using Explainable AI (XAI) techniques such as SHAP (SHapley Additive exPlanations) or LIME (Local Interpretable Model-Agnostic Explanations), making the system's decisions transparent, auditable, and actionable for human analysts.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Bold" w:hAnsi="Calibri (MS) Bold" w:cs="Calibri (MS) Bold" w:eastAsia="Calibri (MS) Bold"/>
          <w:b/>
          <w:bCs/>
          <w:color w:val="000000"/>
          <w:sz w:val="24"/>
          <w:szCs w:val="24"/>
        </w:rPr>
        <w:t>Research Gap identified: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Most existing IDS research prioritizes maximizing detection accuracy (e.g., using ensemble models or deep learning) but treats interpretability as an afterthought or omits it entirely, leaving a gap between high-performing models and analyst-usable systems.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Existing XAI applications in cybersecurity are often evaluated only on global feature importance (which features matter overall) rather than local, per-instance explanations (why </w:t>
      </w:r>
      <w:r>
        <w:rPr>
          <w:rFonts w:ascii="Arimo Italics" w:hAnsi="Arimo Italics" w:cs="Arimo Italics" w:eastAsia="Arimo Italics"/>
          <w:i/>
          <w:iCs/>
          <w:color w:val="000000"/>
          <w:sz w:val="24"/>
          <w:szCs w:val="24"/>
        </w:rPr>
        <w:t>this specific</w:t>
      </w:r>
      <w:r>
        <w:rPr>
          <w:rFonts w:ascii="Arimo" w:hAnsi="Arimo" w:cs="Arimo" w:eastAsia="Arimo"/>
          <w:color w:val="000000"/>
          <w:sz w:val="24"/>
          <w:szCs w:val="24"/>
        </w:rPr>
        <w:t xml:space="preserve"> alert was flagged), which is what analysts actually need during incident response.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There is limited comparative work evaluating the trade-off between model accuracy and explanation quality/fidelity across different model types (e.g., tree-based vs. deep learning) on modern intrusion datasets (CICIDS2017/2018) — most studies use older, less representative datasets like KDD Cup 99.</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Few studies translate XAI outputs into an analyst-friendly interface (e.g., a dashboard), so even when explanations are generated, they remain a research artifact rather than a usable operational tool — a gap this project addresses by including a lightweight visualization layer.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Bold Italics">
    <w:panose1 w:val="020B0704020202090204"/>
    <w:charset w:characterSet="1"/>
    <w:embedBoldItalic r:id="rId3"/>
  </w:font>
  <w:font w:name="Arimo">
    <w:panose1 w:val="020B0604020202020204"/>
    <w:charset w:characterSet="1"/>
    <w:embedRegular r:id="rId4"/>
  </w:font>
  <w:font w:name="Times New Roman Italics">
    <w:panose1 w:val="02020503050405090304"/>
    <w:charset w:characterSet="1"/>
  </w:font>
  <w:font w:name="Times New Roman Bold Italics">
    <w:panose1 w:val="02020703060505090304"/>
    <w:charset w:characterSet="1"/>
  </w:font>
  <w:font w:name="Times New Roman Bold">
    <w:panose1 w:val="02020803070505020304"/>
    <w:charset w:characterSet="1"/>
  </w:font>
  <w:font w:name="Times New Roman">
    <w:panose1 w:val="02020603050405020304"/>
    <w:charset w:characterSet="1"/>
  </w:font>
  <w:font w:name="Calibri (MS) Bold">
    <w:panose1 w:val="020F0702030404030204"/>
    <w:charset w:characterSet="1"/>
  </w:font>
  <w:font w:name="Calibri (MS)">
    <w:panose1 w:val="020F050202020403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2026-07-21T17:49:11Z</dcterms:created>
  <dc:creator>Apache POI</dc:creator>
  <dc:title>24BDS0427</dc:title>
</cp:coreProperties>
</file>