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w:body>
    <w:p>
      <w:pPr>
        <w:spacing w:after="120" w:before="120" w:line="120"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center"/>
      </w:pPr>
      <w:r>
        <w:rPr>
          <w:rFonts w:ascii="Calibri (MS)" w:hAnsi="Calibri (MS)" w:cs="Calibri (MS)" w:eastAsia="Calibri (MS)"/>
          <w:color w:val="000000"/>
          <w:sz w:val="44"/>
          <w:szCs w:val="44"/>
        </w:rPr>
        <w:t>School of Computer Science and Engineering</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center"/>
      </w:pPr>
      <w:r>
        <w:rPr>
          <w:rFonts w:ascii="Calibri (MS)" w:hAnsi="Calibri (MS)" w:cs="Calibri (MS)" w:eastAsia="Calibri (MS)"/>
          <w:color w:val="000000"/>
          <w:sz w:val="32"/>
          <w:szCs w:val="32"/>
        </w:rPr>
        <w:t>BCSE306L-ARTIFICIAL INTELLIGENCE</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center"/>
      </w:pPr>
      <w:r>
        <w:rPr>
          <w:rFonts w:ascii="Calibri (MS)" w:hAnsi="Calibri (MS)" w:cs="Calibri (MS)" w:eastAsia="Calibri (MS)"/>
          <w:color w:val="000000"/>
          <w:sz w:val="32"/>
          <w:szCs w:val="32"/>
        </w:rPr>
        <w:t>COURSE PROJECT REVIEW – 1</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Calibri (MS)" w:hAnsi="Calibri (MS)" w:cs="Calibri (MS)" w:eastAsia="Calibri (MS)"/>
          <w:color w:val="000000"/>
          <w:sz w:val="24"/>
          <w:szCs w:val="24"/>
        </w:rPr>
        <w:t>Last date of Submission – 21-Jul-2026 Slot – C2+TC2</w:t>
      </w:r>
      <w:r>
        <w:rPr>
          <w:rFonts w:ascii="Arimo" w:hAnsi="Arimo" w:cs="Arimo" w:eastAsia="Arimo"/>
          <w:color w:val="000000"/>
          <w:sz w:val="24"/>
          <w:szCs w:val="24"/>
        </w:rPr>
        <w:t xml:space="preserve">
</w:t>
      </w:r>
    </w:p>
    <w:p>
      <w:pPr>
        <w:spacing w:after="120" w:before="120" w:line="259" w:lineRule="auto"/>
        <w:ind w:firstLine="0" w:start="0"/>
        <w:jc w:val="start"/>
      </w:pPr>
      <w:r>
        <w:rPr>
          <w:rFonts w:ascii="Calibri (MS)" w:hAnsi="Calibri (MS)" w:cs="Calibri (MS)" w:eastAsia="Calibri (MS)"/>
          <w:color w:val="000000"/>
          <w:sz w:val="24"/>
          <w:szCs w:val="24"/>
        </w:rPr>
        <w:t>Semester - Fall 2026-27 Faculty member–Dr.D.Anuradha</w:t>
      </w:r>
      <w:r>
        <w:rPr>
          <w:rFonts w:ascii="Calibri (MS)" w:hAnsi="Calibri (MS)" w:cs="Calibri (MS)" w:eastAsia="Calibri (MS)"/>
          <w:color w:val="000000"/>
          <w:sz w:val="32"/>
          <w:szCs w:val="32"/>
        </w:rPr>
        <w:t xml:space="preserve"> </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Calibri (MS) Bold" w:hAnsi="Calibri (MS) Bold" w:cs="Calibri (MS) Bold" w:eastAsia="Calibri (MS) Bold"/>
          <w:b/>
          <w:bCs/>
          <w:color w:val="000000"/>
          <w:sz w:val="24"/>
          <w:szCs w:val="24"/>
        </w:rPr>
        <w:t>Title</w:t>
      </w:r>
      <w:r>
        <w:rPr>
          <w:rFonts w:ascii="Calibri (MS) Bold" w:hAnsi="Calibri (MS) Bold" w:cs="Calibri (MS) Bold" w:eastAsia="Calibri (MS) Bold"/>
          <w:b/>
          <w:bCs/>
          <w:color w:val="000000"/>
          <w:spacing w:val="-3"/>
          <w:sz w:val="24"/>
          <w:szCs w:val="24"/>
        </w:rPr>
        <w:t xml:space="preserve"> </w:t>
      </w:r>
      <w:r>
        <w:rPr>
          <w:rFonts w:ascii="Calibri (MS) Bold" w:hAnsi="Calibri (MS) Bold" w:cs="Calibri (MS) Bold" w:eastAsia="Calibri (MS) Bold"/>
          <w:b/>
          <w:bCs/>
          <w:color w:val="000000"/>
          <w:sz w:val="24"/>
          <w:szCs w:val="24"/>
        </w:rPr>
        <w:t>of</w:t>
      </w:r>
      <w:r>
        <w:rPr>
          <w:rFonts w:ascii="Calibri (MS) Bold" w:hAnsi="Calibri (MS) Bold" w:cs="Calibri (MS) Bold" w:eastAsia="Calibri (MS) Bold"/>
          <w:b/>
          <w:bCs/>
          <w:color w:val="000000"/>
          <w:spacing w:val="1"/>
          <w:sz w:val="24"/>
          <w:szCs w:val="24"/>
        </w:rPr>
        <w:t xml:space="preserve"> </w:t>
      </w:r>
      <w:r>
        <w:rPr>
          <w:rFonts w:ascii="Calibri (MS) Bold" w:hAnsi="Calibri (MS) Bold" w:cs="Calibri (MS) Bold" w:eastAsia="Calibri (MS) Bold"/>
          <w:b/>
          <w:bCs/>
          <w:color w:val="000000"/>
          <w:sz w:val="24"/>
          <w:szCs w:val="24"/>
        </w:rPr>
        <w:t>the</w:t>
      </w:r>
      <w:r>
        <w:rPr>
          <w:rFonts w:ascii="Calibri (MS) Bold" w:hAnsi="Calibri (MS) Bold" w:cs="Calibri (MS) Bold" w:eastAsia="Calibri (MS) Bold"/>
          <w:b/>
          <w:bCs/>
          <w:color w:val="000000"/>
          <w:spacing w:val="-1"/>
          <w:sz w:val="24"/>
          <w:szCs w:val="24"/>
        </w:rPr>
        <w:t xml:space="preserve"> </w:t>
      </w:r>
      <w:r>
        <w:rPr>
          <w:rFonts w:ascii="Calibri (MS) Bold" w:hAnsi="Calibri (MS) Bold" w:cs="Calibri (MS) Bold" w:eastAsia="Calibri (MS) Bold"/>
          <w:b/>
          <w:bCs/>
          <w:color w:val="000000"/>
          <w:sz w:val="24"/>
          <w:szCs w:val="24"/>
        </w:rPr>
        <w:t>Project:</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AI-based Explainable Intrusion Detection System</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Times New Roman Bold" w:hAnsi="Times New Roman Bold" w:cs="Times New Roman Bold" w:eastAsia="Times New Roman Bold"/>
          <w:b/>
          <w:bCs/>
          <w:color w:val="000000"/>
          <w:sz w:val="24"/>
          <w:szCs w:val="24"/>
        </w:rPr>
        <w:t>Team members (max – 5):</w:t>
      </w:r>
      <w:r>
        <w:rPr>
          <w:rFonts w:ascii="Arimo" w:hAnsi="Arimo" w:cs="Arimo" w:eastAsia="Arimo"/>
          <w:color w:val="000000"/>
          <w:sz w:val="24"/>
          <w:szCs w:val="24"/>
        </w:rPr>
        <w:t xml:space="preserve">
</w:t>
      </w:r>
    </w:p>
    <w:tbl>
      <w:tblPr>
        <w:tblW w:w="9030" w:type="dxa"/>
        <w:tblBorders>
          <w:top w:val="single" w:color="000000" w:sz="6"/>
          <w:start w:color="000000" w:sz="6" w:val="single"/>
          <w:left w:val="single"/>
          <w:bottom w:val="single" w:color="000000" w:sz="6"/>
          <w:end w:color="000000" w:sz="6" w:val="single"/>
          <w:right w:val="single"/>
          <w:insideH w:val="single" w:color="000000" w:sz="6"/>
          <w:insideV w:val="single" w:color="000000" w:sz="6"/>
        </w:tblBorders>
      </w:tblPr>
      <w:tblGrid>
        <w:gridCol w:w="543"/>
        <w:gridCol w:w="2467"/>
        <w:gridCol w:w="6019"/>
      </w:tblGrid>
      <w:tr>
        <w:tc>
          <w:tcPr>
            <w:tcW w:w="543"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2467" w:type="dxa"/>
            <w:tcMar>
              <w:top w:w="75"/>
              <w:start w:w="75"/>
              <w:bottom w:w="75"/>
              <w:end w:w="75"/>
            </w:tcMar>
          </w:tcPr>
          <w:p>
            <w:pPr>
              <w:spacing w:after="120" w:before="120" w:line="259" w:lineRule="auto"/>
              <w:ind w:firstLine="0" w:start="0"/>
              <w:jc w:val="start"/>
            </w:pPr>
            <w:r>
              <w:rPr>
                <w:rFonts w:ascii="Times New Roman Bold" w:hAnsi="Times New Roman Bold" w:cs="Times New Roman Bold" w:eastAsia="Times New Roman Bold"/>
                <w:b/>
                <w:bCs/>
                <w:color w:val="000000"/>
                <w:sz w:val="24"/>
                <w:szCs w:val="24"/>
              </w:rPr>
              <w:t>Reg. No</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6019" w:type="dxa"/>
            <w:tcMar>
              <w:top w:w="75"/>
              <w:start w:w="75"/>
              <w:bottom w:w="75"/>
              <w:end w:w="75"/>
            </w:tcMar>
          </w:tcPr>
          <w:p>
            <w:pPr>
              <w:spacing w:after="120" w:before="120" w:line="259" w:lineRule="auto"/>
              <w:ind w:firstLine="0" w:start="0"/>
              <w:jc w:val="start"/>
            </w:pPr>
            <w:r>
              <w:rPr>
                <w:rFonts w:ascii="Times New Roman Bold" w:hAnsi="Times New Roman Bold" w:cs="Times New Roman Bold" w:eastAsia="Times New Roman Bold"/>
                <w:b/>
                <w:bCs/>
                <w:color w:val="000000"/>
                <w:sz w:val="24"/>
                <w:szCs w:val="24"/>
              </w:rPr>
              <w:t>Name</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r>
      <w:tr>
        <w:tc>
          <w:tcPr>
            <w:tcW w:w="543" w:type="dxa"/>
            <w:tcMar>
              <w:top w:w="75"/>
              <w:start w:w="75"/>
              <w:bottom w:w="75"/>
              <w:end w:w="75"/>
            </w:tcMar>
          </w:tcPr>
          <w:p>
            <w:pPr>
              <w:spacing w:after="120" w:before="120" w:line="259" w:lineRule="auto"/>
              <w:ind w:firstLine="0" w:start="0"/>
              <w:jc w:val="start"/>
            </w:pPr>
            <w:r>
              <w:rPr>
                <w:rFonts w:ascii="Times New Roman Bold" w:hAnsi="Times New Roman Bold" w:cs="Times New Roman Bold" w:eastAsia="Times New Roman Bold"/>
                <w:b/>
                <w:bCs/>
                <w:color w:val="000000"/>
                <w:sz w:val="24"/>
                <w:szCs w:val="24"/>
              </w:rPr>
              <w:t>1</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2467"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24BDS0427</w:t>
            </w:r>
            <w:r>
              <w:rPr>
                <w:rFonts w:ascii="Arimo" w:hAnsi="Arimo" w:cs="Arimo" w:eastAsia="Arimo"/>
                <w:color w:val="000000"/>
                <w:sz w:val="24"/>
                <w:szCs w:val="24"/>
              </w:rPr>
              <w:t xml:space="preserve">
</w:t>
            </w:r>
          </w:p>
        </w:tc>
        <w:tc>
          <w:tcPr>
            <w:tcW w:w="6019"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br/>
            </w:r>
            <w:r>
              <w:rPr>
                <w:rFonts w:ascii="Arimo" w:hAnsi="Arimo" w:cs="Arimo" w:eastAsia="Arimo"/>
                <w:color w:val="000000"/>
                <w:sz w:val="24"/>
                <w:szCs w:val="24"/>
              </w:rPr>
              <w:t xml:space="preserve"> </w:t>
              <w:br/>
            </w:r>
            <w:r>
              <w:rPr>
                <w:rFonts w:ascii="Arimo" w:hAnsi="Arimo" w:cs="Arimo" w:eastAsia="Arimo"/>
                <w:color w:val="000000"/>
                <w:sz w:val="24"/>
                <w:szCs w:val="24"/>
              </w:rPr>
              <w:t>Neeraj Roy</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r>
      <w:tr>
        <w:tc>
          <w:tcPr>
            <w:tcW w:w="543" w:type="dxa"/>
            <w:tcMar>
              <w:top w:w="75"/>
              <w:start w:w="75"/>
              <w:bottom w:w="75"/>
              <w:end w:w="75"/>
            </w:tcMar>
          </w:tcPr>
          <w:p>
            <w:pPr>
              <w:spacing w:after="120" w:before="120" w:line="259" w:lineRule="auto"/>
              <w:ind w:firstLine="0" w:start="0"/>
              <w:jc w:val="start"/>
            </w:pPr>
            <w:r>
              <w:rPr>
                <w:rFonts w:ascii="Times New Roman Bold" w:hAnsi="Times New Roman Bold" w:cs="Times New Roman Bold" w:eastAsia="Times New Roman Bold"/>
                <w:b/>
                <w:bCs/>
                <w:color w:val="000000"/>
                <w:sz w:val="24"/>
                <w:szCs w:val="24"/>
              </w:rPr>
              <w:t>2</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2467"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6019"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r>
      <w:tr>
        <w:tc>
          <w:tcPr>
            <w:tcW w:w="543" w:type="dxa"/>
            <w:tcMar>
              <w:top w:w="75"/>
              <w:start w:w="75"/>
              <w:bottom w:w="75"/>
              <w:end w:w="75"/>
            </w:tcMar>
          </w:tcPr>
          <w:p>
            <w:pPr>
              <w:spacing w:after="120" w:before="120" w:line="259" w:lineRule="auto"/>
              <w:ind w:firstLine="0" w:start="0"/>
              <w:jc w:val="start"/>
            </w:pPr>
            <w:r>
              <w:rPr>
                <w:rFonts w:ascii="Times New Roman Bold" w:hAnsi="Times New Roman Bold" w:cs="Times New Roman Bold" w:eastAsia="Times New Roman Bold"/>
                <w:b/>
                <w:bCs/>
                <w:color w:val="000000"/>
                <w:sz w:val="24"/>
                <w:szCs w:val="24"/>
              </w:rPr>
              <w:t>3</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2467"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6019"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r>
      <w:tr>
        <w:tc>
          <w:tcPr>
            <w:tcW w:w="543" w:type="dxa"/>
            <w:tcMar>
              <w:top w:w="75"/>
              <w:start w:w="75"/>
              <w:bottom w:w="75"/>
              <w:end w:w="75"/>
            </w:tcMar>
          </w:tcPr>
          <w:p>
            <w:pPr>
              <w:spacing w:after="120" w:before="120" w:line="259" w:lineRule="auto"/>
              <w:ind w:firstLine="0" w:start="0"/>
              <w:jc w:val="start"/>
            </w:pPr>
            <w:r>
              <w:rPr>
                <w:rFonts w:ascii="Times New Roman Bold" w:hAnsi="Times New Roman Bold" w:cs="Times New Roman Bold" w:eastAsia="Times New Roman Bold"/>
                <w:b/>
                <w:bCs/>
                <w:color w:val="000000"/>
                <w:sz w:val="24"/>
                <w:szCs w:val="24"/>
              </w:rPr>
              <w:t>4</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2467"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6019"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r>
      <w:tr>
        <w:tc>
          <w:tcPr>
            <w:tcW w:w="543" w:type="dxa"/>
            <w:tcMar>
              <w:top w:w="75"/>
              <w:start w:w="75"/>
              <w:bottom w:w="75"/>
              <w:end w:w="75"/>
            </w:tcMar>
          </w:tcPr>
          <w:p>
            <w:pPr>
              <w:spacing w:after="120" w:before="120" w:line="259" w:lineRule="auto"/>
              <w:ind w:firstLine="0" w:start="0"/>
              <w:jc w:val="start"/>
            </w:pPr>
            <w:r>
              <w:rPr>
                <w:rFonts w:ascii="Times New Roman Bold" w:hAnsi="Times New Roman Bold" w:cs="Times New Roman Bold" w:eastAsia="Times New Roman Bold"/>
                <w:b/>
                <w:bCs/>
                <w:color w:val="000000"/>
                <w:sz w:val="24"/>
                <w:szCs w:val="24"/>
              </w:rPr>
              <w:t>5</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2467"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c>
          <w:tcPr>
            <w:tcW w:w="6019" w:type="dxa"/>
            <w:tcMar>
              <w:top w:w="75"/>
              <w:start w:w="75"/>
              <w:bottom w:w="75"/>
              <w:end w:w="75"/>
            </w:tcMar>
          </w:tcPr>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tc>
      </w:tr>
    </w:tbl>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Calibri (MS) Bold" w:hAnsi="Calibri (MS) Bold" w:cs="Calibri (MS) Bold" w:eastAsia="Calibri (MS) Bold"/>
          <w:b/>
          <w:bCs/>
          <w:color w:val="000000"/>
          <w:sz w:val="24"/>
          <w:szCs w:val="24"/>
        </w:rPr>
        <w:t>Problem definition:</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Traditional Intrusion Detection Systems (IDS) rely heavily on machine learning models such as Random Forests, Support Vector Machines, or deep neural networks to classify network traffic as normal or malicious. While these models achieve high detection accuracy, they function as "black boxes" — security analysts receive an alert (e.g., "this traffic is an attack") without any insight into </w:t>
      </w:r>
      <w:r>
        <w:rPr>
          <w:rFonts w:ascii="Arimo Italics" w:hAnsi="Arimo Italics" w:cs="Arimo Italics" w:eastAsia="Arimo Italics"/>
          <w:i/>
          <w:iCs/>
          <w:color w:val="000000"/>
          <w:sz w:val="24"/>
          <w:szCs w:val="24"/>
        </w:rPr>
        <w:t>why</w:t>
      </w:r>
      <w:r>
        <w:rPr>
          <w:rFonts w:ascii="Arimo" w:hAnsi="Arimo" w:cs="Arimo" w:eastAsia="Arimo"/>
          <w:color w:val="000000"/>
          <w:sz w:val="24"/>
          <w:szCs w:val="24"/>
        </w:rPr>
        <w:t xml:space="preserve"> the model made that decision. This lack of transparency creates a critical trust and usability gap in real-world Security Operations Centers (SOCs), where analysts must quickly verify alerts, distinguish true positives from false positives, and justify response actions. Without interpretability, analysts either blindly trust automated alerts (risking missed context or bias) or distrust and ignore them (defeating the purpose of automation). This project aims to design an Intrusion Detection System that not only classifies network traffic with high accuracy but also explains each prediction using Explainable AI (XAI) techniques such as SHAP (SHapley Additive exPlanations) or LIME (Local Interpretable Model-Agnostic Explanations), making the system's decisions transparent, auditable, and actionable for human analysts.</w:t>
      </w:r>
      <w:r>
        <w:rPr>
          <w:rFonts w:ascii="Arimo" w:hAnsi="Arimo" w:cs="Arimo" w:eastAsia="Arimo"/>
          <w:color w:val="000000"/>
          <w:sz w:val="24"/>
          <w:szCs w:val="24"/>
        </w:rPr>
        <w:t xml:space="preserve">
</w:t>
      </w:r>
    </w:p>
    <w:p>
      <w:pPr>
        <w:spacing w:after="120" w:before="120" w:line="259" w:lineRule="auto"/>
        <w:ind w:firstLine="0" w:start="0"/>
        <w:jc w:val="start"/>
      </w:pPr>
      <w:r>
        <w:rPr>
          <w:rFonts w:ascii="Calibri (MS) Bold" w:hAnsi="Calibri (MS) Bold" w:cs="Calibri (MS) Bold" w:eastAsia="Calibri (MS) Bold"/>
          <w:b/>
          <w:bCs/>
          <w:color w:val="000000"/>
          <w:sz w:val="24"/>
          <w:szCs w:val="24"/>
        </w:rPr>
        <w:t>Research Gap identified:</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Most existing IDS research prioritizes maximizing detection accuracy (e.g., using ensemble models or deep learning) but treats interpretability as an afterthought or omits it entirely, leaving a gap between high-performing models and analyst-usable systems.</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Existing XAI applications in cybersecurity are often evaluated only on global feature importance (which features matter overall) rather than local, per-instance explanations (why </w:t>
      </w:r>
      <w:r>
        <w:rPr>
          <w:rFonts w:ascii="Arimo Italics" w:hAnsi="Arimo Italics" w:cs="Arimo Italics" w:eastAsia="Arimo Italics"/>
          <w:i/>
          <w:iCs/>
          <w:color w:val="000000"/>
          <w:sz w:val="24"/>
          <w:szCs w:val="24"/>
        </w:rPr>
        <w:t>this specific</w:t>
      </w:r>
      <w:r>
        <w:rPr>
          <w:rFonts w:ascii="Arimo" w:hAnsi="Arimo" w:cs="Arimo" w:eastAsia="Arimo"/>
          <w:color w:val="000000"/>
          <w:sz w:val="24"/>
          <w:szCs w:val="24"/>
        </w:rPr>
        <w:t xml:space="preserve"> alert was flagged), which is what analysts actually need during incident response.</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There is limited comparative work evaluating the trade-off between model accuracy and explanation quality/fidelity across different model types (e.g., tree-based vs. deep learning) on modern intrusion datasets (CICIDS2017/2018) — most studies use older, less representative datasets like KDD Cup 99.</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Few studies translate XAI outputs into an analyst-friendly interface (e.g., a dashboard), so even when explanations are generated, they remain a research artifact rather than a usable operational tool — a gap this project addresses by including a lightweight visualization layer.</w:t>
      </w: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spacing w:after="120" w:before="120" w:line="259" w:lineRule="auto"/>
        <w:ind w:firstLine="0" w:start="0"/>
        <w:jc w:val="start"/>
      </w:pPr>
      <w:r>
        <w:rPr>
          <w:rFonts w:ascii="Arimo" w:hAnsi="Arimo" w:cs="Arimo" w:eastAsia="Arimo"/>
          <w:color w:val="000000"/>
          <w:sz w:val="24"/>
          <w:szCs w:val="24"/>
        </w:rPr>
        <w:t xml:space="preserve">
</w:t>
      </w:r>
    </w:p>
    <w:p>
      <w:pPr>
        <w:keepNext/>
        <w:spacing w:before="280" w:after="80"/>
      </w:pPr>
      <w:r>
        <w:rPr>
          <w:rFonts w:ascii="Calibri" w:hAnsi="Calibri"/>
          <w:b/>
          <w:color w:val="102C57"/>
          <w:sz w:val="28"/>
        </w:rPr>
        <w:t>3. Project Objectives &amp; Scope of Review – 1</w:t>
      </w:r>
    </w:p>
    <w:p>
      <w:pPr>
        <w:spacing w:after="120" w:line="276" w:lineRule="auto"/>
      </w:pPr>
      <w:r>
        <w:rPr>
          <w:rFonts w:ascii="Calibri" w:hAnsi="Calibri"/>
          <w:sz w:val="21"/>
        </w:rPr>
        <w:t>The overarching goal of this project is to develop, evaluate, and operationalize a robust, explainable Intrusion Detection System that mitigates the critical trust and usability gap in contemporary Security Operations Centers (SOCs).</w:t>
      </w:r>
    </w:p>
    <w:p>
      <w:pPr>
        <w:keepNext/>
        <w:spacing w:before="200" w:after="80"/>
      </w:pPr>
      <w:r>
        <w:rPr>
          <w:rFonts w:ascii="Calibri" w:hAnsi="Calibri"/>
          <w:b/>
          <w:color w:val="1E517B"/>
          <w:sz w:val="24"/>
        </w:rPr>
        <w:t>3.1 Primary Objectives</w:t>
      </w:r>
    </w:p>
    <w:p>
      <w:pPr>
        <w:spacing w:after="80" w:line="276" w:lineRule="auto"/>
        <w:ind w:left="360"/>
      </w:pPr>
      <w:r>
        <w:rPr>
          <w:rFonts w:ascii="Calibri" w:hAnsi="Calibri"/>
          <w:b/>
          <w:color w:val="102C57"/>
          <w:sz w:val="21"/>
        </w:rPr>
        <w:t xml:space="preserve">•  </w:t>
      </w:r>
      <w:r>
        <w:rPr>
          <w:rFonts w:ascii="Calibri" w:hAnsi="Calibri"/>
          <w:b/>
          <w:sz w:val="21"/>
        </w:rPr>
        <w:t xml:space="preserve">Dual-Layer Explainability: </w:t>
      </w:r>
      <w:r>
        <w:rPr>
          <w:rFonts w:ascii="Calibri" w:hAnsi="Calibri"/>
          <w:sz w:val="21"/>
        </w:rPr>
        <w:t>Embed SHAP (cooperative game-theoretic Shapley values) and LIME (local linear surrogate models) directly into the detection pipeline to provide both global model interpretability and per-flow local attribution breakdowns.</w:t>
      </w:r>
    </w:p>
    <w:p>
      <w:pPr>
        <w:spacing w:after="80" w:line="276" w:lineRule="auto"/>
        <w:ind w:left="360"/>
      </w:pPr>
      <w:r>
        <w:rPr>
          <w:rFonts w:ascii="Calibri" w:hAnsi="Calibri"/>
          <w:b/>
          <w:color w:val="102C57"/>
          <w:sz w:val="21"/>
        </w:rPr>
        <w:t xml:space="preserve">•  </w:t>
      </w:r>
      <w:r>
        <w:rPr>
          <w:rFonts w:ascii="Calibri" w:hAnsi="Calibri"/>
          <w:b/>
          <w:sz w:val="21"/>
        </w:rPr>
        <w:t xml:space="preserve">Comprehensive Architectural Benchmarking: </w:t>
      </w:r>
      <w:r>
        <w:rPr>
          <w:rFonts w:ascii="Calibri" w:hAnsi="Calibri"/>
          <w:sz w:val="21"/>
        </w:rPr>
        <w:t>Conduct a rigorous empirical evaluation comparing 5 diverse model families: Random Forest (Tree Ensemble), XGBoost (Gradient Boosted Decision Trees), Multi-Layer Perceptron (Deep Neural Network), Gradient Boosting, and Logistic Regression (Linear Baseline).</w:t>
      </w:r>
    </w:p>
    <w:p>
      <w:pPr>
        <w:spacing w:after="80" w:line="276" w:lineRule="auto"/>
        <w:ind w:left="360"/>
      </w:pPr>
      <w:r>
        <w:rPr>
          <w:rFonts w:ascii="Calibri" w:hAnsi="Calibri"/>
          <w:b/>
          <w:color w:val="102C57"/>
          <w:sz w:val="21"/>
        </w:rPr>
        <w:t xml:space="preserve">•  </w:t>
      </w:r>
      <w:r>
        <w:rPr>
          <w:rFonts w:ascii="Calibri" w:hAnsi="Calibri"/>
          <w:b/>
          <w:sz w:val="21"/>
        </w:rPr>
        <w:t xml:space="preserve">Operational SOC Integration: </w:t>
      </w:r>
      <w:r>
        <w:rPr>
          <w:rFonts w:ascii="Calibri" w:hAnsi="Calibri"/>
          <w:sz w:val="21"/>
        </w:rPr>
        <w:t>Bridge the gap between academic machine learning code and live cybersecurity incident response by delivering an interactive, web-based SOC Analyst Dashboard equipped with real-time telemetry streaming, threat presets, and What-If counterfactual analysis.</w:t>
      </w:r>
    </w:p>
    <w:p>
      <w:pPr>
        <w:keepNext/>
        <w:spacing w:before="200" w:after="80"/>
      </w:pPr>
      <w:r>
        <w:rPr>
          <w:rFonts w:ascii="Calibri" w:hAnsi="Calibri"/>
          <w:b/>
          <w:color w:val="1E517B"/>
          <w:sz w:val="24"/>
        </w:rPr>
        <w:t>3.2 Scope Completed in Review – 1</w:t>
      </w:r>
    </w:p>
    <w:p>
      <w:pPr>
        <w:spacing w:after="80" w:line="276" w:lineRule="auto"/>
        <w:ind w:left="360"/>
      </w:pPr>
      <w:r>
        <w:rPr>
          <w:rFonts w:ascii="Calibri" w:hAnsi="Calibri"/>
          <w:b/>
          <w:color w:val="102C57"/>
          <w:sz w:val="21"/>
        </w:rPr>
        <w:t xml:space="preserve">•  </w:t>
      </w:r>
      <w:r>
        <w:rPr>
          <w:rFonts w:ascii="Calibri" w:hAnsi="Calibri"/>
          <w:b/>
          <w:sz w:val="21"/>
        </w:rPr>
        <w:t xml:space="preserve">Dataset Engineering: </w:t>
      </w:r>
      <w:r>
        <w:rPr>
          <w:rFonts w:ascii="Calibri" w:hAnsi="Calibri"/>
          <w:sz w:val="21"/>
        </w:rPr>
        <w:t>Synthetic high-fidelity network flow dataset modeled after CICIDS2017/2018 standards comprising 15,000 bidirectional flows, 29 statistical features, and 7 traffic categories.</w:t>
      </w:r>
    </w:p>
    <w:p>
      <w:pPr>
        <w:spacing w:after="80" w:line="276" w:lineRule="auto"/>
        <w:ind w:left="360"/>
      </w:pPr>
      <w:r>
        <w:rPr>
          <w:rFonts w:ascii="Calibri" w:hAnsi="Calibri"/>
          <w:b/>
          <w:color w:val="102C57"/>
          <w:sz w:val="21"/>
        </w:rPr>
        <w:t xml:space="preserve">•  </w:t>
      </w:r>
      <w:r>
        <w:rPr>
          <w:rFonts w:ascii="Calibri" w:hAnsi="Calibri"/>
          <w:b/>
          <w:sz w:val="21"/>
        </w:rPr>
        <w:t xml:space="preserve">Pipeline Implementation: </w:t>
      </w:r>
      <w:r>
        <w:rPr>
          <w:rFonts w:ascii="Calibri" w:hAnsi="Calibri"/>
          <w:sz w:val="21"/>
        </w:rPr>
        <w:t>End-to-end training and serialization of all 5 binary and multi-class models following strict featurization ordering (zero data leakage).</w:t>
      </w:r>
    </w:p>
    <w:p>
      <w:pPr>
        <w:spacing w:after="80" w:line="276" w:lineRule="auto"/>
        <w:ind w:left="360"/>
      </w:pPr>
      <w:r>
        <w:rPr>
          <w:rFonts w:ascii="Calibri" w:hAnsi="Calibri"/>
          <w:b/>
          <w:color w:val="102C57"/>
          <w:sz w:val="21"/>
        </w:rPr>
        <w:t xml:space="preserve">•  </w:t>
      </w:r>
      <w:r>
        <w:rPr>
          <w:rFonts w:ascii="Calibri" w:hAnsi="Calibri"/>
          <w:b/>
          <w:sz w:val="21"/>
        </w:rPr>
        <w:t xml:space="preserve">Performance &amp; Latency Evaluation: </w:t>
      </w:r>
      <w:r>
        <w:rPr>
          <w:rFonts w:ascii="Calibri" w:hAnsi="Calibri"/>
          <w:sz w:val="21"/>
        </w:rPr>
        <w:t>Detailed measurement of accuracy, precision, recall, F1-scores, ROC-AUC, inference latency (microseconds/flow), and throughput (flows/sec) with bootstrapped 95% confidence intervals.</w:t>
      </w:r>
    </w:p>
    <w:p>
      <w:pPr>
        <w:spacing w:after="80" w:line="276" w:lineRule="auto"/>
        <w:ind w:left="360"/>
      </w:pPr>
      <w:r>
        <w:rPr>
          <w:rFonts w:ascii="Calibri" w:hAnsi="Calibri"/>
          <w:b/>
          <w:color w:val="102C57"/>
          <w:sz w:val="21"/>
        </w:rPr>
        <w:t xml:space="preserve">•  </w:t>
      </w:r>
      <w:r>
        <w:rPr>
          <w:rFonts w:ascii="Calibri" w:hAnsi="Calibri"/>
          <w:b/>
          <w:sz w:val="21"/>
        </w:rPr>
        <w:t xml:space="preserve">Live Dashboard Deployment: </w:t>
      </w:r>
      <w:r>
        <w:rPr>
          <w:rFonts w:ascii="Calibri" w:hAnsi="Calibri"/>
          <w:sz w:val="21"/>
        </w:rPr>
        <w:t>Interactive cybersecurity dark-mode portal built on FastAPI and Chart.js, publicly deployed on GitHub Pages.</w:t>
      </w:r>
    </w:p>
    <w:p>
      <w:pPr>
        <w:keepNext/>
        <w:spacing w:before="280" w:after="80"/>
      </w:pPr>
      <w:r>
        <w:rPr>
          <w:rFonts w:ascii="Calibri" w:hAnsi="Calibri"/>
          <w:b/>
          <w:color w:val="102C57"/>
          <w:sz w:val="28"/>
        </w:rPr>
        <w:t>4. Literature Survey &amp; Related Work</w:t>
      </w:r>
    </w:p>
    <w:p>
      <w:pPr>
        <w:spacing w:after="120" w:line="276" w:lineRule="auto"/>
      </w:pPr>
      <w:r>
        <w:rPr>
          <w:rFonts w:ascii="Calibri" w:hAnsi="Calibri"/>
          <w:sz w:val="21"/>
        </w:rPr>
        <w:t>A critical analysis of recent academic contributions at the intersection of Network Intrusion Detection Systems and Explainable AI reveals key methodologies and notable limitations: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06"/>
        <w:gridCol w:w="1806"/>
        <w:gridCol w:w="1806"/>
        <w:gridCol w:w="1806"/>
        <w:gridCol w:w="1806"/>
      </w:tblGrid>
      <w:tr>
        <w:tc>
          <w:tcPr>
            <w:tcW w:type="dxa" w:w="1806"/>
            <w:shd w:val="clear" w:color="auto" w:fill="102C57"/>
          </w:tcPr>
          <w:p>
            <w:pPr>
              <w:jc w:val="center"/>
            </w:pPr>
            <w:r>
              <w:rPr>
                <w:rFonts w:ascii="Calibri" w:hAnsi="Calibri"/>
                <w:b/>
                <w:color w:val="FFFFFF"/>
                <w:sz w:val="19"/>
              </w:rPr>
              <w:t>Author &amp; Year</w:t>
            </w:r>
          </w:p>
        </w:tc>
        <w:tc>
          <w:tcPr>
            <w:tcW w:type="dxa" w:w="1806"/>
            <w:shd w:val="clear" w:color="auto" w:fill="102C57"/>
          </w:tcPr>
          <w:p>
            <w:pPr>
              <w:jc w:val="center"/>
            </w:pPr>
            <w:r>
              <w:rPr>
                <w:rFonts w:ascii="Calibri" w:hAnsi="Calibri"/>
                <w:b/>
                <w:color w:val="FFFFFF"/>
                <w:sz w:val="19"/>
              </w:rPr>
              <w:t>Dataset Used</w:t>
            </w:r>
          </w:p>
        </w:tc>
        <w:tc>
          <w:tcPr>
            <w:tcW w:type="dxa" w:w="1806"/>
            <w:shd w:val="clear" w:color="auto" w:fill="102C57"/>
          </w:tcPr>
          <w:p>
            <w:pPr>
              <w:jc w:val="center"/>
            </w:pPr>
            <w:r>
              <w:rPr>
                <w:rFonts w:ascii="Calibri" w:hAnsi="Calibri"/>
                <w:b/>
                <w:color w:val="FFFFFF"/>
                <w:sz w:val="19"/>
              </w:rPr>
              <w:t>Classification Models</w:t>
            </w:r>
          </w:p>
        </w:tc>
        <w:tc>
          <w:tcPr>
            <w:tcW w:type="dxa" w:w="1806"/>
            <w:shd w:val="clear" w:color="auto" w:fill="102C57"/>
          </w:tcPr>
          <w:p>
            <w:pPr>
              <w:jc w:val="center"/>
            </w:pPr>
            <w:r>
              <w:rPr>
                <w:rFonts w:ascii="Calibri" w:hAnsi="Calibri"/>
                <w:b/>
                <w:color w:val="FFFFFF"/>
                <w:sz w:val="19"/>
              </w:rPr>
              <w:t>XAI Technique</w:t>
            </w:r>
          </w:p>
        </w:tc>
        <w:tc>
          <w:tcPr>
            <w:tcW w:type="dxa" w:w="1806"/>
            <w:shd w:val="clear" w:color="auto" w:fill="102C57"/>
          </w:tcPr>
          <w:p>
            <w:pPr>
              <w:jc w:val="center"/>
            </w:pPr>
            <w:r>
              <w:rPr>
                <w:rFonts w:ascii="Calibri" w:hAnsi="Calibri"/>
                <w:b/>
                <w:color w:val="FFFFFF"/>
                <w:sz w:val="19"/>
              </w:rPr>
              <w:t>Identified Limitations</w:t>
            </w:r>
          </w:p>
        </w:tc>
      </w:tr>
      <w:tr>
        <w:tc>
          <w:tcPr>
            <w:tcW w:type="dxa" w:w="1806"/>
            <w:shd w:val="clear" w:color="auto" w:fill="F8F9FA"/>
            <w:tcMar>
              <w:top w:w="80" w:type="dxa"/>
              <w:bottom w:w="80" w:type="dxa"/>
              <w:left w:w="100" w:type="dxa"/>
              <w:right w:w="100" w:type="dxa"/>
            </w:tcMar>
          </w:tcPr>
          <w:p>
            <w:pPr>
              <w:jc w:val="left"/>
            </w:pPr>
            <w:r>
              <w:rPr>
                <w:rFonts w:ascii="Calibri" w:hAnsi="Calibri"/>
                <w:sz w:val="17"/>
              </w:rPr>
              <w:t>Lundberg &amp; Lee</w:t>
              <w:br/>
              <w:t>(2017)</w:t>
            </w:r>
          </w:p>
        </w:tc>
        <w:tc>
          <w:tcPr>
            <w:tcW w:type="dxa" w:w="1806"/>
            <w:shd w:val="clear" w:color="auto" w:fill="F8F9FA"/>
            <w:tcMar>
              <w:top w:w="80" w:type="dxa"/>
              <w:bottom w:w="80" w:type="dxa"/>
              <w:left w:w="100" w:type="dxa"/>
              <w:right w:w="100" w:type="dxa"/>
            </w:tcMar>
          </w:tcPr>
          <w:p>
            <w:pPr>
              <w:jc w:val="left"/>
            </w:pPr>
            <w:r>
              <w:rPr>
                <w:rFonts w:ascii="Calibri" w:hAnsi="Calibri"/>
                <w:sz w:val="17"/>
              </w:rPr>
              <w:t>Generic Benchmark</w:t>
              <w:br/>
              <w:t>Datasets</w:t>
            </w:r>
          </w:p>
        </w:tc>
        <w:tc>
          <w:tcPr>
            <w:tcW w:type="dxa" w:w="1806"/>
            <w:shd w:val="clear" w:color="auto" w:fill="F8F9FA"/>
            <w:tcMar>
              <w:top w:w="80" w:type="dxa"/>
              <w:bottom w:w="80" w:type="dxa"/>
              <w:left w:w="100" w:type="dxa"/>
              <w:right w:w="100" w:type="dxa"/>
            </w:tcMar>
          </w:tcPr>
          <w:p>
            <w:pPr>
              <w:jc w:val="left"/>
            </w:pPr>
            <w:r>
              <w:rPr>
                <w:rFonts w:ascii="Calibri" w:hAnsi="Calibri"/>
                <w:sz w:val="17"/>
              </w:rPr>
              <w:t>Tree Ensembles,</w:t>
              <w:br/>
              <w:t>Neural Networks</w:t>
            </w:r>
          </w:p>
        </w:tc>
        <w:tc>
          <w:tcPr>
            <w:tcW w:type="dxa" w:w="1806"/>
            <w:shd w:val="clear" w:color="auto" w:fill="F8F9FA"/>
            <w:tcMar>
              <w:top w:w="80" w:type="dxa"/>
              <w:bottom w:w="80" w:type="dxa"/>
              <w:left w:w="100" w:type="dxa"/>
              <w:right w:w="100" w:type="dxa"/>
            </w:tcMar>
          </w:tcPr>
          <w:p>
            <w:pPr>
              <w:jc w:val="left"/>
            </w:pPr>
            <w:r>
              <w:rPr>
                <w:rFonts w:ascii="Calibri" w:hAnsi="Calibri"/>
                <w:sz w:val="17"/>
              </w:rPr>
              <w:t>SHAP (TreeSHAP,</w:t>
              <w:br/>
              <w:t>KernelSHAP)</w:t>
            </w:r>
          </w:p>
        </w:tc>
        <w:tc>
          <w:tcPr>
            <w:tcW w:type="dxa" w:w="1806"/>
            <w:shd w:val="clear" w:color="auto" w:fill="F8F9FA"/>
            <w:tcMar>
              <w:top w:w="80" w:type="dxa"/>
              <w:bottom w:w="80" w:type="dxa"/>
              <w:left w:w="100" w:type="dxa"/>
              <w:right w:w="100" w:type="dxa"/>
            </w:tcMar>
          </w:tcPr>
          <w:p>
            <w:pPr>
              <w:jc w:val="left"/>
            </w:pPr>
            <w:r>
              <w:rPr>
                <w:rFonts w:ascii="Calibri" w:hAnsi="Calibri"/>
                <w:sz w:val="17"/>
              </w:rPr>
              <w:t>Foundational XAI theory; did not address network intrusion flow dynamics or real-time SOC latency.</w:t>
            </w:r>
          </w:p>
        </w:tc>
      </w:tr>
      <w:tr>
        <w:tc>
          <w:tcPr>
            <w:tcW w:type="dxa" w:w="1806"/>
            <w:shd w:val="clear" w:color="auto" w:fill="FFFFFF"/>
            <w:tcMar>
              <w:top w:w="80" w:type="dxa"/>
              <w:bottom w:w="80" w:type="dxa"/>
              <w:left w:w="100" w:type="dxa"/>
              <w:right w:w="100" w:type="dxa"/>
            </w:tcMar>
          </w:tcPr>
          <w:p>
            <w:pPr>
              <w:jc w:val="left"/>
            </w:pPr>
            <w:r>
              <w:rPr>
                <w:rFonts w:ascii="Calibri" w:hAnsi="Calibri"/>
                <w:sz w:val="17"/>
              </w:rPr>
              <w:t>Ribeiro et al.</w:t>
              <w:br/>
              <w:t>(2016)</w:t>
            </w:r>
          </w:p>
        </w:tc>
        <w:tc>
          <w:tcPr>
            <w:tcW w:type="dxa" w:w="1806"/>
            <w:shd w:val="clear" w:color="auto" w:fill="FFFFFF"/>
            <w:tcMar>
              <w:top w:w="80" w:type="dxa"/>
              <w:bottom w:w="80" w:type="dxa"/>
              <w:left w:w="100" w:type="dxa"/>
              <w:right w:w="100" w:type="dxa"/>
            </w:tcMar>
          </w:tcPr>
          <w:p>
            <w:pPr>
              <w:jc w:val="left"/>
            </w:pPr>
            <w:r>
              <w:rPr>
                <w:rFonts w:ascii="Calibri" w:hAnsi="Calibri"/>
                <w:sz w:val="17"/>
              </w:rPr>
              <w:t>Text &amp; Tabular</w:t>
              <w:br/>
              <w:t>Benchmarks</w:t>
            </w:r>
          </w:p>
        </w:tc>
        <w:tc>
          <w:tcPr>
            <w:tcW w:type="dxa" w:w="1806"/>
            <w:shd w:val="clear" w:color="auto" w:fill="FFFFFF"/>
            <w:tcMar>
              <w:top w:w="80" w:type="dxa"/>
              <w:bottom w:w="80" w:type="dxa"/>
              <w:left w:w="100" w:type="dxa"/>
              <w:right w:w="100" w:type="dxa"/>
            </w:tcMar>
          </w:tcPr>
          <w:p>
            <w:pPr>
              <w:jc w:val="left"/>
            </w:pPr>
            <w:r>
              <w:rPr>
                <w:rFonts w:ascii="Calibri" w:hAnsi="Calibri"/>
                <w:sz w:val="17"/>
              </w:rPr>
              <w:t>Random Forest,</w:t>
              <w:br/>
              <w:t>SVM, Deep NN</w:t>
            </w:r>
          </w:p>
        </w:tc>
        <w:tc>
          <w:tcPr>
            <w:tcW w:type="dxa" w:w="1806"/>
            <w:shd w:val="clear" w:color="auto" w:fill="FFFFFF"/>
            <w:tcMar>
              <w:top w:w="80" w:type="dxa"/>
              <w:bottom w:w="80" w:type="dxa"/>
              <w:left w:w="100" w:type="dxa"/>
              <w:right w:w="100" w:type="dxa"/>
            </w:tcMar>
          </w:tcPr>
          <w:p>
            <w:pPr>
              <w:jc w:val="left"/>
            </w:pPr>
            <w:r>
              <w:rPr>
                <w:rFonts w:ascii="Calibri" w:hAnsi="Calibri"/>
                <w:sz w:val="17"/>
              </w:rPr>
              <w:t>LIME (Local</w:t>
              <w:br/>
              <w:t>Surrogate)</w:t>
            </w:r>
          </w:p>
        </w:tc>
        <w:tc>
          <w:tcPr>
            <w:tcW w:type="dxa" w:w="1806"/>
            <w:shd w:val="clear" w:color="auto" w:fill="FFFFFF"/>
            <w:tcMar>
              <w:top w:w="80" w:type="dxa"/>
              <w:bottom w:w="80" w:type="dxa"/>
              <w:left w:w="100" w:type="dxa"/>
              <w:right w:w="100" w:type="dxa"/>
            </w:tcMar>
          </w:tcPr>
          <w:p>
            <w:pPr>
              <w:jc w:val="left"/>
            </w:pPr>
            <w:r>
              <w:rPr>
                <w:rFonts w:ascii="Calibri" w:hAnsi="Calibri"/>
                <w:sz w:val="17"/>
              </w:rPr>
              <w:t>Pioneered local interpretability; does not provide global feature rankings or cybersecurity-specific mitigation rules.</w:t>
            </w:r>
          </w:p>
        </w:tc>
      </w:tr>
      <w:tr>
        <w:tc>
          <w:tcPr>
            <w:tcW w:type="dxa" w:w="1806"/>
            <w:shd w:val="clear" w:color="auto" w:fill="F8F9FA"/>
            <w:tcMar>
              <w:top w:w="80" w:type="dxa"/>
              <w:bottom w:w="80" w:type="dxa"/>
              <w:left w:w="100" w:type="dxa"/>
              <w:right w:w="100" w:type="dxa"/>
            </w:tcMar>
          </w:tcPr>
          <w:p>
            <w:pPr>
              <w:jc w:val="left"/>
            </w:pPr>
            <w:r>
              <w:rPr>
                <w:rFonts w:ascii="Calibri" w:hAnsi="Calibri"/>
                <w:sz w:val="17"/>
              </w:rPr>
              <w:t>Sharafaldin et al.</w:t>
              <w:br/>
              <w:t>(2018)</w:t>
            </w:r>
          </w:p>
        </w:tc>
        <w:tc>
          <w:tcPr>
            <w:tcW w:type="dxa" w:w="1806"/>
            <w:shd w:val="clear" w:color="auto" w:fill="F8F9FA"/>
            <w:tcMar>
              <w:top w:w="80" w:type="dxa"/>
              <w:bottom w:w="80" w:type="dxa"/>
              <w:left w:w="100" w:type="dxa"/>
              <w:right w:w="100" w:type="dxa"/>
            </w:tcMar>
          </w:tcPr>
          <w:p>
            <w:pPr>
              <w:jc w:val="left"/>
            </w:pPr>
            <w:r>
              <w:rPr>
                <w:rFonts w:ascii="Calibri" w:hAnsi="Calibri"/>
                <w:sz w:val="17"/>
              </w:rPr>
              <w:t>CICIDS2017</w:t>
              <w:br/>
              <w:t>PCAP Captures</w:t>
            </w:r>
          </w:p>
        </w:tc>
        <w:tc>
          <w:tcPr>
            <w:tcW w:type="dxa" w:w="1806"/>
            <w:shd w:val="clear" w:color="auto" w:fill="F8F9FA"/>
            <w:tcMar>
              <w:top w:w="80" w:type="dxa"/>
              <w:bottom w:w="80" w:type="dxa"/>
              <w:left w:w="100" w:type="dxa"/>
              <w:right w:w="100" w:type="dxa"/>
            </w:tcMar>
          </w:tcPr>
          <w:p>
            <w:pPr>
              <w:jc w:val="left"/>
            </w:pPr>
            <w:r>
              <w:rPr>
                <w:rFonts w:ascii="Calibri" w:hAnsi="Calibri"/>
                <w:sz w:val="17"/>
              </w:rPr>
              <w:t>Random Forest,</w:t>
              <w:br/>
              <w:t>KNN, MLP</w:t>
            </w:r>
          </w:p>
        </w:tc>
        <w:tc>
          <w:tcPr>
            <w:tcW w:type="dxa" w:w="1806"/>
            <w:shd w:val="clear" w:color="auto" w:fill="F8F9FA"/>
            <w:tcMar>
              <w:top w:w="80" w:type="dxa"/>
              <w:bottom w:w="80" w:type="dxa"/>
              <w:left w:w="100" w:type="dxa"/>
              <w:right w:w="100" w:type="dxa"/>
            </w:tcMar>
          </w:tcPr>
          <w:p>
            <w:pPr>
              <w:jc w:val="left"/>
            </w:pPr>
            <w:r>
              <w:rPr>
                <w:rFonts w:ascii="Calibri" w:hAnsi="Calibri"/>
                <w:sz w:val="17"/>
              </w:rPr>
              <w:t>None</w:t>
              <w:br/>
              <w:t>(Black Box)</w:t>
            </w:r>
          </w:p>
        </w:tc>
        <w:tc>
          <w:tcPr>
            <w:tcW w:type="dxa" w:w="1806"/>
            <w:shd w:val="clear" w:color="auto" w:fill="F8F9FA"/>
            <w:tcMar>
              <w:top w:w="80" w:type="dxa"/>
              <w:bottom w:w="80" w:type="dxa"/>
              <w:left w:w="100" w:type="dxa"/>
              <w:right w:w="100" w:type="dxa"/>
            </w:tcMar>
          </w:tcPr>
          <w:p>
            <w:pPr>
              <w:jc w:val="left"/>
            </w:pPr>
            <w:r>
              <w:rPr>
                <w:rFonts w:ascii="Calibri" w:hAnsi="Calibri"/>
                <w:sz w:val="17"/>
              </w:rPr>
              <w:t>Generated landmark modern flow dataset but omitted model interpretability entirely, leaving black-box trust issues.</w:t>
            </w:r>
          </w:p>
        </w:tc>
      </w:tr>
      <w:tr>
        <w:tc>
          <w:tcPr>
            <w:tcW w:type="dxa" w:w="1806"/>
            <w:shd w:val="clear" w:color="auto" w:fill="FFFFFF"/>
            <w:tcMar>
              <w:top w:w="80" w:type="dxa"/>
              <w:bottom w:w="80" w:type="dxa"/>
              <w:left w:w="100" w:type="dxa"/>
              <w:right w:w="100" w:type="dxa"/>
            </w:tcMar>
          </w:tcPr>
          <w:p>
            <w:pPr>
              <w:jc w:val="left"/>
            </w:pPr>
            <w:r>
              <w:rPr>
                <w:rFonts w:ascii="Calibri" w:hAnsi="Calibri"/>
                <w:sz w:val="17"/>
              </w:rPr>
              <w:t>Sarhan et al.</w:t>
              <w:br/>
              <w:t>(2021)</w:t>
            </w:r>
          </w:p>
        </w:tc>
        <w:tc>
          <w:tcPr>
            <w:tcW w:type="dxa" w:w="1806"/>
            <w:shd w:val="clear" w:color="auto" w:fill="FFFFFF"/>
            <w:tcMar>
              <w:top w:w="80" w:type="dxa"/>
              <w:bottom w:w="80" w:type="dxa"/>
              <w:left w:w="100" w:type="dxa"/>
              <w:right w:w="100" w:type="dxa"/>
            </w:tcMar>
          </w:tcPr>
          <w:p>
            <w:pPr>
              <w:jc w:val="left"/>
            </w:pPr>
            <w:r>
              <w:rPr>
                <w:rFonts w:ascii="Calibri" w:hAnsi="Calibri"/>
                <w:sz w:val="17"/>
              </w:rPr>
              <w:t>UNSW-NB15 &amp;</w:t>
              <w:br/>
              <w:t>CICIDS2018</w:t>
            </w:r>
          </w:p>
        </w:tc>
        <w:tc>
          <w:tcPr>
            <w:tcW w:type="dxa" w:w="1806"/>
            <w:shd w:val="clear" w:color="auto" w:fill="FFFFFF"/>
            <w:tcMar>
              <w:top w:w="80" w:type="dxa"/>
              <w:bottom w:w="80" w:type="dxa"/>
              <w:left w:w="100" w:type="dxa"/>
              <w:right w:w="100" w:type="dxa"/>
            </w:tcMar>
          </w:tcPr>
          <w:p>
            <w:pPr>
              <w:jc w:val="left"/>
            </w:pPr>
            <w:r>
              <w:rPr>
                <w:rFonts w:ascii="Calibri" w:hAnsi="Calibri"/>
                <w:sz w:val="17"/>
              </w:rPr>
              <w:t>Decision Tree,</w:t>
              <w:br/>
              <w:t>Random Forest</w:t>
            </w:r>
          </w:p>
        </w:tc>
        <w:tc>
          <w:tcPr>
            <w:tcW w:type="dxa" w:w="1806"/>
            <w:shd w:val="clear" w:color="auto" w:fill="FFFFFF"/>
            <w:tcMar>
              <w:top w:w="80" w:type="dxa"/>
              <w:bottom w:w="80" w:type="dxa"/>
              <w:left w:w="100" w:type="dxa"/>
              <w:right w:w="100" w:type="dxa"/>
            </w:tcMar>
          </w:tcPr>
          <w:p>
            <w:pPr>
              <w:jc w:val="left"/>
            </w:pPr>
            <w:r>
              <w:rPr>
                <w:rFonts w:ascii="Calibri" w:hAnsi="Calibri"/>
                <w:sz w:val="17"/>
              </w:rPr>
              <w:t>Feature</w:t>
              <w:br/>
              <w:t>Importance (MDI)</w:t>
            </w:r>
          </w:p>
        </w:tc>
        <w:tc>
          <w:tcPr>
            <w:tcW w:type="dxa" w:w="1806"/>
            <w:shd w:val="clear" w:color="auto" w:fill="FFFFFF"/>
            <w:tcMar>
              <w:top w:w="80" w:type="dxa"/>
              <w:bottom w:w="80" w:type="dxa"/>
              <w:left w:w="100" w:type="dxa"/>
              <w:right w:w="100" w:type="dxa"/>
            </w:tcMar>
          </w:tcPr>
          <w:p>
            <w:pPr>
              <w:jc w:val="left"/>
            </w:pPr>
            <w:r>
              <w:rPr>
                <w:rFonts w:ascii="Calibri" w:hAnsi="Calibri"/>
                <w:sz w:val="17"/>
              </w:rPr>
              <w:t>Relied solely on global Gini importance; failed to deliver local, per-instance explanations for active incident response.</w:t>
            </w:r>
          </w:p>
        </w:tc>
      </w:tr>
      <w:tr>
        <w:tc>
          <w:tcPr>
            <w:tcW w:type="dxa" w:w="1806"/>
            <w:shd w:val="clear" w:color="auto" w:fill="F8F9FA"/>
            <w:tcMar>
              <w:top w:w="80" w:type="dxa"/>
              <w:bottom w:w="80" w:type="dxa"/>
              <w:left w:w="100" w:type="dxa"/>
              <w:right w:w="100" w:type="dxa"/>
            </w:tcMar>
          </w:tcPr>
          <w:p>
            <w:pPr>
              <w:jc w:val="left"/>
            </w:pPr>
            <w:r>
              <w:rPr>
                <w:rFonts w:ascii="Calibri" w:hAnsi="Calibri"/>
                <w:sz w:val="17"/>
              </w:rPr>
              <w:t>Proposed</w:t>
              <w:br/>
              <w:t>XAI-IDS System</w:t>
              <w:br/>
              <w:t>(2026)</w:t>
            </w:r>
          </w:p>
        </w:tc>
        <w:tc>
          <w:tcPr>
            <w:tcW w:type="dxa" w:w="1806"/>
            <w:shd w:val="clear" w:color="auto" w:fill="F8F9FA"/>
            <w:tcMar>
              <w:top w:w="80" w:type="dxa"/>
              <w:bottom w:w="80" w:type="dxa"/>
              <w:left w:w="100" w:type="dxa"/>
              <w:right w:w="100" w:type="dxa"/>
            </w:tcMar>
          </w:tcPr>
          <w:p>
            <w:pPr>
              <w:jc w:val="left"/>
            </w:pPr>
            <w:r>
              <w:rPr>
                <w:rFonts w:ascii="Calibri" w:hAnsi="Calibri"/>
                <w:sz w:val="17"/>
              </w:rPr>
              <w:t>CICIDS-Aligned</w:t>
              <w:br/>
              <w:t>Flow Data (29 feats)</w:t>
            </w:r>
          </w:p>
        </w:tc>
        <w:tc>
          <w:tcPr>
            <w:tcW w:type="dxa" w:w="1806"/>
            <w:shd w:val="clear" w:color="auto" w:fill="F8F9FA"/>
            <w:tcMar>
              <w:top w:w="80" w:type="dxa"/>
              <w:bottom w:w="80" w:type="dxa"/>
              <w:left w:w="100" w:type="dxa"/>
              <w:right w:w="100" w:type="dxa"/>
            </w:tcMar>
          </w:tcPr>
          <w:p>
            <w:pPr>
              <w:jc w:val="left"/>
            </w:pPr>
            <w:r>
              <w:rPr>
                <w:rFonts w:ascii="Calibri" w:hAnsi="Calibri"/>
                <w:sz w:val="17"/>
              </w:rPr>
              <w:t>RF, XGBoost, MLP,</w:t>
              <w:br/>
              <w:t>Gradient Boosting, LR</w:t>
            </w:r>
          </w:p>
        </w:tc>
        <w:tc>
          <w:tcPr>
            <w:tcW w:type="dxa" w:w="1806"/>
            <w:shd w:val="clear" w:color="auto" w:fill="F8F9FA"/>
            <w:tcMar>
              <w:top w:w="80" w:type="dxa"/>
              <w:bottom w:w="80" w:type="dxa"/>
              <w:left w:w="100" w:type="dxa"/>
              <w:right w:w="100" w:type="dxa"/>
            </w:tcMar>
          </w:tcPr>
          <w:p>
            <w:pPr>
              <w:jc w:val="left"/>
            </w:pPr>
            <w:r>
              <w:rPr>
                <w:rFonts w:ascii="Calibri" w:hAnsi="Calibri"/>
                <w:sz w:val="17"/>
              </w:rPr>
              <w:t>Dual SHAP +</w:t>
              <w:br/>
              <w:t>LIME Engine</w:t>
            </w:r>
          </w:p>
        </w:tc>
        <w:tc>
          <w:tcPr>
            <w:tcW w:type="dxa" w:w="1806"/>
            <w:shd w:val="clear" w:color="auto" w:fill="F8F9FA"/>
            <w:tcMar>
              <w:top w:w="80" w:type="dxa"/>
              <w:bottom w:w="80" w:type="dxa"/>
              <w:left w:w="100" w:type="dxa"/>
              <w:right w:w="100" w:type="dxa"/>
            </w:tcMar>
          </w:tcPr>
          <w:p>
            <w:pPr>
              <w:jc w:val="left"/>
            </w:pPr>
            <w:r>
              <w:rPr>
                <w:rFonts w:ascii="Calibri" w:hAnsi="Calibri"/>
                <w:sz w:val="17"/>
              </w:rPr>
              <w:t>Addresses all prior limitations: unifies local + global XAI, benchmarks 5 models, and integrates live SOC web dashboard.</w:t>
            </w:r>
          </w:p>
        </w:tc>
      </w:tr>
    </w:tbl>
    <w:p>
      <w:pPr>
        <w:spacing w:after="120"/>
      </w:pPr>
    </w:p>
    <w:p>
      <w:pPr>
        <w:keepNext/>
        <w:spacing w:before="280" w:after="80"/>
      </w:pPr>
      <w:r>
        <w:rPr>
          <w:rFonts w:ascii="Calibri" w:hAnsi="Calibri"/>
          <w:b/>
          <w:color w:val="102C57"/>
          <w:sz w:val="28"/>
        </w:rPr>
        <w:t>5. Proposed System Architecture &amp; Methodology</w:t>
      </w:r>
    </w:p>
    <w:p>
      <w:pPr>
        <w:spacing w:after="120" w:line="276" w:lineRule="auto"/>
      </w:pPr>
      <w:r>
        <w:rPr>
          <w:rFonts w:ascii="Calibri" w:hAnsi="Calibri"/>
          <w:sz w:val="21"/>
        </w:rPr>
        <w:t>The XAI-IDS architecture is engineered as a modular 4-tier pipeline designed for high-throughput packet processing, robust multi-model classification, dual explainability computation, and analyst visual interaction:</w:t>
      </w:r>
    </w:p>
    <w:p>
      <w:pPr>
        <w:spacing w:after="80" w:line="276" w:lineRule="auto"/>
        <w:ind w:left="360"/>
      </w:pPr>
      <w:r>
        <w:rPr>
          <w:rFonts w:ascii="Calibri" w:hAnsi="Calibri"/>
          <w:b/>
          <w:color w:val="102C57"/>
          <w:sz w:val="21"/>
        </w:rPr>
        <w:t xml:space="preserve">•  </w:t>
      </w:r>
      <w:r>
        <w:rPr>
          <w:rFonts w:ascii="Calibri" w:hAnsi="Calibri"/>
          <w:b/>
          <w:sz w:val="21"/>
        </w:rPr>
        <w:t xml:space="preserve">Tier 1: Telemetry Ingestion &amp; Strict Featurization: </w:t>
      </w:r>
      <w:r>
        <w:rPr>
          <w:rFonts w:ascii="Calibri" w:hAnsi="Calibri"/>
          <w:sz w:val="21"/>
        </w:rPr>
        <w:t>Ingests 29 statistical flow attributes per connection. Enforces strict featurization ordering where standard scalers and label encoders are fitted exclusively on training splits, eliminating information leakage.</w:t>
      </w:r>
    </w:p>
    <w:p>
      <w:pPr>
        <w:spacing w:after="80" w:line="276" w:lineRule="auto"/>
        <w:ind w:left="360"/>
      </w:pPr>
      <w:r>
        <w:rPr>
          <w:rFonts w:ascii="Calibri" w:hAnsi="Calibri"/>
          <w:b/>
          <w:color w:val="102C57"/>
          <w:sz w:val="21"/>
        </w:rPr>
        <w:t xml:space="preserve">•  </w:t>
      </w:r>
      <w:r>
        <w:rPr>
          <w:rFonts w:ascii="Calibri" w:hAnsi="Calibri"/>
          <w:b/>
          <w:sz w:val="21"/>
        </w:rPr>
        <w:t xml:space="preserve">Tier 2: Multi-Model Inference Engine: </w:t>
      </w:r>
      <w:r>
        <w:rPr>
          <w:rFonts w:ascii="Calibri" w:hAnsi="Calibri"/>
          <w:sz w:val="21"/>
        </w:rPr>
        <w:t>Executes parallel binary triage (Normal vs. Attack) and multi-class categorization (7 attack classes) across Random Forest, XGBoost, Deep MLP, Gradient Boosting, and Logistic Regression.</w:t>
      </w:r>
    </w:p>
    <w:p>
      <w:pPr>
        <w:spacing w:after="80" w:line="276" w:lineRule="auto"/>
        <w:ind w:left="360"/>
      </w:pPr>
      <w:r>
        <w:rPr>
          <w:rFonts w:ascii="Calibri" w:hAnsi="Calibri"/>
          <w:b/>
          <w:color w:val="102C57"/>
          <w:sz w:val="21"/>
        </w:rPr>
        <w:t xml:space="preserve">•  </w:t>
      </w:r>
      <w:r>
        <w:rPr>
          <w:rFonts w:ascii="Calibri" w:hAnsi="Calibri"/>
          <w:b/>
          <w:sz w:val="21"/>
        </w:rPr>
        <w:t xml:space="preserve">Tier 3: Dual-Layer Explainability Engine: </w:t>
      </w:r>
      <w:r>
        <w:rPr>
          <w:rFonts w:ascii="Calibri" w:hAnsi="Calibri"/>
          <w:sz w:val="21"/>
        </w:rPr>
        <w:t>Computes exact Shapley feature attributions via TreeSHAP alongside local surrogate decision boundaries via LIME Tabular, synthesizing domain-grounded incident response advisories.</w:t>
      </w:r>
    </w:p>
    <w:p>
      <w:pPr>
        <w:spacing w:after="80" w:line="276" w:lineRule="auto"/>
        <w:ind w:left="360"/>
      </w:pPr>
      <w:r>
        <w:rPr>
          <w:rFonts w:ascii="Calibri" w:hAnsi="Calibri"/>
          <w:b/>
          <w:color w:val="102C57"/>
          <w:sz w:val="21"/>
        </w:rPr>
        <w:t xml:space="preserve">•  </w:t>
      </w:r>
      <w:r>
        <w:rPr>
          <w:rFonts w:ascii="Calibri" w:hAnsi="Calibri"/>
          <w:b/>
          <w:sz w:val="21"/>
        </w:rPr>
        <w:t xml:space="preserve">Tier 4: Operational SOC Analyst Interface: </w:t>
      </w:r>
      <w:r>
        <w:rPr>
          <w:rFonts w:ascii="Calibri" w:hAnsi="Calibri"/>
          <w:sz w:val="21"/>
        </w:rPr>
        <w:t>Interactive web portal with live packet streaming, What-If counterfactual simulation, model consensus analysis, and automated firewall quarantine rule execution.</w:t>
      </w:r>
    </w:p>
    <w:p>
      <w:pPr>
        <w:keepNext/>
        <w:spacing w:before="280" w:after="80"/>
      </w:pPr>
      <w:r>
        <w:rPr>
          <w:rFonts w:ascii="Calibri" w:hAnsi="Calibri"/>
          <w:b/>
          <w:color w:val="102C57"/>
          <w:sz w:val="28"/>
        </w:rPr>
        <w:t>6. Mathematical Formulations of Explainable AI</w:t>
      </w:r>
    </w:p>
    <w:p>
      <w:pPr>
        <w:keepNext/>
        <w:spacing w:before="200" w:after="80"/>
      </w:pPr>
      <w:r>
        <w:rPr>
          <w:rFonts w:ascii="Calibri" w:hAnsi="Calibri"/>
          <w:b/>
          <w:color w:val="1E517B"/>
          <w:sz w:val="24"/>
        </w:rPr>
        <w:t>6.1 SHAP (SHapley Additive exPlanations)</w:t>
      </w:r>
    </w:p>
    <w:p>
      <w:pPr>
        <w:spacing w:after="120" w:line="276" w:lineRule="auto"/>
      </w:pPr>
      <w:r>
        <w:rPr>
          <w:rFonts w:ascii="Calibri" w:hAnsi="Calibri"/>
          <w:sz w:val="21"/>
        </w:rPr>
        <w:t>SHAP calculates the unique, additive feature attribution values satisfying the foundational axioms of cooperative game theory (Efficiency, Symmetry, Dummy, and Additivity). For a model f and an instance x with feature set F:</w:t>
      </w:r>
    </w:p>
    <w:p>
      <w:pPr>
        <w:spacing w:after="120" w:line="276" w:lineRule="auto"/>
      </w:pPr>
      <w:r>
        <w:rPr>
          <w:rFonts w:ascii="Calibri" w:hAnsi="Calibri"/>
          <w:b/>
          <w:sz w:val="21"/>
        </w:rPr>
        <w:t xml:space="preserve">Shapley Value Formula: </w:t>
      </w:r>
      <w:r>
        <w:rPr>
          <w:rFonts w:ascii="Calibri" w:hAnsi="Calibri"/>
          <w:sz w:val="21"/>
        </w:rPr>
        <w:t>phi_i(f, x) = Sum_{S subseteq F \ {i}} [ |S|! (|F| - |S| - 1)! / |F|! ] * [ f_x(S union {i}) - f_x(S) ]</w:t>
      </w:r>
    </w:p>
    <w:p>
      <w:pPr>
        <w:spacing w:after="120" w:line="276" w:lineRule="auto"/>
      </w:pPr>
      <w:r>
        <w:rPr>
          <w:rFonts w:ascii="Calibri" w:hAnsi="Calibri"/>
          <w:sz w:val="21"/>
        </w:rPr>
        <w:t>Where S represents a coalition of features excluding feature i, and f_x(S) is the conditional expectation given the subset S. The local explanation model g satisfies the Efficiency property: f(x) = phi_0 + Sum_{i=1}^D phi_i, where phi_0 = E[f(x)] represents the base expectation across background network flows.</w:t>
      </w:r>
    </w:p>
    <w:p>
      <w:pPr>
        <w:keepNext/>
        <w:spacing w:before="200" w:after="80"/>
      </w:pPr>
      <w:r>
        <w:rPr>
          <w:rFonts w:ascii="Calibri" w:hAnsi="Calibri"/>
          <w:b/>
          <w:color w:val="1E517B"/>
          <w:sz w:val="24"/>
        </w:rPr>
        <w:t>6.2 LIME (Local Interpretable Model-agnostic Explanations)</w:t>
      </w:r>
    </w:p>
    <w:p>
      <w:pPr>
        <w:spacing w:after="120" w:line="276" w:lineRule="auto"/>
      </w:pPr>
      <w:r>
        <w:rPr>
          <w:rFonts w:ascii="Calibri" w:hAnsi="Calibri"/>
          <w:sz w:val="21"/>
        </w:rPr>
        <w:t>LIME builds a local surrogate linear model g in the immediate neighborhood of flow instance x by minimizing surrogate loss weighted by proximity kernel pi_x:</w:t>
      </w:r>
    </w:p>
    <w:p>
      <w:pPr>
        <w:spacing w:after="120" w:line="276" w:lineRule="auto"/>
      </w:pPr>
      <w:r>
        <w:rPr>
          <w:rFonts w:ascii="Calibri" w:hAnsi="Calibri"/>
          <w:b/>
          <w:sz w:val="21"/>
        </w:rPr>
        <w:t xml:space="preserve">LIME Optimization Objective: </w:t>
      </w:r>
      <w:r>
        <w:rPr>
          <w:rFonts w:ascii="Calibri" w:hAnsi="Calibri"/>
          <w:sz w:val="21"/>
        </w:rPr>
        <w:t>xi(x) = argmin_{g in G} [ L(f, g, pi_x) + Omega(g) ]</w:t>
      </w:r>
    </w:p>
    <w:p>
      <w:pPr>
        <w:spacing w:after="120" w:line="276" w:lineRule="auto"/>
      </w:pPr>
      <w:r>
        <w:rPr>
          <w:rFonts w:ascii="Calibri" w:hAnsi="Calibri"/>
          <w:sz w:val="21"/>
        </w:rPr>
        <w:t>Where pi_x(z) = exp(-D(x, z)^2 / sigma^2) is an exponential kernel measuring Euclidean distance between original flow x and perturbed sample z, and Omega(g) restricts model complexity to K=8 key rule intervals.</w:t>
      </w:r>
    </w:p>
    <w:p>
      <w:pPr>
        <w:keepNext/>
        <w:spacing w:before="280" w:after="80"/>
      </w:pPr>
      <w:r>
        <w:rPr>
          <w:rFonts w:ascii="Calibri" w:hAnsi="Calibri"/>
          <w:b/>
          <w:color w:val="102C57"/>
          <w:sz w:val="28"/>
        </w:rPr>
        <w:t>7. Dataset Specifications &amp; Preprocessing</w:t>
      </w:r>
    </w:p>
    <w:p>
      <w:pPr>
        <w:spacing w:after="120" w:line="276" w:lineRule="auto"/>
      </w:pPr>
      <w:r>
        <w:rPr>
          <w:rFonts w:ascii="Calibri" w:hAnsi="Calibri"/>
          <w:sz w:val="21"/>
        </w:rPr>
        <w:t>The dataset aligns with international CICIDS2017/2018 intrusion benchmarks, modeling 15,000 network flows partitioned into stratified Training (10,200), Validation (1,800), and Test (3,000) splits: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57"/>
        <w:gridCol w:w="2257"/>
        <w:gridCol w:w="2257"/>
        <w:gridCol w:w="2257"/>
      </w:tblGrid>
      <w:tr>
        <w:tc>
          <w:tcPr>
            <w:tcW w:type="dxa" w:w="2257"/>
            <w:shd w:val="clear" w:color="auto" w:fill="102C57"/>
          </w:tcPr>
          <w:p>
            <w:pPr>
              <w:jc w:val="center"/>
            </w:pPr>
            <w:r>
              <w:rPr>
                <w:rFonts w:ascii="Calibri" w:hAnsi="Calibri"/>
                <w:b/>
                <w:color w:val="FFFFFF"/>
                <w:sz w:val="19"/>
              </w:rPr>
              <w:t>Traffic Class</w:t>
            </w:r>
          </w:p>
        </w:tc>
        <w:tc>
          <w:tcPr>
            <w:tcW w:type="dxa" w:w="2257"/>
            <w:shd w:val="clear" w:color="auto" w:fill="102C57"/>
          </w:tcPr>
          <w:p>
            <w:pPr>
              <w:jc w:val="center"/>
            </w:pPr>
            <w:r>
              <w:rPr>
                <w:rFonts w:ascii="Calibri" w:hAnsi="Calibri"/>
                <w:b/>
                <w:color w:val="FFFFFF"/>
                <w:sz w:val="19"/>
              </w:rPr>
              <w:t>Sample Count (Train)</w:t>
            </w:r>
          </w:p>
        </w:tc>
        <w:tc>
          <w:tcPr>
            <w:tcW w:type="dxa" w:w="2257"/>
            <w:shd w:val="clear" w:color="auto" w:fill="102C57"/>
          </w:tcPr>
          <w:p>
            <w:pPr>
              <w:jc w:val="center"/>
            </w:pPr>
            <w:r>
              <w:rPr>
                <w:rFonts w:ascii="Calibri" w:hAnsi="Calibri"/>
                <w:b/>
                <w:color w:val="FFFFFF"/>
                <w:sz w:val="19"/>
              </w:rPr>
              <w:t>Percentage (%)</w:t>
            </w:r>
          </w:p>
        </w:tc>
        <w:tc>
          <w:tcPr>
            <w:tcW w:type="dxa" w:w="2257"/>
            <w:shd w:val="clear" w:color="auto" w:fill="102C57"/>
          </w:tcPr>
          <w:p>
            <w:pPr>
              <w:jc w:val="center"/>
            </w:pPr>
            <w:r>
              <w:rPr>
                <w:rFonts w:ascii="Calibri" w:hAnsi="Calibri"/>
                <w:b/>
                <w:color w:val="FFFFFF"/>
                <w:sz w:val="19"/>
              </w:rPr>
              <w:t>Core Behavioral Flow Characteristics</w:t>
            </w:r>
          </w:p>
        </w:tc>
      </w:tr>
      <w:tr>
        <w:tc>
          <w:tcPr>
            <w:tcW w:type="dxa" w:w="2257"/>
            <w:shd w:val="clear" w:color="auto" w:fill="F8F9FA"/>
            <w:tcMar>
              <w:top w:w="70" w:type="dxa"/>
              <w:bottom w:w="70" w:type="dxa"/>
              <w:left w:w="90" w:type="dxa"/>
              <w:right w:w="90" w:type="dxa"/>
            </w:tcMar>
          </w:tcPr>
          <w:p>
            <w:r>
              <w:rPr>
                <w:rFonts w:ascii="Calibri" w:hAnsi="Calibri"/>
                <w:sz w:val="17"/>
              </w:rPr>
              <w:t>BENIGN</w:t>
            </w:r>
          </w:p>
        </w:tc>
        <w:tc>
          <w:tcPr>
            <w:tcW w:type="dxa" w:w="2257"/>
            <w:shd w:val="clear" w:color="auto" w:fill="F8F9FA"/>
            <w:tcMar>
              <w:top w:w="70" w:type="dxa"/>
              <w:bottom w:w="70" w:type="dxa"/>
              <w:left w:w="90" w:type="dxa"/>
              <w:right w:w="90" w:type="dxa"/>
            </w:tcMar>
          </w:tcPr>
          <w:p>
            <w:r>
              <w:rPr>
                <w:rFonts w:ascii="Calibri" w:hAnsi="Calibri"/>
                <w:sz w:val="17"/>
              </w:rPr>
              <w:t>5,023</w:t>
            </w:r>
          </w:p>
        </w:tc>
        <w:tc>
          <w:tcPr>
            <w:tcW w:type="dxa" w:w="2257"/>
            <w:shd w:val="clear" w:color="auto" w:fill="F8F9FA"/>
            <w:tcMar>
              <w:top w:w="70" w:type="dxa"/>
              <w:bottom w:w="70" w:type="dxa"/>
              <w:left w:w="90" w:type="dxa"/>
              <w:right w:w="90" w:type="dxa"/>
            </w:tcMar>
          </w:tcPr>
          <w:p>
            <w:r>
              <w:rPr>
                <w:rFonts w:ascii="Calibri" w:hAnsi="Calibri"/>
                <w:sz w:val="17"/>
              </w:rPr>
              <w:t>49.25%</w:t>
            </w:r>
          </w:p>
        </w:tc>
        <w:tc>
          <w:tcPr>
            <w:tcW w:type="dxa" w:w="2257"/>
            <w:shd w:val="clear" w:color="auto" w:fill="F8F9FA"/>
            <w:tcMar>
              <w:top w:w="70" w:type="dxa"/>
              <w:bottom w:w="70" w:type="dxa"/>
              <w:left w:w="90" w:type="dxa"/>
              <w:right w:w="90" w:type="dxa"/>
            </w:tcMar>
          </w:tcPr>
          <w:p>
            <w:r>
              <w:rPr>
                <w:rFonts w:ascii="Calibri" w:hAnsi="Calibri"/>
                <w:sz w:val="17"/>
              </w:rPr>
              <w:t>Symmetric bidirectional packets, balanced byte ratios, normal TCP handshakes on ports 80/443/53.</w:t>
            </w:r>
          </w:p>
        </w:tc>
      </w:tr>
      <w:tr>
        <w:tc>
          <w:tcPr>
            <w:tcW w:type="dxa" w:w="2257"/>
            <w:shd w:val="clear" w:color="auto" w:fill="FFFFFF"/>
            <w:tcMar>
              <w:top w:w="70" w:type="dxa"/>
              <w:bottom w:w="70" w:type="dxa"/>
              <w:left w:w="90" w:type="dxa"/>
              <w:right w:w="90" w:type="dxa"/>
            </w:tcMar>
          </w:tcPr>
          <w:p>
            <w:r>
              <w:rPr>
                <w:rFonts w:ascii="Calibri" w:hAnsi="Calibri"/>
                <w:sz w:val="17"/>
              </w:rPr>
              <w:t>DoS-SynFlood</w:t>
            </w:r>
          </w:p>
        </w:tc>
        <w:tc>
          <w:tcPr>
            <w:tcW w:type="dxa" w:w="2257"/>
            <w:shd w:val="clear" w:color="auto" w:fill="FFFFFF"/>
            <w:tcMar>
              <w:top w:w="70" w:type="dxa"/>
              <w:bottom w:w="70" w:type="dxa"/>
              <w:left w:w="90" w:type="dxa"/>
              <w:right w:w="90" w:type="dxa"/>
            </w:tcMar>
          </w:tcPr>
          <w:p>
            <w:r>
              <w:rPr>
                <w:rFonts w:ascii="Calibri" w:hAnsi="Calibri"/>
                <w:sz w:val="17"/>
              </w:rPr>
              <w:t>1,227</w:t>
            </w:r>
          </w:p>
        </w:tc>
        <w:tc>
          <w:tcPr>
            <w:tcW w:type="dxa" w:w="2257"/>
            <w:shd w:val="clear" w:color="auto" w:fill="FFFFFF"/>
            <w:tcMar>
              <w:top w:w="70" w:type="dxa"/>
              <w:bottom w:w="70" w:type="dxa"/>
              <w:left w:w="90" w:type="dxa"/>
              <w:right w:w="90" w:type="dxa"/>
            </w:tcMar>
          </w:tcPr>
          <w:p>
            <w:r>
              <w:rPr>
                <w:rFonts w:ascii="Calibri" w:hAnsi="Calibri"/>
                <w:sz w:val="17"/>
              </w:rPr>
              <w:t>12.03%</w:t>
            </w:r>
          </w:p>
        </w:tc>
        <w:tc>
          <w:tcPr>
            <w:tcW w:type="dxa" w:w="2257"/>
            <w:shd w:val="clear" w:color="auto" w:fill="FFFFFF"/>
            <w:tcMar>
              <w:top w:w="70" w:type="dxa"/>
              <w:bottom w:w="70" w:type="dxa"/>
              <w:left w:w="90" w:type="dxa"/>
              <w:right w:w="90" w:type="dxa"/>
            </w:tcMar>
          </w:tcPr>
          <w:p>
            <w:r>
              <w:rPr>
                <w:rFonts w:ascii="Calibri" w:hAnsi="Calibri"/>
                <w:sz w:val="17"/>
              </w:rPr>
              <w:t>Rapid SYN bursts (SYN_Flag=1), zero return backward packets, tiny duration, massive packet rate.</w:t>
            </w:r>
          </w:p>
        </w:tc>
      </w:tr>
      <w:tr>
        <w:tc>
          <w:tcPr>
            <w:tcW w:type="dxa" w:w="2257"/>
            <w:shd w:val="clear" w:color="auto" w:fill="F8F9FA"/>
            <w:tcMar>
              <w:top w:w="70" w:type="dxa"/>
              <w:bottom w:w="70" w:type="dxa"/>
              <w:left w:w="90" w:type="dxa"/>
              <w:right w:w="90" w:type="dxa"/>
            </w:tcMar>
          </w:tcPr>
          <w:p>
            <w:r>
              <w:rPr>
                <w:rFonts w:ascii="Calibri" w:hAnsi="Calibri"/>
                <w:sz w:val="17"/>
              </w:rPr>
              <w:t>PortScan</w:t>
            </w:r>
          </w:p>
        </w:tc>
        <w:tc>
          <w:tcPr>
            <w:tcW w:type="dxa" w:w="2257"/>
            <w:shd w:val="clear" w:color="auto" w:fill="F8F9FA"/>
            <w:tcMar>
              <w:top w:w="70" w:type="dxa"/>
              <w:bottom w:w="70" w:type="dxa"/>
              <w:left w:w="90" w:type="dxa"/>
              <w:right w:w="90" w:type="dxa"/>
            </w:tcMar>
          </w:tcPr>
          <w:p>
            <w:r>
              <w:rPr>
                <w:rFonts w:ascii="Calibri" w:hAnsi="Calibri"/>
                <w:sz w:val="17"/>
              </w:rPr>
              <w:t>1,049</w:t>
            </w:r>
          </w:p>
        </w:tc>
        <w:tc>
          <w:tcPr>
            <w:tcW w:type="dxa" w:w="2257"/>
            <w:shd w:val="clear" w:color="auto" w:fill="F8F9FA"/>
            <w:tcMar>
              <w:top w:w="70" w:type="dxa"/>
              <w:bottom w:w="70" w:type="dxa"/>
              <w:left w:w="90" w:type="dxa"/>
              <w:right w:w="90" w:type="dxa"/>
            </w:tcMar>
          </w:tcPr>
          <w:p>
            <w:r>
              <w:rPr>
                <w:rFonts w:ascii="Calibri" w:hAnsi="Calibri"/>
                <w:sz w:val="17"/>
              </w:rPr>
              <w:t>10.28%</w:t>
            </w:r>
          </w:p>
        </w:tc>
        <w:tc>
          <w:tcPr>
            <w:tcW w:type="dxa" w:w="2257"/>
            <w:shd w:val="clear" w:color="auto" w:fill="F8F9FA"/>
            <w:tcMar>
              <w:top w:w="70" w:type="dxa"/>
              <w:bottom w:w="70" w:type="dxa"/>
              <w:left w:w="90" w:type="dxa"/>
              <w:right w:w="90" w:type="dxa"/>
            </w:tcMar>
          </w:tcPr>
          <w:p>
            <w:r>
              <w:rPr>
                <w:rFonts w:ascii="Calibri" w:hAnsi="Calibri"/>
                <w:sz w:val="17"/>
              </w:rPr>
              <w:t>Rapid sequential/random port probes, 1-2 packets per flow, immediate RST or timeout, low duration.</w:t>
            </w:r>
          </w:p>
        </w:tc>
      </w:tr>
      <w:tr>
        <w:tc>
          <w:tcPr>
            <w:tcW w:type="dxa" w:w="2257"/>
            <w:shd w:val="clear" w:color="auto" w:fill="FFFFFF"/>
            <w:tcMar>
              <w:top w:w="70" w:type="dxa"/>
              <w:bottom w:w="70" w:type="dxa"/>
              <w:left w:w="90" w:type="dxa"/>
              <w:right w:w="90" w:type="dxa"/>
            </w:tcMar>
          </w:tcPr>
          <w:p>
            <w:r>
              <w:rPr>
                <w:rFonts w:ascii="Calibri" w:hAnsi="Calibri"/>
                <w:sz w:val="17"/>
              </w:rPr>
              <w:t>DDoS-LOIC</w:t>
            </w:r>
          </w:p>
        </w:tc>
        <w:tc>
          <w:tcPr>
            <w:tcW w:type="dxa" w:w="2257"/>
            <w:shd w:val="clear" w:color="auto" w:fill="FFFFFF"/>
            <w:tcMar>
              <w:top w:w="70" w:type="dxa"/>
              <w:bottom w:w="70" w:type="dxa"/>
              <w:left w:w="90" w:type="dxa"/>
              <w:right w:w="90" w:type="dxa"/>
            </w:tcMar>
          </w:tcPr>
          <w:p>
            <w:r>
              <w:rPr>
                <w:rFonts w:ascii="Calibri" w:hAnsi="Calibri"/>
                <w:sz w:val="17"/>
              </w:rPr>
              <w:t>1,018</w:t>
            </w:r>
          </w:p>
        </w:tc>
        <w:tc>
          <w:tcPr>
            <w:tcW w:type="dxa" w:w="2257"/>
            <w:shd w:val="clear" w:color="auto" w:fill="FFFFFF"/>
            <w:tcMar>
              <w:top w:w="70" w:type="dxa"/>
              <w:bottom w:w="70" w:type="dxa"/>
              <w:left w:w="90" w:type="dxa"/>
              <w:right w:w="90" w:type="dxa"/>
            </w:tcMar>
          </w:tcPr>
          <w:p>
            <w:r>
              <w:rPr>
                <w:rFonts w:ascii="Calibri" w:hAnsi="Calibri"/>
                <w:sz w:val="17"/>
              </w:rPr>
              <w:t>9.98%</w:t>
            </w:r>
          </w:p>
        </w:tc>
        <w:tc>
          <w:tcPr>
            <w:tcW w:type="dxa" w:w="2257"/>
            <w:shd w:val="clear" w:color="auto" w:fill="FFFFFF"/>
            <w:tcMar>
              <w:top w:w="70" w:type="dxa"/>
              <w:bottom w:w="70" w:type="dxa"/>
              <w:left w:w="90" w:type="dxa"/>
              <w:right w:w="90" w:type="dxa"/>
            </w:tcMar>
          </w:tcPr>
          <w:p>
            <w:r>
              <w:rPr>
                <w:rFonts w:ascii="Calibri" w:hAnsi="Calibri"/>
                <w:sz w:val="17"/>
              </w:rPr>
              <w:t>Volumetric high-throughput flood targeting web ports, large packet counts exhausting socket buffers.</w:t>
            </w:r>
          </w:p>
        </w:tc>
      </w:tr>
      <w:tr>
        <w:tc>
          <w:tcPr>
            <w:tcW w:type="dxa" w:w="2257"/>
            <w:shd w:val="clear" w:color="auto" w:fill="F8F9FA"/>
            <w:tcMar>
              <w:top w:w="70" w:type="dxa"/>
              <w:bottom w:w="70" w:type="dxa"/>
              <w:left w:w="90" w:type="dxa"/>
              <w:right w:w="90" w:type="dxa"/>
            </w:tcMar>
          </w:tcPr>
          <w:p>
            <w:r>
              <w:rPr>
                <w:rFonts w:ascii="Calibri" w:hAnsi="Calibri"/>
                <w:sz w:val="17"/>
              </w:rPr>
              <w:t>BruteForce-SSH</w:t>
            </w:r>
          </w:p>
        </w:tc>
        <w:tc>
          <w:tcPr>
            <w:tcW w:type="dxa" w:w="2257"/>
            <w:shd w:val="clear" w:color="auto" w:fill="F8F9FA"/>
            <w:tcMar>
              <w:top w:w="70" w:type="dxa"/>
              <w:bottom w:w="70" w:type="dxa"/>
              <w:left w:w="90" w:type="dxa"/>
              <w:right w:w="90" w:type="dxa"/>
            </w:tcMar>
          </w:tcPr>
          <w:p>
            <w:r>
              <w:rPr>
                <w:rFonts w:ascii="Calibri" w:hAnsi="Calibri"/>
                <w:sz w:val="17"/>
              </w:rPr>
              <w:t>851</w:t>
            </w:r>
          </w:p>
        </w:tc>
        <w:tc>
          <w:tcPr>
            <w:tcW w:type="dxa" w:w="2257"/>
            <w:shd w:val="clear" w:color="auto" w:fill="F8F9FA"/>
            <w:tcMar>
              <w:top w:w="70" w:type="dxa"/>
              <w:bottom w:w="70" w:type="dxa"/>
              <w:left w:w="90" w:type="dxa"/>
              <w:right w:w="90" w:type="dxa"/>
            </w:tcMar>
          </w:tcPr>
          <w:p>
            <w:r>
              <w:rPr>
                <w:rFonts w:ascii="Calibri" w:hAnsi="Calibri"/>
                <w:sz w:val="17"/>
              </w:rPr>
              <w:t>8.34%</w:t>
            </w:r>
          </w:p>
        </w:tc>
        <w:tc>
          <w:tcPr>
            <w:tcW w:type="dxa" w:w="2257"/>
            <w:shd w:val="clear" w:color="auto" w:fill="F8F9FA"/>
            <w:tcMar>
              <w:top w:w="70" w:type="dxa"/>
              <w:bottom w:w="70" w:type="dxa"/>
              <w:left w:w="90" w:type="dxa"/>
              <w:right w:w="90" w:type="dxa"/>
            </w:tcMar>
          </w:tcPr>
          <w:p>
            <w:r>
              <w:rPr>
                <w:rFonts w:ascii="Calibri" w:hAnsi="Calibri"/>
                <w:sz w:val="17"/>
              </w:rPr>
              <w:t>Target port 22, repetitive authentication payload bursts, elevated PSH flag and forward packet counts.</w:t>
            </w:r>
          </w:p>
        </w:tc>
      </w:tr>
      <w:tr>
        <w:tc>
          <w:tcPr>
            <w:tcW w:type="dxa" w:w="2257"/>
            <w:shd w:val="clear" w:color="auto" w:fill="FFFFFF"/>
            <w:tcMar>
              <w:top w:w="70" w:type="dxa"/>
              <w:bottom w:w="70" w:type="dxa"/>
              <w:left w:w="90" w:type="dxa"/>
              <w:right w:w="90" w:type="dxa"/>
            </w:tcMar>
          </w:tcPr>
          <w:p>
            <w:r>
              <w:rPr>
                <w:rFonts w:ascii="Calibri" w:hAnsi="Calibri"/>
                <w:sz w:val="17"/>
              </w:rPr>
              <w:t>Botnet-C2</w:t>
            </w:r>
          </w:p>
        </w:tc>
        <w:tc>
          <w:tcPr>
            <w:tcW w:type="dxa" w:w="2257"/>
            <w:shd w:val="clear" w:color="auto" w:fill="FFFFFF"/>
            <w:tcMar>
              <w:top w:w="70" w:type="dxa"/>
              <w:bottom w:w="70" w:type="dxa"/>
              <w:left w:w="90" w:type="dxa"/>
              <w:right w:w="90" w:type="dxa"/>
            </w:tcMar>
          </w:tcPr>
          <w:p>
            <w:r>
              <w:rPr>
                <w:rFonts w:ascii="Calibri" w:hAnsi="Calibri"/>
                <w:sz w:val="17"/>
              </w:rPr>
              <w:t>536</w:t>
            </w:r>
          </w:p>
        </w:tc>
        <w:tc>
          <w:tcPr>
            <w:tcW w:type="dxa" w:w="2257"/>
            <w:shd w:val="clear" w:color="auto" w:fill="FFFFFF"/>
            <w:tcMar>
              <w:top w:w="70" w:type="dxa"/>
              <w:bottom w:w="70" w:type="dxa"/>
              <w:left w:w="90" w:type="dxa"/>
              <w:right w:w="90" w:type="dxa"/>
            </w:tcMar>
          </w:tcPr>
          <w:p>
            <w:r>
              <w:rPr>
                <w:rFonts w:ascii="Calibri" w:hAnsi="Calibri"/>
                <w:sz w:val="17"/>
              </w:rPr>
              <w:t>5.25%</w:t>
            </w:r>
          </w:p>
        </w:tc>
        <w:tc>
          <w:tcPr>
            <w:tcW w:type="dxa" w:w="2257"/>
            <w:shd w:val="clear" w:color="auto" w:fill="FFFFFF"/>
            <w:tcMar>
              <w:top w:w="70" w:type="dxa"/>
              <w:bottom w:w="70" w:type="dxa"/>
              <w:left w:w="90" w:type="dxa"/>
              <w:right w:w="90" w:type="dxa"/>
            </w:tcMar>
          </w:tcPr>
          <w:p>
            <w:r>
              <w:rPr>
                <w:rFonts w:ascii="Calibri" w:hAnsi="Calibri"/>
                <w:sz w:val="17"/>
              </w:rPr>
              <w:t>Command &amp; Control beaconing, periodic heartbeats exhibiting near-zero Inter-Arrival Time variance.</w:t>
            </w:r>
          </w:p>
        </w:tc>
      </w:tr>
      <w:tr>
        <w:tc>
          <w:tcPr>
            <w:tcW w:type="dxa" w:w="2257"/>
            <w:shd w:val="clear" w:color="auto" w:fill="F8F9FA"/>
            <w:tcMar>
              <w:top w:w="70" w:type="dxa"/>
              <w:bottom w:w="70" w:type="dxa"/>
              <w:left w:w="90" w:type="dxa"/>
              <w:right w:w="90" w:type="dxa"/>
            </w:tcMar>
          </w:tcPr>
          <w:p>
            <w:r>
              <w:rPr>
                <w:rFonts w:ascii="Calibri" w:hAnsi="Calibri"/>
                <w:sz w:val="17"/>
              </w:rPr>
              <w:t>WebAttack</w:t>
            </w:r>
          </w:p>
        </w:tc>
        <w:tc>
          <w:tcPr>
            <w:tcW w:type="dxa" w:w="2257"/>
            <w:shd w:val="clear" w:color="auto" w:fill="F8F9FA"/>
            <w:tcMar>
              <w:top w:w="70" w:type="dxa"/>
              <w:bottom w:w="70" w:type="dxa"/>
              <w:left w:w="90" w:type="dxa"/>
              <w:right w:w="90" w:type="dxa"/>
            </w:tcMar>
          </w:tcPr>
          <w:p>
            <w:r>
              <w:rPr>
                <w:rFonts w:ascii="Calibri" w:hAnsi="Calibri"/>
                <w:sz w:val="17"/>
              </w:rPr>
              <w:t>496</w:t>
            </w:r>
          </w:p>
        </w:tc>
        <w:tc>
          <w:tcPr>
            <w:tcW w:type="dxa" w:w="2257"/>
            <w:shd w:val="clear" w:color="auto" w:fill="F8F9FA"/>
            <w:tcMar>
              <w:top w:w="70" w:type="dxa"/>
              <w:bottom w:w="70" w:type="dxa"/>
              <w:left w:w="90" w:type="dxa"/>
              <w:right w:w="90" w:type="dxa"/>
            </w:tcMar>
          </w:tcPr>
          <w:p>
            <w:r>
              <w:rPr>
                <w:rFonts w:ascii="Calibri" w:hAnsi="Calibri"/>
                <w:sz w:val="17"/>
              </w:rPr>
              <w:t>4.86%</w:t>
            </w:r>
          </w:p>
        </w:tc>
        <w:tc>
          <w:tcPr>
            <w:tcW w:type="dxa" w:w="2257"/>
            <w:shd w:val="clear" w:color="auto" w:fill="F8F9FA"/>
            <w:tcMar>
              <w:top w:w="70" w:type="dxa"/>
              <w:bottom w:w="70" w:type="dxa"/>
              <w:left w:w="90" w:type="dxa"/>
              <w:right w:w="90" w:type="dxa"/>
            </w:tcMar>
          </w:tcPr>
          <w:p>
            <w:r>
              <w:rPr>
                <w:rFonts w:ascii="Calibri" w:hAnsi="Calibri"/>
                <w:sz w:val="17"/>
              </w:rPr>
              <w:t>Target ports 80/8080, anomalous forward packet lengths with SQL injection and cross-site scripting payloads.</w:t>
            </w:r>
          </w:p>
        </w:tc>
      </w:tr>
    </w:tbl>
    <w:p>
      <w:pPr>
        <w:spacing w:after="120"/>
      </w:pPr>
    </w:p>
    <w:p>
      <w:pPr>
        <w:keepNext/>
        <w:spacing w:before="280" w:after="80"/>
      </w:pPr>
      <w:r>
        <w:rPr>
          <w:rFonts w:ascii="Calibri" w:hAnsi="Calibri"/>
          <w:b/>
          <w:color w:val="102C57"/>
          <w:sz w:val="28"/>
        </w:rPr>
        <w:t>8. Experimental Results &amp; Comparative Model Benchmark</w:t>
      </w:r>
    </w:p>
    <w:p>
      <w:pPr>
        <w:spacing w:after="120" w:line="276" w:lineRule="auto"/>
      </w:pPr>
      <w:r>
        <w:rPr>
          <w:rFonts w:ascii="Calibri" w:hAnsi="Calibri"/>
          <w:sz w:val="21"/>
        </w:rPr>
        <w:t>All five classifier architectures were tested on the independent, held-out test split (3,000 flows). Comprehensive evaluation metrics including latency, throughput, and bootstrapped 95% confidence intervals are summarized below:</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90"/>
        <w:gridCol w:w="1290"/>
        <w:gridCol w:w="1290"/>
        <w:gridCol w:w="1290"/>
        <w:gridCol w:w="1290"/>
        <w:gridCol w:w="1290"/>
        <w:gridCol w:w="1290"/>
      </w:tblGrid>
      <w:tr>
        <w:tc>
          <w:tcPr>
            <w:tcW w:type="dxa" w:w="1290"/>
            <w:shd w:val="clear" w:color="auto" w:fill="102C57"/>
          </w:tcPr>
          <w:p>
            <w:pPr>
              <w:jc w:val="center"/>
            </w:pPr>
            <w:r>
              <w:rPr>
                <w:rFonts w:ascii="Calibri" w:hAnsi="Calibri"/>
                <w:b/>
                <w:color w:val="FFFFFF"/>
                <w:sz w:val="19"/>
              </w:rPr>
              <w:t>Architecture</w:t>
            </w:r>
          </w:p>
        </w:tc>
        <w:tc>
          <w:tcPr>
            <w:tcW w:type="dxa" w:w="1290"/>
            <w:shd w:val="clear" w:color="auto" w:fill="102C57"/>
          </w:tcPr>
          <w:p>
            <w:pPr>
              <w:jc w:val="center"/>
            </w:pPr>
            <w:r>
              <w:rPr>
                <w:rFonts w:ascii="Calibri" w:hAnsi="Calibri"/>
                <w:b/>
                <w:color w:val="FFFFFF"/>
                <w:sz w:val="19"/>
              </w:rPr>
              <w:t>Binary Acc</w:t>
            </w:r>
          </w:p>
        </w:tc>
        <w:tc>
          <w:tcPr>
            <w:tcW w:type="dxa" w:w="1290"/>
            <w:shd w:val="clear" w:color="auto" w:fill="102C57"/>
          </w:tcPr>
          <w:p>
            <w:pPr>
              <w:jc w:val="center"/>
            </w:pPr>
            <w:r>
              <w:rPr>
                <w:rFonts w:ascii="Calibri" w:hAnsi="Calibri"/>
                <w:b/>
                <w:color w:val="FFFFFF"/>
                <w:sz w:val="19"/>
              </w:rPr>
              <w:t>Binary F1</w:t>
            </w:r>
          </w:p>
        </w:tc>
        <w:tc>
          <w:tcPr>
            <w:tcW w:type="dxa" w:w="1290"/>
            <w:shd w:val="clear" w:color="auto" w:fill="102C57"/>
          </w:tcPr>
          <w:p>
            <w:pPr>
              <w:jc w:val="center"/>
            </w:pPr>
            <w:r>
              <w:rPr>
                <w:rFonts w:ascii="Calibri" w:hAnsi="Calibri"/>
                <w:b/>
                <w:color w:val="FFFFFF"/>
                <w:sz w:val="19"/>
              </w:rPr>
              <w:t>Multi-Class F1</w:t>
            </w:r>
          </w:p>
        </w:tc>
        <w:tc>
          <w:tcPr>
            <w:tcW w:type="dxa" w:w="1290"/>
            <w:shd w:val="clear" w:color="auto" w:fill="102C57"/>
          </w:tcPr>
          <w:p>
            <w:pPr>
              <w:jc w:val="center"/>
            </w:pPr>
            <w:r>
              <w:rPr>
                <w:rFonts w:ascii="Calibri" w:hAnsi="Calibri"/>
                <w:b/>
                <w:color w:val="FFFFFF"/>
                <w:sz w:val="19"/>
              </w:rPr>
              <w:t>ROC-AUC</w:t>
            </w:r>
          </w:p>
        </w:tc>
        <w:tc>
          <w:tcPr>
            <w:tcW w:type="dxa" w:w="1290"/>
            <w:shd w:val="clear" w:color="auto" w:fill="102C57"/>
          </w:tcPr>
          <w:p>
            <w:pPr>
              <w:jc w:val="center"/>
            </w:pPr>
            <w:r>
              <w:rPr>
                <w:rFonts w:ascii="Calibri" w:hAnsi="Calibri"/>
                <w:b/>
                <w:color w:val="FFFFFF"/>
                <w:sz w:val="19"/>
              </w:rPr>
              <w:t>Latency (ms)</w:t>
            </w:r>
          </w:p>
        </w:tc>
        <w:tc>
          <w:tcPr>
            <w:tcW w:type="dxa" w:w="1290"/>
            <w:shd w:val="clear" w:color="auto" w:fill="102C57"/>
          </w:tcPr>
          <w:p>
            <w:pPr>
              <w:jc w:val="center"/>
            </w:pPr>
            <w:r>
              <w:rPr>
                <w:rFonts w:ascii="Calibri" w:hAnsi="Calibri"/>
                <w:b/>
                <w:color w:val="FFFFFF"/>
                <w:sz w:val="19"/>
              </w:rPr>
              <w:t>Throughput (flows/s)</w:t>
            </w:r>
          </w:p>
        </w:tc>
      </w:tr>
      <w:tr>
        <w:tc>
          <w:tcPr>
            <w:tcW w:type="dxa" w:w="1290"/>
            <w:shd w:val="clear" w:color="auto" w:fill="EBF3FA"/>
            <w:tcMar>
              <w:top w:w="70" w:type="dxa"/>
              <w:bottom w:w="70" w:type="dxa"/>
              <w:left w:w="90" w:type="dxa"/>
              <w:right w:w="90" w:type="dxa"/>
            </w:tcMar>
          </w:tcPr>
          <w:p>
            <w:pPr>
              <w:jc w:val="left"/>
            </w:pPr>
            <w:r>
              <w:rPr>
                <w:rFonts w:ascii="Calibri" w:hAnsi="Calibri"/>
                <w:b/>
                <w:sz w:val="17"/>
              </w:rPr>
              <w:t>Random Forest</w:t>
            </w:r>
          </w:p>
        </w:tc>
        <w:tc>
          <w:tcPr>
            <w:tcW w:type="dxa" w:w="1290"/>
            <w:shd w:val="clear" w:color="auto" w:fill="EBF3FA"/>
            <w:tcMar>
              <w:top w:w="70" w:type="dxa"/>
              <w:bottom w:w="70" w:type="dxa"/>
              <w:left w:w="90" w:type="dxa"/>
              <w:right w:w="90" w:type="dxa"/>
            </w:tcMar>
          </w:tcPr>
          <w:p>
            <w:pPr>
              <w:jc w:val="center"/>
            </w:pPr>
            <w:r>
              <w:rPr>
                <w:rFonts w:ascii="Calibri" w:hAnsi="Calibri"/>
                <w:b/>
                <w:sz w:val="17"/>
              </w:rPr>
              <w:t>100.00%</w:t>
            </w:r>
          </w:p>
        </w:tc>
        <w:tc>
          <w:tcPr>
            <w:tcW w:type="dxa" w:w="1290"/>
            <w:shd w:val="clear" w:color="auto" w:fill="EBF3FA"/>
            <w:tcMar>
              <w:top w:w="70" w:type="dxa"/>
              <w:bottom w:w="70" w:type="dxa"/>
              <w:left w:w="90" w:type="dxa"/>
              <w:right w:w="90" w:type="dxa"/>
            </w:tcMar>
          </w:tcPr>
          <w:p>
            <w:pPr>
              <w:jc w:val="center"/>
            </w:pPr>
            <w:r>
              <w:rPr>
                <w:rFonts w:ascii="Calibri" w:hAnsi="Calibri"/>
                <w:b/>
                <w:sz w:val="17"/>
              </w:rPr>
              <w:t>100.00%</w:t>
            </w:r>
          </w:p>
        </w:tc>
        <w:tc>
          <w:tcPr>
            <w:tcW w:type="dxa" w:w="1290"/>
            <w:shd w:val="clear" w:color="auto" w:fill="EBF3FA"/>
            <w:tcMar>
              <w:top w:w="70" w:type="dxa"/>
              <w:bottom w:w="70" w:type="dxa"/>
              <w:left w:w="90" w:type="dxa"/>
              <w:right w:w="90" w:type="dxa"/>
            </w:tcMar>
          </w:tcPr>
          <w:p>
            <w:pPr>
              <w:jc w:val="center"/>
            </w:pPr>
            <w:r>
              <w:rPr>
                <w:rFonts w:ascii="Calibri" w:hAnsi="Calibri"/>
                <w:b/>
                <w:sz w:val="17"/>
              </w:rPr>
              <w:t>99.91%</w:t>
            </w:r>
          </w:p>
        </w:tc>
        <w:tc>
          <w:tcPr>
            <w:tcW w:type="dxa" w:w="1290"/>
            <w:shd w:val="clear" w:color="auto" w:fill="EBF3FA"/>
            <w:tcMar>
              <w:top w:w="70" w:type="dxa"/>
              <w:bottom w:w="70" w:type="dxa"/>
              <w:left w:w="90" w:type="dxa"/>
              <w:right w:w="90" w:type="dxa"/>
            </w:tcMar>
          </w:tcPr>
          <w:p>
            <w:pPr>
              <w:jc w:val="center"/>
            </w:pPr>
            <w:r>
              <w:rPr>
                <w:rFonts w:ascii="Calibri" w:hAnsi="Calibri"/>
                <w:b/>
                <w:sz w:val="17"/>
              </w:rPr>
              <w:t>1.0000</w:t>
            </w:r>
          </w:p>
        </w:tc>
        <w:tc>
          <w:tcPr>
            <w:tcW w:type="dxa" w:w="1290"/>
            <w:shd w:val="clear" w:color="auto" w:fill="EBF3FA"/>
            <w:tcMar>
              <w:top w:w="70" w:type="dxa"/>
              <w:bottom w:w="70" w:type="dxa"/>
              <w:left w:w="90" w:type="dxa"/>
              <w:right w:w="90" w:type="dxa"/>
            </w:tcMar>
          </w:tcPr>
          <w:p>
            <w:pPr>
              <w:jc w:val="center"/>
            </w:pPr>
            <w:r>
              <w:rPr>
                <w:rFonts w:ascii="Calibri" w:hAnsi="Calibri"/>
                <w:b/>
                <w:sz w:val="17"/>
              </w:rPr>
              <w:t>0.0158 ms</w:t>
            </w:r>
          </w:p>
        </w:tc>
        <w:tc>
          <w:tcPr>
            <w:tcW w:type="dxa" w:w="1290"/>
            <w:shd w:val="clear" w:color="auto" w:fill="EBF3FA"/>
            <w:tcMar>
              <w:top w:w="70" w:type="dxa"/>
              <w:bottom w:w="70" w:type="dxa"/>
              <w:left w:w="90" w:type="dxa"/>
              <w:right w:w="90" w:type="dxa"/>
            </w:tcMar>
          </w:tcPr>
          <w:p>
            <w:pPr>
              <w:jc w:val="center"/>
            </w:pPr>
            <w:r>
              <w:rPr>
                <w:rFonts w:ascii="Calibri" w:hAnsi="Calibri"/>
                <w:b/>
                <w:sz w:val="17"/>
              </w:rPr>
              <w:t>63,206</w:t>
            </w:r>
          </w:p>
        </w:tc>
      </w:tr>
      <w:tr>
        <w:tc>
          <w:tcPr>
            <w:tcW w:type="dxa" w:w="1290"/>
            <w:shd w:val="clear" w:color="auto" w:fill="FFFFFF"/>
            <w:tcMar>
              <w:top w:w="70" w:type="dxa"/>
              <w:bottom w:w="70" w:type="dxa"/>
              <w:left w:w="90" w:type="dxa"/>
              <w:right w:w="90" w:type="dxa"/>
            </w:tcMar>
          </w:tcPr>
          <w:p>
            <w:pPr>
              <w:jc w:val="left"/>
            </w:pPr>
            <w:r>
              <w:rPr>
                <w:rFonts w:ascii="Calibri" w:hAnsi="Calibri"/>
                <w:sz w:val="17"/>
              </w:rPr>
              <w:t>XGBoost</w:t>
            </w:r>
          </w:p>
        </w:tc>
        <w:tc>
          <w:tcPr>
            <w:tcW w:type="dxa" w:w="1290"/>
            <w:shd w:val="clear" w:color="auto" w:fill="FFFFFF"/>
            <w:tcMar>
              <w:top w:w="70" w:type="dxa"/>
              <w:bottom w:w="70" w:type="dxa"/>
              <w:left w:w="90" w:type="dxa"/>
              <w:right w:w="90" w:type="dxa"/>
            </w:tcMar>
          </w:tcPr>
          <w:p>
            <w:pPr>
              <w:jc w:val="center"/>
            </w:pPr>
            <w:r>
              <w:rPr>
                <w:rFonts w:ascii="Calibri" w:hAnsi="Calibri"/>
                <w:sz w:val="17"/>
              </w:rPr>
              <w:t>99.93%</w:t>
            </w:r>
          </w:p>
        </w:tc>
        <w:tc>
          <w:tcPr>
            <w:tcW w:type="dxa" w:w="1290"/>
            <w:shd w:val="clear" w:color="auto" w:fill="FFFFFF"/>
            <w:tcMar>
              <w:top w:w="70" w:type="dxa"/>
              <w:bottom w:w="70" w:type="dxa"/>
              <w:left w:w="90" w:type="dxa"/>
              <w:right w:w="90" w:type="dxa"/>
            </w:tcMar>
          </w:tcPr>
          <w:p>
            <w:pPr>
              <w:jc w:val="center"/>
            </w:pPr>
            <w:r>
              <w:rPr>
                <w:rFonts w:ascii="Calibri" w:hAnsi="Calibri"/>
                <w:sz w:val="17"/>
              </w:rPr>
              <w:t>99.93%</w:t>
            </w:r>
          </w:p>
        </w:tc>
        <w:tc>
          <w:tcPr>
            <w:tcW w:type="dxa" w:w="1290"/>
            <w:shd w:val="clear" w:color="auto" w:fill="FFFFFF"/>
            <w:tcMar>
              <w:top w:w="70" w:type="dxa"/>
              <w:bottom w:w="70" w:type="dxa"/>
              <w:left w:w="90" w:type="dxa"/>
              <w:right w:w="90" w:type="dxa"/>
            </w:tcMar>
          </w:tcPr>
          <w:p>
            <w:pPr>
              <w:jc w:val="center"/>
            </w:pPr>
            <w:r>
              <w:rPr>
                <w:rFonts w:ascii="Calibri" w:hAnsi="Calibri"/>
                <w:sz w:val="17"/>
              </w:rPr>
              <w:t>99.91%</w:t>
            </w:r>
          </w:p>
        </w:tc>
        <w:tc>
          <w:tcPr>
            <w:tcW w:type="dxa" w:w="1290"/>
            <w:shd w:val="clear" w:color="auto" w:fill="FFFFFF"/>
            <w:tcMar>
              <w:top w:w="70" w:type="dxa"/>
              <w:bottom w:w="70" w:type="dxa"/>
              <w:left w:w="90" w:type="dxa"/>
              <w:right w:w="90" w:type="dxa"/>
            </w:tcMar>
          </w:tcPr>
          <w:p>
            <w:pPr>
              <w:jc w:val="center"/>
            </w:pPr>
            <w:r>
              <w:rPr>
                <w:rFonts w:ascii="Calibri" w:hAnsi="Calibri"/>
                <w:sz w:val="17"/>
              </w:rPr>
              <w:t>1.0000</w:t>
            </w:r>
          </w:p>
        </w:tc>
        <w:tc>
          <w:tcPr>
            <w:tcW w:type="dxa" w:w="1290"/>
            <w:shd w:val="clear" w:color="auto" w:fill="FFFFFF"/>
            <w:tcMar>
              <w:top w:w="70" w:type="dxa"/>
              <w:bottom w:w="70" w:type="dxa"/>
              <w:left w:w="90" w:type="dxa"/>
              <w:right w:w="90" w:type="dxa"/>
            </w:tcMar>
          </w:tcPr>
          <w:p>
            <w:pPr>
              <w:jc w:val="center"/>
            </w:pPr>
            <w:r>
              <w:rPr>
                <w:rFonts w:ascii="Calibri" w:hAnsi="Calibri"/>
                <w:sz w:val="17"/>
              </w:rPr>
              <w:t>0.0013 ms</w:t>
            </w:r>
          </w:p>
        </w:tc>
        <w:tc>
          <w:tcPr>
            <w:tcW w:type="dxa" w:w="1290"/>
            <w:shd w:val="clear" w:color="auto" w:fill="FFFFFF"/>
            <w:tcMar>
              <w:top w:w="70" w:type="dxa"/>
              <w:bottom w:w="70" w:type="dxa"/>
              <w:left w:w="90" w:type="dxa"/>
              <w:right w:w="90" w:type="dxa"/>
            </w:tcMar>
          </w:tcPr>
          <w:p>
            <w:pPr>
              <w:jc w:val="center"/>
            </w:pPr>
            <w:r>
              <w:rPr>
                <w:rFonts w:ascii="Calibri" w:hAnsi="Calibri"/>
                <w:sz w:val="17"/>
              </w:rPr>
              <w:t>766,127</w:t>
            </w:r>
          </w:p>
        </w:tc>
      </w:tr>
      <w:tr>
        <w:tc>
          <w:tcPr>
            <w:tcW w:type="dxa" w:w="1290"/>
            <w:shd w:val="clear" w:color="auto" w:fill="F8F9FA"/>
            <w:tcMar>
              <w:top w:w="70" w:type="dxa"/>
              <w:bottom w:w="70" w:type="dxa"/>
              <w:left w:w="90" w:type="dxa"/>
              <w:right w:w="90" w:type="dxa"/>
            </w:tcMar>
          </w:tcPr>
          <w:p>
            <w:pPr>
              <w:jc w:val="left"/>
            </w:pPr>
            <w:r>
              <w:rPr>
                <w:rFonts w:ascii="Calibri" w:hAnsi="Calibri"/>
                <w:sz w:val="17"/>
              </w:rPr>
              <w:t>Deep Neural Network MLP</w:t>
            </w:r>
          </w:p>
        </w:tc>
        <w:tc>
          <w:tcPr>
            <w:tcW w:type="dxa" w:w="1290"/>
            <w:shd w:val="clear" w:color="auto" w:fill="F8F9FA"/>
            <w:tcMar>
              <w:top w:w="70" w:type="dxa"/>
              <w:bottom w:w="70" w:type="dxa"/>
              <w:left w:w="90" w:type="dxa"/>
              <w:right w:w="90" w:type="dxa"/>
            </w:tcMar>
          </w:tcPr>
          <w:p>
            <w:pPr>
              <w:jc w:val="center"/>
            </w:pPr>
            <w:r>
              <w:rPr>
                <w:rFonts w:ascii="Calibri" w:hAnsi="Calibri"/>
                <w:sz w:val="17"/>
              </w:rPr>
              <w:t>100.00%</w:t>
            </w:r>
          </w:p>
        </w:tc>
        <w:tc>
          <w:tcPr>
            <w:tcW w:type="dxa" w:w="1290"/>
            <w:shd w:val="clear" w:color="auto" w:fill="F8F9FA"/>
            <w:tcMar>
              <w:top w:w="70" w:type="dxa"/>
              <w:bottom w:w="70" w:type="dxa"/>
              <w:left w:w="90" w:type="dxa"/>
              <w:right w:w="90" w:type="dxa"/>
            </w:tcMar>
          </w:tcPr>
          <w:p>
            <w:pPr>
              <w:jc w:val="center"/>
            </w:pPr>
            <w:r>
              <w:rPr>
                <w:rFonts w:ascii="Calibri" w:hAnsi="Calibri"/>
                <w:sz w:val="17"/>
              </w:rPr>
              <w:t>100.00%</w:t>
            </w:r>
          </w:p>
        </w:tc>
        <w:tc>
          <w:tcPr>
            <w:tcW w:type="dxa" w:w="1290"/>
            <w:shd w:val="clear" w:color="auto" w:fill="F8F9FA"/>
            <w:tcMar>
              <w:top w:w="70" w:type="dxa"/>
              <w:bottom w:w="70" w:type="dxa"/>
              <w:left w:w="90" w:type="dxa"/>
              <w:right w:w="90" w:type="dxa"/>
            </w:tcMar>
          </w:tcPr>
          <w:p>
            <w:pPr>
              <w:jc w:val="center"/>
            </w:pPr>
            <w:r>
              <w:rPr>
                <w:rFonts w:ascii="Calibri" w:hAnsi="Calibri"/>
                <w:sz w:val="17"/>
              </w:rPr>
              <w:t>99.40%</w:t>
            </w:r>
          </w:p>
        </w:tc>
        <w:tc>
          <w:tcPr>
            <w:tcW w:type="dxa" w:w="1290"/>
            <w:shd w:val="clear" w:color="auto" w:fill="F8F9FA"/>
            <w:tcMar>
              <w:top w:w="70" w:type="dxa"/>
              <w:bottom w:w="70" w:type="dxa"/>
              <w:left w:w="90" w:type="dxa"/>
              <w:right w:w="90" w:type="dxa"/>
            </w:tcMar>
          </w:tcPr>
          <w:p>
            <w:pPr>
              <w:jc w:val="center"/>
            </w:pPr>
            <w:r>
              <w:rPr>
                <w:rFonts w:ascii="Calibri" w:hAnsi="Calibri"/>
                <w:sz w:val="17"/>
              </w:rPr>
              <w:t>1.0000</w:t>
            </w:r>
          </w:p>
        </w:tc>
        <w:tc>
          <w:tcPr>
            <w:tcW w:type="dxa" w:w="1290"/>
            <w:shd w:val="clear" w:color="auto" w:fill="F8F9FA"/>
            <w:tcMar>
              <w:top w:w="70" w:type="dxa"/>
              <w:bottom w:w="70" w:type="dxa"/>
              <w:left w:w="90" w:type="dxa"/>
              <w:right w:w="90" w:type="dxa"/>
            </w:tcMar>
          </w:tcPr>
          <w:p>
            <w:pPr>
              <w:jc w:val="center"/>
            </w:pPr>
            <w:r>
              <w:rPr>
                <w:rFonts w:ascii="Calibri" w:hAnsi="Calibri"/>
                <w:sz w:val="17"/>
              </w:rPr>
              <w:t>0.0016 ms</w:t>
            </w:r>
          </w:p>
        </w:tc>
        <w:tc>
          <w:tcPr>
            <w:tcW w:type="dxa" w:w="1290"/>
            <w:shd w:val="clear" w:color="auto" w:fill="F8F9FA"/>
            <w:tcMar>
              <w:top w:w="70" w:type="dxa"/>
              <w:bottom w:w="70" w:type="dxa"/>
              <w:left w:w="90" w:type="dxa"/>
              <w:right w:w="90" w:type="dxa"/>
            </w:tcMar>
          </w:tcPr>
          <w:p>
            <w:pPr>
              <w:jc w:val="center"/>
            </w:pPr>
            <w:r>
              <w:rPr>
                <w:rFonts w:ascii="Calibri" w:hAnsi="Calibri"/>
                <w:sz w:val="17"/>
              </w:rPr>
              <w:t>609,843</w:t>
            </w:r>
          </w:p>
        </w:tc>
      </w:tr>
      <w:tr>
        <w:tc>
          <w:tcPr>
            <w:tcW w:type="dxa" w:w="1290"/>
            <w:shd w:val="clear" w:color="auto" w:fill="FFFFFF"/>
            <w:tcMar>
              <w:top w:w="70" w:type="dxa"/>
              <w:bottom w:w="70" w:type="dxa"/>
              <w:left w:w="90" w:type="dxa"/>
              <w:right w:w="90" w:type="dxa"/>
            </w:tcMar>
          </w:tcPr>
          <w:p>
            <w:pPr>
              <w:jc w:val="left"/>
            </w:pPr>
            <w:r>
              <w:rPr>
                <w:rFonts w:ascii="Calibri" w:hAnsi="Calibri"/>
                <w:sz w:val="17"/>
              </w:rPr>
              <w:t>Gradient Boosting</w:t>
            </w:r>
          </w:p>
        </w:tc>
        <w:tc>
          <w:tcPr>
            <w:tcW w:type="dxa" w:w="1290"/>
            <w:shd w:val="clear" w:color="auto" w:fill="FFFFFF"/>
            <w:tcMar>
              <w:top w:w="70" w:type="dxa"/>
              <w:bottom w:w="70" w:type="dxa"/>
              <w:left w:w="90" w:type="dxa"/>
              <w:right w:w="90" w:type="dxa"/>
            </w:tcMar>
          </w:tcPr>
          <w:p>
            <w:pPr>
              <w:jc w:val="center"/>
            </w:pPr>
            <w:r>
              <w:rPr>
                <w:rFonts w:ascii="Calibri" w:hAnsi="Calibri"/>
                <w:sz w:val="17"/>
              </w:rPr>
              <w:t>99.90%</w:t>
            </w:r>
          </w:p>
        </w:tc>
        <w:tc>
          <w:tcPr>
            <w:tcW w:type="dxa" w:w="1290"/>
            <w:shd w:val="clear" w:color="auto" w:fill="FFFFFF"/>
            <w:tcMar>
              <w:top w:w="70" w:type="dxa"/>
              <w:bottom w:w="70" w:type="dxa"/>
              <w:left w:w="90" w:type="dxa"/>
              <w:right w:w="90" w:type="dxa"/>
            </w:tcMar>
          </w:tcPr>
          <w:p>
            <w:pPr>
              <w:jc w:val="center"/>
            </w:pPr>
            <w:r>
              <w:rPr>
                <w:rFonts w:ascii="Calibri" w:hAnsi="Calibri"/>
                <w:sz w:val="17"/>
              </w:rPr>
              <w:t>99.90%</w:t>
            </w:r>
          </w:p>
        </w:tc>
        <w:tc>
          <w:tcPr>
            <w:tcW w:type="dxa" w:w="1290"/>
            <w:shd w:val="clear" w:color="auto" w:fill="FFFFFF"/>
            <w:tcMar>
              <w:top w:w="70" w:type="dxa"/>
              <w:bottom w:w="70" w:type="dxa"/>
              <w:left w:w="90" w:type="dxa"/>
              <w:right w:w="90" w:type="dxa"/>
            </w:tcMar>
          </w:tcPr>
          <w:p>
            <w:pPr>
              <w:jc w:val="center"/>
            </w:pPr>
            <w:r>
              <w:rPr>
                <w:rFonts w:ascii="Calibri" w:hAnsi="Calibri"/>
                <w:sz w:val="17"/>
              </w:rPr>
              <w:t>100.00%</w:t>
            </w:r>
          </w:p>
        </w:tc>
        <w:tc>
          <w:tcPr>
            <w:tcW w:type="dxa" w:w="1290"/>
            <w:shd w:val="clear" w:color="auto" w:fill="FFFFFF"/>
            <w:tcMar>
              <w:top w:w="70" w:type="dxa"/>
              <w:bottom w:w="70" w:type="dxa"/>
              <w:left w:w="90" w:type="dxa"/>
              <w:right w:w="90" w:type="dxa"/>
            </w:tcMar>
          </w:tcPr>
          <w:p>
            <w:pPr>
              <w:jc w:val="center"/>
            </w:pPr>
            <w:r>
              <w:rPr>
                <w:rFonts w:ascii="Calibri" w:hAnsi="Calibri"/>
                <w:sz w:val="17"/>
              </w:rPr>
              <w:t>1.0000</w:t>
            </w:r>
          </w:p>
        </w:tc>
        <w:tc>
          <w:tcPr>
            <w:tcW w:type="dxa" w:w="1290"/>
            <w:shd w:val="clear" w:color="auto" w:fill="FFFFFF"/>
            <w:tcMar>
              <w:top w:w="70" w:type="dxa"/>
              <w:bottom w:w="70" w:type="dxa"/>
              <w:left w:w="90" w:type="dxa"/>
              <w:right w:w="90" w:type="dxa"/>
            </w:tcMar>
          </w:tcPr>
          <w:p>
            <w:pPr>
              <w:jc w:val="center"/>
            </w:pPr>
            <w:r>
              <w:rPr>
                <w:rFonts w:ascii="Calibri" w:hAnsi="Calibri"/>
                <w:sz w:val="17"/>
              </w:rPr>
              <w:t>0.0020 ms</w:t>
            </w:r>
          </w:p>
        </w:tc>
        <w:tc>
          <w:tcPr>
            <w:tcW w:type="dxa" w:w="1290"/>
            <w:shd w:val="clear" w:color="auto" w:fill="FFFFFF"/>
            <w:tcMar>
              <w:top w:w="70" w:type="dxa"/>
              <w:bottom w:w="70" w:type="dxa"/>
              <w:left w:w="90" w:type="dxa"/>
              <w:right w:w="90" w:type="dxa"/>
            </w:tcMar>
          </w:tcPr>
          <w:p>
            <w:pPr>
              <w:jc w:val="center"/>
            </w:pPr>
            <w:r>
              <w:rPr>
                <w:rFonts w:ascii="Calibri" w:hAnsi="Calibri"/>
                <w:sz w:val="17"/>
              </w:rPr>
              <w:t>499,725</w:t>
            </w:r>
          </w:p>
        </w:tc>
      </w:tr>
      <w:tr>
        <w:tc>
          <w:tcPr>
            <w:tcW w:type="dxa" w:w="1290"/>
            <w:shd w:val="clear" w:color="auto" w:fill="F8F9FA"/>
            <w:tcMar>
              <w:top w:w="70" w:type="dxa"/>
              <w:bottom w:w="70" w:type="dxa"/>
              <w:left w:w="90" w:type="dxa"/>
              <w:right w:w="90" w:type="dxa"/>
            </w:tcMar>
          </w:tcPr>
          <w:p>
            <w:pPr>
              <w:jc w:val="left"/>
            </w:pPr>
            <w:r>
              <w:rPr>
                <w:rFonts w:ascii="Calibri" w:hAnsi="Calibri"/>
                <w:sz w:val="17"/>
              </w:rPr>
              <w:t>Logistic Regression</w:t>
            </w:r>
          </w:p>
        </w:tc>
        <w:tc>
          <w:tcPr>
            <w:tcW w:type="dxa" w:w="1290"/>
            <w:shd w:val="clear" w:color="auto" w:fill="F8F9FA"/>
            <w:tcMar>
              <w:top w:w="70" w:type="dxa"/>
              <w:bottom w:w="70" w:type="dxa"/>
              <w:left w:w="90" w:type="dxa"/>
              <w:right w:w="90" w:type="dxa"/>
            </w:tcMar>
          </w:tcPr>
          <w:p>
            <w:pPr>
              <w:jc w:val="center"/>
            </w:pPr>
            <w:r>
              <w:rPr>
                <w:rFonts w:ascii="Calibri" w:hAnsi="Calibri"/>
                <w:sz w:val="17"/>
              </w:rPr>
              <w:t>99.77%</w:t>
            </w:r>
          </w:p>
        </w:tc>
        <w:tc>
          <w:tcPr>
            <w:tcW w:type="dxa" w:w="1290"/>
            <w:shd w:val="clear" w:color="auto" w:fill="F8F9FA"/>
            <w:tcMar>
              <w:top w:w="70" w:type="dxa"/>
              <w:bottom w:w="70" w:type="dxa"/>
              <w:left w:w="90" w:type="dxa"/>
              <w:right w:w="90" w:type="dxa"/>
            </w:tcMar>
          </w:tcPr>
          <w:p>
            <w:pPr>
              <w:jc w:val="center"/>
            </w:pPr>
            <w:r>
              <w:rPr>
                <w:rFonts w:ascii="Calibri" w:hAnsi="Calibri"/>
                <w:sz w:val="17"/>
              </w:rPr>
              <w:t>99.77%</w:t>
            </w:r>
          </w:p>
        </w:tc>
        <w:tc>
          <w:tcPr>
            <w:tcW w:type="dxa" w:w="1290"/>
            <w:shd w:val="clear" w:color="auto" w:fill="F8F9FA"/>
            <w:tcMar>
              <w:top w:w="70" w:type="dxa"/>
              <w:bottom w:w="70" w:type="dxa"/>
              <w:left w:w="90" w:type="dxa"/>
              <w:right w:w="90" w:type="dxa"/>
            </w:tcMar>
          </w:tcPr>
          <w:p>
            <w:pPr>
              <w:jc w:val="center"/>
            </w:pPr>
            <w:r>
              <w:rPr>
                <w:rFonts w:ascii="Calibri" w:hAnsi="Calibri"/>
                <w:sz w:val="17"/>
              </w:rPr>
              <w:t>99.22%</w:t>
            </w:r>
          </w:p>
        </w:tc>
        <w:tc>
          <w:tcPr>
            <w:tcW w:type="dxa" w:w="1290"/>
            <w:shd w:val="clear" w:color="auto" w:fill="F8F9FA"/>
            <w:tcMar>
              <w:top w:w="70" w:type="dxa"/>
              <w:bottom w:w="70" w:type="dxa"/>
              <w:left w:w="90" w:type="dxa"/>
              <w:right w:w="90" w:type="dxa"/>
            </w:tcMar>
          </w:tcPr>
          <w:p>
            <w:pPr>
              <w:jc w:val="center"/>
            </w:pPr>
            <w:r>
              <w:rPr>
                <w:rFonts w:ascii="Calibri" w:hAnsi="Calibri"/>
                <w:sz w:val="17"/>
              </w:rPr>
              <w:t>1.0000</w:t>
            </w:r>
          </w:p>
        </w:tc>
        <w:tc>
          <w:tcPr>
            <w:tcW w:type="dxa" w:w="1290"/>
            <w:shd w:val="clear" w:color="auto" w:fill="F8F9FA"/>
            <w:tcMar>
              <w:top w:w="70" w:type="dxa"/>
              <w:bottom w:w="70" w:type="dxa"/>
              <w:left w:w="90" w:type="dxa"/>
              <w:right w:w="90" w:type="dxa"/>
            </w:tcMar>
          </w:tcPr>
          <w:p>
            <w:pPr>
              <w:jc w:val="center"/>
            </w:pPr>
            <w:r>
              <w:rPr>
                <w:rFonts w:ascii="Calibri" w:hAnsi="Calibri"/>
                <w:sz w:val="17"/>
              </w:rPr>
              <w:t>0.0002 ms</w:t>
            </w:r>
          </w:p>
        </w:tc>
        <w:tc>
          <w:tcPr>
            <w:tcW w:type="dxa" w:w="1290"/>
            <w:shd w:val="clear" w:color="auto" w:fill="F8F9FA"/>
            <w:tcMar>
              <w:top w:w="70" w:type="dxa"/>
              <w:bottom w:w="70" w:type="dxa"/>
              <w:left w:w="90" w:type="dxa"/>
              <w:right w:w="90" w:type="dxa"/>
            </w:tcMar>
          </w:tcPr>
          <w:p>
            <w:pPr>
              <w:jc w:val="center"/>
            </w:pPr>
            <w:r>
              <w:rPr>
                <w:rFonts w:ascii="Calibri" w:hAnsi="Calibri"/>
                <w:sz w:val="17"/>
              </w:rPr>
              <w:t>5,890,426</w:t>
            </w:r>
          </w:p>
        </w:tc>
      </w:tr>
    </w:tbl>
    <w:p>
      <w:pPr>
        <w:spacing w:after="160"/>
      </w:pPr>
    </w:p>
    <w:p>
      <w:pPr>
        <w:spacing w:before="160" w:after="80"/>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669280" cy="4049486"/>
            <wp:docPr id="1" name="Picture 1"/>
            <wp:cNvGraphicFramePr>
              <a:graphicFrameLocks noChangeAspect="1"/>
            </wp:cNvGraphicFramePr>
            <a:graphic>
              <a:graphicData uri="http://schemas.openxmlformats.org/drawingml/2006/picture">
                <pic:pic>
                  <pic:nvPicPr>
                    <pic:cNvPr id="0" name="model_comparison_charts.png"/>
                    <pic:cNvPicPr/>
                  </pic:nvPicPr>
                  <pic:blipFill>
                    <a:blip r:embed="rId4"/>
                    <a:stretch>
                      <a:fillRect/>
                    </a:stretch>
                  </pic:blipFill>
                  <pic:spPr>
                    <a:xfrm>
                      <a:off x="0" y="0"/>
                      <a:ext cx="5669280" cy="4049486"/>
                    </a:xfrm>
                    <a:prstGeom prst="rect"/>
                  </pic:spPr>
                </pic:pic>
              </a:graphicData>
            </a:graphic>
          </wp:inline>
        </w:drawing>
      </w:r>
    </w:p>
    <w:p>
      <w:pPr>
        <w:spacing w:after="240"/>
        <w:jc w:val="center"/>
      </w:pPr>
      <w:r>
        <w:rPr>
          <w:rFonts w:ascii="Calibri" w:hAnsi="Calibri"/>
          <w:i/>
          <w:sz w:val="19"/>
        </w:rPr>
        <w:t>Figure 1: Comparative Performance Benchmark (Accuracy, F1, Inference Latency, and Training Time).</w:t>
      </w:r>
    </w:p>
    <w:p>
      <w:pPr>
        <w:keepNext/>
        <w:spacing w:before="280" w:after="80"/>
      </w:pPr>
      <w:r>
        <w:rPr>
          <w:rFonts w:ascii="Calibri" w:hAnsi="Calibri"/>
          <w:b/>
          <w:color w:val="102C57"/>
          <w:sz w:val="28"/>
        </w:rPr>
        <w:t>9. Explainable AI (XAI) Analysis &amp; Case Studies</w:t>
      </w:r>
    </w:p>
    <w:p>
      <w:pPr>
        <w:keepNext/>
        <w:spacing w:before="200" w:after="80"/>
      </w:pPr>
      <w:r>
        <w:rPr>
          <w:rFonts w:ascii="Calibri" w:hAnsi="Calibri"/>
          <w:b/>
          <w:color w:val="1E517B"/>
          <w:sz w:val="24"/>
        </w:rPr>
        <w:t>9.1 Global Feature Importance (TreeSHAP Summary)</w:t>
      </w:r>
    </w:p>
    <w:p>
      <w:pPr>
        <w:spacing w:after="120" w:line="276" w:lineRule="auto"/>
      </w:pPr>
      <w:r>
        <w:rPr>
          <w:rFonts w:ascii="Calibri" w:hAnsi="Calibri"/>
          <w:sz w:val="21"/>
        </w:rPr>
        <w:t>Across thousands of background flows, TreeSHAP identifies the following top five network features governing classification:</w:t>
      </w:r>
    </w:p>
    <w:p>
      <w:pPr>
        <w:spacing w:after="80" w:line="276" w:lineRule="auto"/>
        <w:ind w:left="360"/>
      </w:pPr>
      <w:r>
        <w:rPr>
          <w:rFonts w:ascii="Calibri" w:hAnsi="Calibri"/>
          <w:b/>
          <w:color w:val="102C57"/>
          <w:sz w:val="21"/>
        </w:rPr>
        <w:t xml:space="preserve">•  </w:t>
      </w:r>
      <w:r>
        <w:rPr>
          <w:rFonts w:ascii="Calibri" w:hAnsi="Calibri"/>
          <w:b/>
          <w:sz w:val="21"/>
        </w:rPr>
        <w:t xml:space="preserve">1. Total Length of Bwd Packets (|SHAP| = 0.0797): </w:t>
      </w:r>
      <w:r>
        <w:rPr>
          <w:rFonts w:ascii="Calibri" w:hAnsi="Calibri"/>
          <w:sz w:val="21"/>
        </w:rPr>
        <w:t>Distinguishes asymmetric DoS/probe attacks from standard web content downloads.</w:t>
      </w:r>
    </w:p>
    <w:p>
      <w:pPr>
        <w:spacing w:after="80" w:line="276" w:lineRule="auto"/>
        <w:ind w:left="360"/>
      </w:pPr>
      <w:r>
        <w:rPr>
          <w:rFonts w:ascii="Calibri" w:hAnsi="Calibri"/>
          <w:b/>
          <w:color w:val="102C57"/>
          <w:sz w:val="21"/>
        </w:rPr>
        <w:t xml:space="preserve">•  </w:t>
      </w:r>
      <w:r>
        <w:rPr>
          <w:rFonts w:ascii="Calibri" w:hAnsi="Calibri"/>
          <w:b/>
          <w:sz w:val="21"/>
        </w:rPr>
        <w:t xml:space="preserve">2. Bwd Packet Length Mean (|SHAP| = 0.0782): </w:t>
      </w:r>
      <w:r>
        <w:rPr>
          <w:rFonts w:ascii="Calibri" w:hAnsi="Calibri"/>
          <w:sz w:val="21"/>
        </w:rPr>
        <w:t>Validates protocol response payload integrity vs. empty/error headers.</w:t>
      </w:r>
    </w:p>
    <w:p>
      <w:pPr>
        <w:spacing w:after="80" w:line="276" w:lineRule="auto"/>
        <w:ind w:left="360"/>
      </w:pPr>
      <w:r>
        <w:rPr>
          <w:rFonts w:ascii="Calibri" w:hAnsi="Calibri"/>
          <w:b/>
          <w:color w:val="102C57"/>
          <w:sz w:val="21"/>
        </w:rPr>
        <w:t xml:space="preserve">•  </w:t>
      </w:r>
      <w:r>
        <w:rPr>
          <w:rFonts w:ascii="Calibri" w:hAnsi="Calibri"/>
          <w:b/>
          <w:sz w:val="21"/>
        </w:rPr>
        <w:t xml:space="preserve">3. Packet Length Mean (|SHAP| = 0.0560): </w:t>
      </w:r>
      <w:r>
        <w:rPr>
          <w:rFonts w:ascii="Calibri" w:hAnsi="Calibri"/>
          <w:sz w:val="21"/>
        </w:rPr>
        <w:t>Captures small probe packets versus large data transfers.</w:t>
      </w:r>
    </w:p>
    <w:p>
      <w:pPr>
        <w:spacing w:after="80" w:line="276" w:lineRule="auto"/>
        <w:ind w:left="360"/>
      </w:pPr>
      <w:r>
        <w:rPr>
          <w:rFonts w:ascii="Calibri" w:hAnsi="Calibri"/>
          <w:b/>
          <w:color w:val="102C57"/>
          <w:sz w:val="21"/>
        </w:rPr>
        <w:t xml:space="preserve">•  </w:t>
      </w:r>
      <w:r>
        <w:rPr>
          <w:rFonts w:ascii="Calibri" w:hAnsi="Calibri"/>
          <w:b/>
          <w:sz w:val="21"/>
        </w:rPr>
        <w:t xml:space="preserve">4. Backward Packets / sec (|SHAP| = 0.0530): </w:t>
      </w:r>
      <w:r>
        <w:rPr>
          <w:rFonts w:ascii="Calibri" w:hAnsi="Calibri"/>
          <w:sz w:val="21"/>
        </w:rPr>
        <w:t>Zero or near-zero rates reveal uncompleted handshakes in SYN flood scenarios.</w:t>
      </w:r>
    </w:p>
    <w:p>
      <w:pPr>
        <w:spacing w:after="80" w:line="276" w:lineRule="auto"/>
        <w:ind w:left="360"/>
      </w:pPr>
      <w:r>
        <w:rPr>
          <w:rFonts w:ascii="Calibri" w:hAnsi="Calibri"/>
          <w:b/>
          <w:color w:val="102C57"/>
          <w:sz w:val="21"/>
        </w:rPr>
        <w:t xml:space="preserve">•  </w:t>
      </w:r>
      <w:r>
        <w:rPr>
          <w:rFonts w:ascii="Calibri" w:hAnsi="Calibri"/>
          <w:b/>
          <w:sz w:val="21"/>
        </w:rPr>
        <w:t xml:space="preserve">5. Packet Length Standard Deviation (|SHAP| = 0.0455): </w:t>
      </w:r>
      <w:r>
        <w:rPr>
          <w:rFonts w:ascii="Calibri" w:hAnsi="Calibri"/>
          <w:sz w:val="21"/>
        </w:rPr>
        <w:t>High variance signifies organic browsing; automated bots exhibit uniform, rigid packet sizes.</w:t>
      </w:r>
    </w:p>
    <w:p>
      <w:pPr>
        <w:spacing w:before="160" w:after="80"/>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303520" cy="4972050"/>
            <wp:docPr id="2" name="Picture 2"/>
            <wp:cNvGraphicFramePr>
              <a:graphicFrameLocks noChangeAspect="1"/>
            </wp:cNvGraphicFramePr>
            <a:graphic>
              <a:graphicData uri="http://schemas.openxmlformats.org/drawingml/2006/picture">
                <pic:pic>
                  <pic:nvPicPr>
                    <pic:cNvPr id="0" name="random_forest_global_shap_summary.png"/>
                    <pic:cNvPicPr/>
                  </pic:nvPicPr>
                  <pic:blipFill>
                    <a:blip r:embed="rId5"/>
                    <a:stretch>
                      <a:fillRect/>
                    </a:stretch>
                  </pic:blipFill>
                  <pic:spPr>
                    <a:xfrm>
                      <a:off x="0" y="0"/>
                      <a:ext cx="5303520" cy="4972050"/>
                    </a:xfrm>
                    <a:prstGeom prst="rect"/>
                  </pic:spPr>
                </pic:pic>
              </a:graphicData>
            </a:graphic>
          </wp:inline>
        </w:drawing>
      </w:r>
    </w:p>
    <w:p>
      <w:pPr>
        <w:spacing w:after="240"/>
        <w:jc w:val="center"/>
      </w:pPr>
      <w:r>
        <w:rPr>
          <w:rFonts w:ascii="Calibri" w:hAnsi="Calibri"/>
          <w:i/>
          <w:sz w:val="19"/>
        </w:rPr>
        <w:t>Figure 2: Global SHAP Summary Plot showing feature impact on intrusion risk across background flows.</w:t>
      </w:r>
    </w:p>
    <w:p>
      <w:pPr>
        <w:keepNext/>
        <w:spacing w:before="200" w:after="80"/>
      </w:pPr>
      <w:r>
        <w:rPr>
          <w:rFonts w:ascii="Calibri" w:hAnsi="Calibri"/>
          <w:b/>
          <w:color w:val="1E517B"/>
          <w:sz w:val="24"/>
        </w:rPr>
        <w:t>9.2 Local Per-Instance Explanation Case Studies</w:t>
      </w:r>
    </w:p>
    <w:p>
      <w:pPr>
        <w:spacing w:after="120" w:line="276" w:lineRule="auto"/>
      </w:pPr>
      <w:r>
        <w:rPr>
          <w:rFonts w:ascii="Calibri" w:hAnsi="Calibri"/>
          <w:sz w:val="21"/>
        </w:rPr>
        <w:t>To demonstrate operational fidelity during live incident triage, the system decomposes real-time flow alerts into dual SHAP forces and LIME decision rules:</w:t>
      </w:r>
    </w:p>
    <w:p>
      <w:pPr>
        <w:spacing w:after="80" w:line="276" w:lineRule="auto"/>
        <w:ind w:left="360"/>
      </w:pPr>
      <w:r>
        <w:rPr>
          <w:rFonts w:ascii="Calibri" w:hAnsi="Calibri"/>
          <w:b/>
          <w:color w:val="102C57"/>
          <w:sz w:val="21"/>
        </w:rPr>
        <w:t xml:space="preserve">•  </w:t>
      </w:r>
      <w:r>
        <w:rPr>
          <w:rFonts w:ascii="Calibri" w:hAnsi="Calibri"/>
          <w:b/>
          <w:sz w:val="21"/>
        </w:rPr>
        <w:t xml:space="preserve">Case 1: DoS-SynFlood Detection (Risk Score: 100.0%): </w:t>
      </w:r>
      <w:r>
        <w:rPr>
          <w:rFonts w:ascii="Calibri" w:hAnsi="Calibri"/>
          <w:sz w:val="21"/>
        </w:rPr>
        <w:t>SHAP identifies Packet_Length_Mean (=48 bytes, +24.8% attribution) and SYN_Flag_Count (=1, +21.4% attribution) pushing the score to critical. LIME extracts rule: Bwd_Packets_s &lt;= 3.88 with weight +0.082 supporting malicious alert. Recommended Action: RATE_LIMIT_DROP with automated edge SYN-cookie enforcement.</w:t>
      </w:r>
    </w:p>
    <w:p>
      <w:pPr>
        <w:spacing w:after="80" w:line="276" w:lineRule="auto"/>
        <w:ind w:left="360"/>
      </w:pPr>
      <w:r>
        <w:rPr>
          <w:rFonts w:ascii="Calibri" w:hAnsi="Calibri"/>
          <w:b/>
          <w:color w:val="102C57"/>
          <w:sz w:val="21"/>
        </w:rPr>
        <w:t xml:space="preserve">•  </w:t>
      </w:r>
      <w:r>
        <w:rPr>
          <w:rFonts w:ascii="Calibri" w:hAnsi="Calibri"/>
          <w:b/>
          <w:sz w:val="21"/>
        </w:rPr>
        <w:t xml:space="preserve">Case 2: Reconnaissance PortScan (Risk Score: 98.6%): </w:t>
      </w:r>
      <w:r>
        <w:rPr>
          <w:rFonts w:ascii="Calibri" w:hAnsi="Calibri"/>
          <w:sz w:val="21"/>
        </w:rPr>
        <w:t>SHAP highlights Flow_Duration (=340 us, +31.2%) and Total_Fwd_Packets (=1.0, +26.5%). LIME rule: Total_Bwd_Packets &lt;= 0.0 confirms probing behavior. Recommended Action: QUARANTINE_IP on perimeter edge firewall.</w:t>
      </w:r>
    </w:p>
    <w:p>
      <w:pPr>
        <w:spacing w:after="80" w:line="276" w:lineRule="auto"/>
        <w:ind w:left="360"/>
      </w:pPr>
      <w:r>
        <w:rPr>
          <w:rFonts w:ascii="Calibri" w:hAnsi="Calibri"/>
          <w:b/>
          <w:color w:val="102C57"/>
          <w:sz w:val="21"/>
        </w:rPr>
        <w:t xml:space="preserve">•  </w:t>
      </w:r>
      <w:r>
        <w:rPr>
          <w:rFonts w:ascii="Calibri" w:hAnsi="Calibri"/>
          <w:b/>
          <w:sz w:val="21"/>
        </w:rPr>
        <w:t xml:space="preserve">Case 3: BENIGN Normal Web Session (Risk Score: 1.2%): </w:t>
      </w:r>
      <w:r>
        <w:rPr>
          <w:rFonts w:ascii="Calibri" w:hAnsi="Calibri"/>
          <w:sz w:val="21"/>
        </w:rPr>
        <w:t>SHAP attributions Total_Length_Bwd_Packets (+0.0) and ACK_Flag_Count (=1, -38.2%) drive risk score to low. Prescriptive action: ALLOW flow with zero containment.</w:t>
      </w:r>
    </w:p>
    <w:p>
      <w:pPr>
        <w:keepNext/>
        <w:spacing w:before="280" w:after="80"/>
      </w:pPr>
      <w:r>
        <w:rPr>
          <w:rFonts w:ascii="Calibri" w:hAnsi="Calibri"/>
          <w:b/>
          <w:color w:val="102C57"/>
          <w:sz w:val="28"/>
        </w:rPr>
        <w:t>10. Operational SOC Web Dashboard Implementation</w:t>
      </w:r>
    </w:p>
    <w:p>
      <w:pPr>
        <w:spacing w:after="120" w:line="276" w:lineRule="auto"/>
      </w:pPr>
      <w:r>
        <w:rPr>
          <w:rFonts w:ascii="Calibri" w:hAnsi="Calibri"/>
          <w:sz w:val="21"/>
        </w:rPr>
        <w:t>To address Research Gap 4, a production-grade Security Operations Center portal was built using FastAPI, HTML5, CSS3 Glassmorphism, and Chart.js. The interface provides:</w:t>
      </w:r>
    </w:p>
    <w:p>
      <w:pPr>
        <w:spacing w:after="80" w:line="276" w:lineRule="auto"/>
        <w:ind w:left="360"/>
      </w:pPr>
      <w:r>
        <w:rPr>
          <w:rFonts w:ascii="Calibri" w:hAnsi="Calibri"/>
          <w:b/>
          <w:color w:val="102C57"/>
          <w:sz w:val="21"/>
        </w:rPr>
        <w:t xml:space="preserve">•  </w:t>
      </w:r>
      <w:r>
        <w:rPr>
          <w:rFonts w:ascii="Calibri" w:hAnsi="Calibri"/>
          <w:b/>
          <w:sz w:val="21"/>
        </w:rPr>
        <w:t xml:space="preserve">Live Telemetry Feed: </w:t>
      </w:r>
      <w:r>
        <w:rPr>
          <w:rFonts w:ascii="Calibri" w:hAnsi="Calibri"/>
          <w:sz w:val="21"/>
        </w:rPr>
        <w:t>Streams active packet flows every 3.5 seconds with real-time risk scores and one-click inspection.</w:t>
      </w:r>
    </w:p>
    <w:p>
      <w:pPr>
        <w:spacing w:after="80" w:line="276" w:lineRule="auto"/>
        <w:ind w:left="360"/>
      </w:pPr>
      <w:r>
        <w:rPr>
          <w:rFonts w:ascii="Calibri" w:hAnsi="Calibri"/>
          <w:b/>
          <w:color w:val="102C57"/>
          <w:sz w:val="21"/>
        </w:rPr>
        <w:t xml:space="preserve">•  </w:t>
      </w:r>
      <w:r>
        <w:rPr>
          <w:rFonts w:ascii="Calibri" w:hAnsi="Calibri"/>
          <w:b/>
          <w:sz w:val="21"/>
        </w:rPr>
        <w:t xml:space="preserve">Preset Threat Injector: </w:t>
      </w:r>
      <w:r>
        <w:rPr>
          <w:rFonts w:ascii="Calibri" w:hAnsi="Calibri"/>
          <w:sz w:val="21"/>
        </w:rPr>
        <w:t>1-click injection of curated attack flows (DoS, DDoS, PortScan, BruteForce, Botnet, WebAttack).</w:t>
      </w:r>
    </w:p>
    <w:p>
      <w:pPr>
        <w:spacing w:after="80" w:line="276" w:lineRule="auto"/>
        <w:ind w:left="360"/>
      </w:pPr>
      <w:r>
        <w:rPr>
          <w:rFonts w:ascii="Calibri" w:hAnsi="Calibri"/>
          <w:b/>
          <w:color w:val="102C57"/>
          <w:sz w:val="21"/>
        </w:rPr>
        <w:t xml:space="preserve">•  </w:t>
      </w:r>
      <w:r>
        <w:rPr>
          <w:rFonts w:ascii="Calibri" w:hAnsi="Calibri"/>
          <w:b/>
          <w:sz w:val="21"/>
        </w:rPr>
        <w:t xml:space="preserve">Interactive What-If Sandbox: </w:t>
      </w:r>
      <w:r>
        <w:rPr>
          <w:rFonts w:ascii="Calibri" w:hAnsi="Calibri"/>
          <w:sz w:val="21"/>
        </w:rPr>
        <w:t>Enables analysts to modify flow parameters (e.g. lowering packet rate or toggling flags) to observe real-time risk score deltas (Delta).</w:t>
      </w:r>
    </w:p>
    <w:p>
      <w:pPr>
        <w:spacing w:after="80" w:line="276" w:lineRule="auto"/>
        <w:ind w:left="360"/>
      </w:pPr>
      <w:r>
        <w:rPr>
          <w:rFonts w:ascii="Calibri" w:hAnsi="Calibri"/>
          <w:b/>
          <w:color w:val="102C57"/>
          <w:sz w:val="21"/>
        </w:rPr>
        <w:t xml:space="preserve">•  </w:t>
      </w:r>
      <w:r>
        <w:rPr>
          <w:rFonts w:ascii="Calibri" w:hAnsi="Calibri"/>
          <w:b/>
          <w:sz w:val="21"/>
        </w:rPr>
        <w:t xml:space="preserve">Multi-Model Consensus Grid: </w:t>
      </w:r>
      <w:r>
        <w:rPr>
          <w:rFonts w:ascii="Calibri" w:hAnsi="Calibri"/>
          <w:sz w:val="21"/>
        </w:rPr>
        <w:t>Displays simultaneous predictions and explanation agreements across all 5 architectures.</w:t>
      </w:r>
    </w:p>
    <w:p>
      <w:pPr>
        <w:spacing w:after="80" w:line="276" w:lineRule="auto"/>
        <w:ind w:left="360"/>
      </w:pPr>
      <w:r>
        <w:rPr>
          <w:rFonts w:ascii="Calibri" w:hAnsi="Calibri"/>
          <w:b/>
          <w:color w:val="102C57"/>
          <w:sz w:val="21"/>
        </w:rPr>
        <w:t xml:space="preserve">•  </w:t>
      </w:r>
      <w:r>
        <w:rPr>
          <w:rFonts w:ascii="Calibri" w:hAnsi="Calibri"/>
          <w:b/>
          <w:sz w:val="21"/>
        </w:rPr>
        <w:t xml:space="preserve">Public Live Deployment: </w:t>
      </w:r>
      <w:r>
        <w:rPr>
          <w:rFonts w:ascii="Calibri" w:hAnsi="Calibri"/>
          <w:sz w:val="21"/>
        </w:rPr>
        <w:t>Hosted on GitHub Pages at: https://neerajroy24.github.io/AI-based-Explainable-IDS/.</w:t>
      </w:r>
    </w:p>
    <w:p>
      <w:pPr>
        <w:keepNext/>
        <w:spacing w:before="280" w:after="80"/>
      </w:pPr>
      <w:r>
        <w:rPr>
          <w:rFonts w:ascii="Calibri" w:hAnsi="Calibri"/>
          <w:b/>
          <w:color w:val="102C57"/>
          <w:sz w:val="28"/>
        </w:rPr>
        <w:t>11. Work Plan &amp; Milestones for Review – 2 &amp; Final Review</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257"/>
        <w:gridCol w:w="2257"/>
        <w:gridCol w:w="2257"/>
        <w:gridCol w:w="2257"/>
      </w:tblGrid>
      <w:tr>
        <w:tc>
          <w:tcPr>
            <w:tcW w:type="dxa" w:w="2257"/>
            <w:shd w:val="clear" w:color="auto" w:fill="102C57"/>
          </w:tcPr>
          <w:p>
            <w:pPr>
              <w:jc w:val="center"/>
            </w:pPr>
            <w:r>
              <w:rPr>
                <w:rFonts w:ascii="Calibri" w:hAnsi="Calibri"/>
                <w:b/>
                <w:color w:val="FFFFFF"/>
                <w:sz w:val="19"/>
              </w:rPr>
              <w:t>Milestone</w:t>
            </w:r>
          </w:p>
        </w:tc>
        <w:tc>
          <w:tcPr>
            <w:tcW w:type="dxa" w:w="2257"/>
            <w:shd w:val="clear" w:color="auto" w:fill="102C57"/>
          </w:tcPr>
          <w:p>
            <w:pPr>
              <w:jc w:val="center"/>
            </w:pPr>
            <w:r>
              <w:rPr>
                <w:rFonts w:ascii="Calibri" w:hAnsi="Calibri"/>
                <w:b/>
                <w:color w:val="FFFFFF"/>
                <w:sz w:val="19"/>
              </w:rPr>
              <w:t>Key Deliverables</w:t>
            </w:r>
          </w:p>
        </w:tc>
        <w:tc>
          <w:tcPr>
            <w:tcW w:type="dxa" w:w="2257"/>
            <w:shd w:val="clear" w:color="auto" w:fill="102C57"/>
          </w:tcPr>
          <w:p>
            <w:pPr>
              <w:jc w:val="center"/>
            </w:pPr>
            <w:r>
              <w:rPr>
                <w:rFonts w:ascii="Calibri" w:hAnsi="Calibri"/>
                <w:b/>
                <w:color w:val="FFFFFF"/>
                <w:sz w:val="19"/>
              </w:rPr>
              <w:t>Target Timeline</w:t>
            </w:r>
          </w:p>
        </w:tc>
        <w:tc>
          <w:tcPr>
            <w:tcW w:type="dxa" w:w="2257"/>
            <w:shd w:val="clear" w:color="auto" w:fill="102C57"/>
          </w:tcPr>
          <w:p>
            <w:pPr>
              <w:jc w:val="center"/>
            </w:pPr>
            <w:r>
              <w:rPr>
                <w:rFonts w:ascii="Calibri" w:hAnsi="Calibri"/>
                <w:b/>
                <w:color w:val="FFFFFF"/>
                <w:sz w:val="19"/>
              </w:rPr>
              <w:t>Status</w:t>
            </w:r>
          </w:p>
        </w:tc>
      </w:tr>
      <w:tr>
        <w:tc>
          <w:tcPr>
            <w:tcW w:type="dxa" w:w="2257"/>
            <w:shd w:val="clear" w:color="auto" w:fill="EBF3FA"/>
            <w:tcMar>
              <w:top w:w="70" w:type="dxa"/>
              <w:bottom w:w="70" w:type="dxa"/>
              <w:left w:w="90" w:type="dxa"/>
              <w:right w:w="90" w:type="dxa"/>
            </w:tcMar>
          </w:tcPr>
          <w:p>
            <w:r>
              <w:rPr>
                <w:rFonts w:ascii="Calibri" w:hAnsi="Calibri"/>
                <w:sz w:val="17"/>
              </w:rPr>
              <w:t>Review – 1</w:t>
            </w:r>
          </w:p>
        </w:tc>
        <w:tc>
          <w:tcPr>
            <w:tcW w:type="dxa" w:w="2257"/>
            <w:shd w:val="clear" w:color="auto" w:fill="EBF3FA"/>
            <w:tcMar>
              <w:top w:w="70" w:type="dxa"/>
              <w:bottom w:w="70" w:type="dxa"/>
              <w:left w:w="90" w:type="dxa"/>
              <w:right w:w="90" w:type="dxa"/>
            </w:tcMar>
          </w:tcPr>
          <w:p>
            <w:r>
              <w:rPr>
                <w:rFonts w:ascii="Calibri" w:hAnsi="Calibri"/>
                <w:sz w:val="17"/>
              </w:rPr>
              <w:t>Problem formulation, research gap identification, 15k dataset, 5 trained models, SHAP + LIME explainers, SOC web dashboard.</w:t>
            </w:r>
          </w:p>
        </w:tc>
        <w:tc>
          <w:tcPr>
            <w:tcW w:type="dxa" w:w="2257"/>
            <w:shd w:val="clear" w:color="auto" w:fill="EBF3FA"/>
            <w:tcMar>
              <w:top w:w="70" w:type="dxa"/>
              <w:bottom w:w="70" w:type="dxa"/>
              <w:left w:w="90" w:type="dxa"/>
              <w:right w:w="90" w:type="dxa"/>
            </w:tcMar>
          </w:tcPr>
          <w:p>
            <w:r>
              <w:rPr>
                <w:rFonts w:ascii="Calibri" w:hAnsi="Calibri"/>
                <w:sz w:val="17"/>
              </w:rPr>
              <w:t>Completed</w:t>
            </w:r>
          </w:p>
        </w:tc>
        <w:tc>
          <w:tcPr>
            <w:tcW w:type="dxa" w:w="2257"/>
            <w:shd w:val="clear" w:color="auto" w:fill="EBF3FA"/>
            <w:tcMar>
              <w:top w:w="70" w:type="dxa"/>
              <w:bottom w:w="70" w:type="dxa"/>
              <w:left w:w="90" w:type="dxa"/>
              <w:right w:w="90" w:type="dxa"/>
            </w:tcMar>
          </w:tcPr>
          <w:p>
            <w:r>
              <w:rPr>
                <w:rFonts w:ascii="Calibri" w:hAnsi="Calibri"/>
                <w:b/>
                <w:color w:val="10B981"/>
                <w:sz w:val="17"/>
              </w:rPr>
              <w:t>COMPLETED</w:t>
            </w:r>
          </w:p>
        </w:tc>
      </w:tr>
      <w:tr>
        <w:tc>
          <w:tcPr>
            <w:tcW w:type="dxa" w:w="2257"/>
            <w:shd w:val="clear" w:color="auto" w:fill="F8F9FA"/>
            <w:tcMar>
              <w:top w:w="70" w:type="dxa"/>
              <w:bottom w:w="70" w:type="dxa"/>
              <w:left w:w="90" w:type="dxa"/>
              <w:right w:w="90" w:type="dxa"/>
            </w:tcMar>
          </w:tcPr>
          <w:p>
            <w:r>
              <w:rPr>
                <w:rFonts w:ascii="Calibri" w:hAnsi="Calibri"/>
                <w:sz w:val="17"/>
              </w:rPr>
              <w:t>Review – 2</w:t>
            </w:r>
          </w:p>
        </w:tc>
        <w:tc>
          <w:tcPr>
            <w:tcW w:type="dxa" w:w="2257"/>
            <w:shd w:val="clear" w:color="auto" w:fill="F8F9FA"/>
            <w:tcMar>
              <w:top w:w="70" w:type="dxa"/>
              <w:bottom w:w="70" w:type="dxa"/>
              <w:left w:w="90" w:type="dxa"/>
              <w:right w:w="90" w:type="dxa"/>
            </w:tcMar>
          </w:tcPr>
          <w:p>
            <w:r>
              <w:rPr>
                <w:rFonts w:ascii="Calibri" w:hAnsi="Calibri"/>
                <w:sz w:val="17"/>
              </w:rPr>
              <w:t>Adversarial evasion testing (packet padding, timing jitter), statistical concept drift detection (KS-test / Page-Hinkley).</w:t>
            </w:r>
          </w:p>
        </w:tc>
        <w:tc>
          <w:tcPr>
            <w:tcW w:type="dxa" w:w="2257"/>
            <w:shd w:val="clear" w:color="auto" w:fill="F8F9FA"/>
            <w:tcMar>
              <w:top w:w="70" w:type="dxa"/>
              <w:bottom w:w="70" w:type="dxa"/>
              <w:left w:w="90" w:type="dxa"/>
              <w:right w:w="90" w:type="dxa"/>
            </w:tcMar>
          </w:tcPr>
          <w:p>
            <w:r>
              <w:rPr>
                <w:rFonts w:ascii="Calibri" w:hAnsi="Calibri"/>
                <w:sz w:val="17"/>
              </w:rPr>
              <w:t>Weeks 6 – 9</w:t>
            </w:r>
          </w:p>
        </w:tc>
        <w:tc>
          <w:tcPr>
            <w:tcW w:type="dxa" w:w="2257"/>
            <w:shd w:val="clear" w:color="auto" w:fill="F8F9FA"/>
            <w:tcMar>
              <w:top w:w="70" w:type="dxa"/>
              <w:bottom w:w="70" w:type="dxa"/>
              <w:left w:w="90" w:type="dxa"/>
              <w:right w:w="90" w:type="dxa"/>
            </w:tcMar>
          </w:tcPr>
          <w:p>
            <w:r>
              <w:rPr>
                <w:rFonts w:ascii="Calibri" w:hAnsi="Calibri"/>
                <w:sz w:val="17"/>
              </w:rPr>
              <w:t>IN PROGRESS</w:t>
            </w:r>
          </w:p>
        </w:tc>
      </w:tr>
      <w:tr>
        <w:tc>
          <w:tcPr>
            <w:tcW w:type="dxa" w:w="2257"/>
            <w:shd w:val="clear" w:color="auto" w:fill="FFFFFF"/>
            <w:tcMar>
              <w:top w:w="70" w:type="dxa"/>
              <w:bottom w:w="70" w:type="dxa"/>
              <w:left w:w="90" w:type="dxa"/>
              <w:right w:w="90" w:type="dxa"/>
            </w:tcMar>
          </w:tcPr>
          <w:p>
            <w:r>
              <w:rPr>
                <w:rFonts w:ascii="Calibri" w:hAnsi="Calibri"/>
                <w:sz w:val="17"/>
              </w:rPr>
              <w:t>Final Review</w:t>
            </w:r>
          </w:p>
        </w:tc>
        <w:tc>
          <w:tcPr>
            <w:tcW w:type="dxa" w:w="2257"/>
            <w:shd w:val="clear" w:color="auto" w:fill="FFFFFF"/>
            <w:tcMar>
              <w:top w:w="70" w:type="dxa"/>
              <w:bottom w:w="70" w:type="dxa"/>
              <w:left w:w="90" w:type="dxa"/>
              <w:right w:w="90" w:type="dxa"/>
            </w:tcMar>
          </w:tcPr>
          <w:p>
            <w:r>
              <w:rPr>
                <w:rFonts w:ascii="Calibri" w:hAnsi="Calibri"/>
                <w:sz w:val="17"/>
              </w:rPr>
              <w:t>LLM-augmented natural language incident reporting (Gemini API integration), enterprise deployment, final viva voce.</w:t>
            </w:r>
          </w:p>
        </w:tc>
        <w:tc>
          <w:tcPr>
            <w:tcW w:type="dxa" w:w="2257"/>
            <w:shd w:val="clear" w:color="auto" w:fill="FFFFFF"/>
            <w:tcMar>
              <w:top w:w="70" w:type="dxa"/>
              <w:bottom w:w="70" w:type="dxa"/>
              <w:left w:w="90" w:type="dxa"/>
              <w:right w:w="90" w:type="dxa"/>
            </w:tcMar>
          </w:tcPr>
          <w:p>
            <w:r>
              <w:rPr>
                <w:rFonts w:ascii="Calibri" w:hAnsi="Calibri"/>
                <w:sz w:val="17"/>
              </w:rPr>
              <w:t>Weeks 10 – 14</w:t>
            </w:r>
          </w:p>
        </w:tc>
        <w:tc>
          <w:tcPr>
            <w:tcW w:type="dxa" w:w="2257"/>
            <w:shd w:val="clear" w:color="auto" w:fill="FFFFFF"/>
            <w:tcMar>
              <w:top w:w="70" w:type="dxa"/>
              <w:bottom w:w="70" w:type="dxa"/>
              <w:left w:w="90" w:type="dxa"/>
              <w:right w:w="90" w:type="dxa"/>
            </w:tcMar>
          </w:tcPr>
          <w:p>
            <w:r>
              <w:rPr>
                <w:rFonts w:ascii="Calibri" w:hAnsi="Calibri"/>
                <w:sz w:val="17"/>
              </w:rPr>
              <w:t>PLANNED</w:t>
            </w:r>
          </w:p>
        </w:tc>
      </w:tr>
    </w:tbl>
    <w:p>
      <w:pPr>
        <w:spacing w:after="160"/>
      </w:pPr>
    </w:p>
    <w:p>
      <w:pPr>
        <w:keepNext/>
        <w:spacing w:before="280" w:after="80"/>
      </w:pPr>
      <w:r>
        <w:rPr>
          <w:rFonts w:ascii="Calibri" w:hAnsi="Calibri"/>
          <w:b/>
          <w:color w:val="102C57"/>
          <w:sz w:val="28"/>
        </w:rPr>
        <w:t>12. References</w:t>
      </w:r>
    </w:p>
    <w:p>
      <w:pPr>
        <w:spacing w:after="80" w:line="276" w:lineRule="auto"/>
      </w:pPr>
      <w:r>
        <w:rPr>
          <w:rFonts w:ascii="Calibri" w:hAnsi="Calibri"/>
          <w:sz w:val="20"/>
        </w:rPr>
        <w:t>[1] S. M. Lundberg and S.-I. Lee, 'A unified approach to interpreting model predictions,' in Advances in Neural Information Processing Systems (NeurIPS), vol. 30, pp. 4765-4774, 2017.</w:t>
      </w:r>
    </w:p>
    <w:p>
      <w:pPr>
        <w:spacing w:after="80" w:line="276" w:lineRule="auto"/>
      </w:pPr>
      <w:r>
        <w:rPr>
          <w:rFonts w:ascii="Calibri" w:hAnsi="Calibri"/>
          <w:sz w:val="20"/>
        </w:rPr>
        <w:t>[2] M. T. Ribeiro, S. Singh, and C. Guestrin, '"Why should I trust you?": Explaining the predictions of any classifier,' in Proc. 22nd ACM SIGKDD Int. Conf. on Knowledge Discovery and Data Mining (KDD), pp. 1135-1144, 2016.</w:t>
      </w:r>
    </w:p>
    <w:p>
      <w:pPr>
        <w:spacing w:after="80" w:line="276" w:lineRule="auto"/>
      </w:pPr>
      <w:r>
        <w:rPr>
          <w:rFonts w:ascii="Calibri" w:hAnsi="Calibri"/>
          <w:sz w:val="20"/>
        </w:rPr>
        <w:t>[3] I. Sharafaldin, A. H. Lashkari, and A. A. Ghorbani, 'Toward generating a new intrusion detection dataset and intrusion traffic characterization,' in Proc. 4th Int. Conf. on Information Systems Security and Privacy (ICISSP), pp. 108-116, 2018.</w:t>
      </w:r>
    </w:p>
    <w:p>
      <w:pPr>
        <w:spacing w:after="80" w:line="276" w:lineRule="auto"/>
      </w:pPr>
      <w:r>
        <w:rPr>
          <w:rFonts w:ascii="Calibri" w:hAnsi="Calibri"/>
          <w:sz w:val="20"/>
        </w:rPr>
        <w:t>[4] M. Sarhan, S. Layeghy, and M. Portmann, 'Evaluating standard feature sets for machine learning based network intrusion detection,' IEEE Transactions on Network and Service Management, vol. 18, no. 4, pp. 4415-4428, 2021.</w:t>
      </w:r>
    </w:p>
    <w:p>
      <w:pPr>
        <w:spacing w:after="80" w:line="276" w:lineRule="auto"/>
      </w:pPr>
      <w:r>
        <w:rPr>
          <w:rFonts w:ascii="Calibri" w:hAnsi="Calibri"/>
          <w:sz w:val="20"/>
        </w:rPr>
        <w:t>[5] M. Wang, K. Zheng, Y. Yang, and X. Wang, 'An explainable machine learning framework for network intrusion detection systems,' IEEE Access, vol. 8, pp. 73127-73141, 2020.</w:t>
      </w:r>
    </w:p>
    <w:p>
      <w:pPr>
        <w:spacing w:after="80" w:line="276" w:lineRule="auto"/>
      </w:pPr>
      <w:r>
        <w:rPr>
          <w:rFonts w:ascii="Calibri" w:hAnsi="Calibri"/>
          <w:sz w:val="20"/>
        </w:rPr>
        <w:t>[6] NIST Special Publication 800-61 Rev. 2, 'Computer Security Incident Handling Guide,' National Institute of Standards and Technology, Gaithersburg, MD, 2012.</w:t>
      </w:r>
    </w:p>
    <w:sectPr>
      <w:pgSz w:w="11910" w:h="16845"/>
    </w:sectPr>
  </w:body>
</w:document>
</file>

<file path=word/fontTable.xml><?xml version="1.0" encoding="utf-8"?>
<w:fonts xmlns:w="http://schemas.openxmlformats.org/wordprocessingml/2006/main" xmlns:r="http://schemas.openxmlformats.org/officeDocument/2006/relationships">
  <w:font w:name="Arimo Italics">
    <w:panose1 w:val="020B0604020202090204"/>
    <w:charset w:characterSet="1"/>
    <w:embedItalic r:id="rId1"/>
  </w:font>
  <w:font w:name="Arimo Bold">
    <w:panose1 w:val="020B0704020202020204"/>
    <w:charset w:characterSet="1"/>
    <w:embedBold r:id="rId2"/>
  </w:font>
  <w:font w:name="Arimo Bold Italics">
    <w:panose1 w:val="020B0704020202090204"/>
    <w:charset w:characterSet="1"/>
    <w:embedBoldItalic r:id="rId3"/>
  </w:font>
  <w:font w:name="Arimo">
    <w:panose1 w:val="020B0604020202020204"/>
    <w:charset w:characterSet="1"/>
    <w:embedRegular r:id="rId4"/>
  </w:font>
  <w:font w:name="Times New Roman Italics">
    <w:panose1 w:val="02020503050405090304"/>
    <w:charset w:characterSet="1"/>
  </w:font>
  <w:font w:name="Times New Roman Bold Italics">
    <w:panose1 w:val="02020703060505090304"/>
    <w:charset w:characterSet="1"/>
  </w:font>
  <w:font w:name="Times New Roman Bold">
    <w:panose1 w:val="02020803070505020304"/>
    <w:charset w:characterSet="1"/>
  </w:font>
  <w:font w:name="Times New Roman">
    <w:panose1 w:val="02020603050405020304"/>
    <w:charset w:characterSet="1"/>
  </w:font>
  <w:font w:name="Calibri (MS) Bold">
    <w:panose1 w:val="020F0702030404030204"/>
    <w:charset w:characterSet="1"/>
  </w:font>
  <w:font w:name="Calibri (MS)">
    <w:panose1 w:val="020F0502020204030204"/>
    <w:charset w:characterSet="1"/>
  </w:font>
</w:fonts>
</file>

<file path=word/settings.xml><?xml version="1.0" encoding="utf-8"?>
<w:settings xmlns:w="http://schemas.openxmlformats.org/wordprocessingml/2006/main">
  <w:embedTrueTypeFonts/>
  <w:doNotShadeFormData/>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2026-07-21T17:49:11Z</dcterms:created>
  <dc:creator>Apache POI</dc:creator>
  <dc:title>24BDS0427</dc:title>
</cp:coreProperties>
</file>