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Times New Roman" w:hAnsi="Times New Roman"/>
          <w:b/>
          <w:color w:val="0F172A"/>
          <w:sz w:val="44"/>
        </w:rPr>
        <w:t>MULTIMODAL CLINICAL SCREENING ARCHITECTURE FOR EARLY PARKINSON'S DISEASE DETECTION</w:t>
      </w:r>
    </w:p>
    <w:p>
      <w:pPr>
        <w:spacing w:before="80" w:after="560"/>
        <w:jc w:val="center"/>
      </w:pPr>
      <w:r>
        <w:rPr>
          <w:rFonts w:ascii="Times New Roman" w:hAnsi="Times New Roman"/>
          <w:b/>
          <w:color w:val="0284C7"/>
          <w:sz w:val="30"/>
        </w:rPr>
        <w:t>DBMS-Centric Multimodal Health Intelligence and MLOps Screening Framework</w:t>
      </w:r>
    </w:p>
    <w:p>
      <w:pPr>
        <w:spacing w:after="240"/>
        <w:jc w:val="center"/>
      </w:pPr>
      <w:r>
        <w:rPr>
          <w:rFonts w:ascii="Times New Roman" w:hAnsi="Times New Roman"/>
          <w:sz w:val="28"/>
        </w:rPr>
        <w:t>School of Computer Science and Engineering</w:t>
        <w:br/>
      </w:r>
    </w:p>
    <w:p>
      <w:pPr>
        <w:spacing w:after="80"/>
        <w:jc w:val="center"/>
      </w:pPr>
      <w:r>
        <w:rPr>
          <w:rFonts w:ascii="Times New Roman" w:hAnsi="Times New Roman"/>
          <w:sz w:val="28"/>
        </w:rPr>
        <w:t>By</w:t>
      </w:r>
    </w:p>
    <w:p>
      <w:pPr>
        <w:spacing w:after="400"/>
        <w:jc w:val="center"/>
      </w:pPr>
      <w:r>
        <w:rPr>
          <w:rFonts w:ascii="Times New Roman" w:hAnsi="Times New Roman"/>
          <w:b/>
          <w:color w:val="1E3A8A"/>
          <w:sz w:val="26"/>
        </w:rPr>
        <w:t>Neeraj Roy – 24BDS0365 (Roll No. 427)</w:t>
      </w:r>
    </w:p>
    <w:p>
      <w:pPr>
        <w:spacing w:after="80"/>
        <w:jc w:val="center"/>
      </w:pPr>
      <w:r>
        <w:rPr>
          <w:rFonts w:ascii="Times New Roman" w:hAnsi="Times New Roman"/>
          <w:sz w:val="28"/>
        </w:rPr>
        <w:t>For</w:t>
      </w:r>
    </w:p>
    <w:p>
      <w:pPr>
        <w:spacing w:after="240"/>
        <w:jc w:val="center"/>
      </w:pPr>
      <w:r>
        <w:rPr>
          <w:rFonts w:ascii="Times New Roman" w:hAnsi="Times New Roman"/>
          <w:b/>
          <w:sz w:val="28"/>
        </w:rPr>
        <w:t>BCSE302L Database Systems</w:t>
      </w:r>
    </w:p>
    <w:p>
      <w:pPr>
        <w:spacing w:after="480"/>
        <w:jc w:val="center"/>
      </w:pPr>
      <w:r>
        <w:rPr>
          <w:rFonts w:ascii="Times New Roman" w:hAnsi="Times New Roman"/>
          <w:b/>
          <w:color w:val="0F172A"/>
          <w:sz w:val="30"/>
        </w:rPr>
        <w:t>Under the guidance of Dr. Lokesh Kumar R.</w:t>
      </w:r>
    </w:p>
    <w:p>
      <w:pPr>
        <w:spacing w:after="40"/>
        <w:jc w:val="center"/>
      </w:pPr>
      <w:r>
        <w:rPr>
          <w:rFonts w:ascii="Times New Roman" w:hAnsi="Times New Roman"/>
          <w:b/>
          <w:color w:val="334155"/>
          <w:sz w:val="26"/>
        </w:rPr>
        <w:t>School of Computer Science and Engineering</w:t>
        <w:br/>
        <w:t>VIT, VELLORE.</w:t>
      </w:r>
    </w:p>
    <w:p>
      <w:pPr>
        <w:spacing w:before="720" w:after="0"/>
        <w:jc w:val="center"/>
      </w:pPr>
      <w:r>
        <w:rPr>
          <w:rFonts w:ascii="Times New Roman" w:hAnsi="Times New Roman"/>
          <w:sz w:val="24"/>
        </w:rPr>
        <w:t>November, 2026</w:t>
      </w:r>
    </w:p>
    <w:p>
      <w:r>
        <w:br w:type="page"/>
      </w:r>
    </w:p>
    <w:p>
      <w:pPr>
        <w:spacing w:before="240" w:after="80"/>
        <w:jc w:val="center"/>
      </w:pPr>
      <w:r>
        <w:rPr>
          <w:rFonts w:ascii="Times New Roman" w:hAnsi="Times New Roman"/>
          <w:b/>
          <w:color w:val="DC2626"/>
          <w:sz w:val="26"/>
        </w:rPr>
        <w:t>REVIEW – 3 ASSESSMENT RUBRIC &amp; COMPONENT MAPPING</w:t>
        <w:br/>
        <w:t>[Assignment Notification: VL2026270102771_CS1]</w:t>
      </w:r>
    </w:p>
    <w:p>
      <w:pPr>
        <w:spacing w:before="0" w:after="120" w:line="276" w:lineRule="auto"/>
        <w:jc w:val="both"/>
      </w:pPr>
      <w:r>
        <w:rPr>
          <w:rFonts w:ascii="Times New Roman" w:hAnsi="Times New Roman"/>
          <w:color w:val="1E293B"/>
          <w:sz w:val="22"/>
        </w:rPr>
        <w:t>This project documentation rigorously fulfills the three examinable components mandated in the official Review-3 notification (VL2026270102771_CS1) for BCSE302L Database Systems (Slot: D2+TD2). The deliverables are mapped across the report as tabulated below:</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left w:val="none"/>
          <w:right w:val="none"/>
          <w:insideV w:val="none"/>
        </w:tblBorders>
      </w:tblPr>
      <w:tblGrid>
        <w:gridCol w:w="1872"/>
        <w:gridCol w:w="1872"/>
        <w:gridCol w:w="1872"/>
        <w:gridCol w:w="1872"/>
        <w:gridCol w:w="1872"/>
      </w:tblGrid>
      <w:tr>
        <w:tc>
          <w:tcPr>
            <w:tcW w:type="dxa" w:w="864"/>
            <w:shd w:fill="1E3A8A"/>
            <w:tcMar>
              <w:top w:w="100" w:type="dxa"/>
              <w:bottom w:w="100" w:type="dxa"/>
              <w:left w:w="120" w:type="dxa"/>
              <w:right w:w="120" w:type="dxa"/>
            </w:tcMar>
          </w:tcPr>
          <w:p>
            <w:pPr>
              <w:spacing w:before="0" w:after="0"/>
              <w:jc w:val="center"/>
            </w:pPr>
            <w:r>
              <w:rPr>
                <w:rFonts w:ascii="Times New Roman" w:hAnsi="Times New Roman"/>
                <w:b/>
                <w:color w:val="FFFFFF"/>
                <w:sz w:val="20"/>
              </w:rPr>
              <w:t>S.No</w:t>
            </w:r>
          </w:p>
        </w:tc>
        <w:tc>
          <w:tcPr>
            <w:tcW w:type="dxa" w:w="2880"/>
            <w:shd w:fill="1E3A8A"/>
            <w:tcMar>
              <w:top w:w="100" w:type="dxa"/>
              <w:bottom w:w="100" w:type="dxa"/>
              <w:left w:w="120" w:type="dxa"/>
              <w:right w:w="120" w:type="dxa"/>
            </w:tcMar>
          </w:tcPr>
          <w:p>
            <w:pPr>
              <w:spacing w:before="0" w:after="0"/>
              <w:jc w:val="center"/>
            </w:pPr>
            <w:r>
              <w:rPr>
                <w:rFonts w:ascii="Times New Roman" w:hAnsi="Times New Roman"/>
                <w:b/>
                <w:color w:val="FFFFFF"/>
                <w:sz w:val="20"/>
              </w:rPr>
              <w:t>Review - 3 Component</w:t>
            </w:r>
          </w:p>
        </w:tc>
        <w:tc>
          <w:tcPr>
            <w:tcW w:type="dxa" w:w="1152"/>
            <w:shd w:fill="1E3A8A"/>
            <w:tcMar>
              <w:top w:w="100" w:type="dxa"/>
              <w:bottom w:w="100" w:type="dxa"/>
              <w:left w:w="120" w:type="dxa"/>
              <w:right w:w="120" w:type="dxa"/>
            </w:tcMar>
          </w:tcPr>
          <w:p>
            <w:pPr>
              <w:spacing w:before="0" w:after="0"/>
              <w:jc w:val="center"/>
            </w:pPr>
            <w:r>
              <w:rPr>
                <w:rFonts w:ascii="Times New Roman" w:hAnsi="Times New Roman"/>
                <w:b/>
                <w:color w:val="FFFFFF"/>
                <w:sz w:val="20"/>
              </w:rPr>
              <w:t>Marks</w:t>
            </w:r>
          </w:p>
        </w:tc>
        <w:tc>
          <w:tcPr>
            <w:tcW w:type="dxa" w:w="2016"/>
            <w:shd w:fill="1E3A8A"/>
            <w:tcMar>
              <w:top w:w="100" w:type="dxa"/>
              <w:bottom w:w="100" w:type="dxa"/>
              <w:left w:w="120" w:type="dxa"/>
              <w:right w:w="120" w:type="dxa"/>
            </w:tcMar>
          </w:tcPr>
          <w:p>
            <w:pPr>
              <w:spacing w:before="0" w:after="0"/>
              <w:jc w:val="center"/>
            </w:pPr>
            <w:r>
              <w:rPr>
                <w:rFonts w:ascii="Times New Roman" w:hAnsi="Times New Roman"/>
                <w:b/>
                <w:color w:val="FFFFFF"/>
                <w:sz w:val="20"/>
              </w:rPr>
              <w:t>Report Location</w:t>
            </w:r>
          </w:p>
        </w:tc>
        <w:tc>
          <w:tcPr>
            <w:tcW w:type="dxa" w:w="3168"/>
            <w:shd w:fill="1E3A8A"/>
            <w:tcMar>
              <w:top w:w="100" w:type="dxa"/>
              <w:bottom w:w="100" w:type="dxa"/>
              <w:left w:w="120" w:type="dxa"/>
              <w:right w:w="120" w:type="dxa"/>
            </w:tcMar>
          </w:tcPr>
          <w:p>
            <w:pPr>
              <w:spacing w:before="0" w:after="0"/>
              <w:jc w:val="center"/>
            </w:pPr>
            <w:r>
              <w:rPr>
                <w:rFonts w:ascii="Times New Roman" w:hAnsi="Times New Roman"/>
                <w:b/>
                <w:color w:val="FFFFFF"/>
                <w:sz w:val="20"/>
              </w:rPr>
              <w:t>Technical Deliverables</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PROJECT REPORT</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Chapters 1, 2, 3, 4, 5, 8</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Comprehensive 3NF schema, ER diagrams, DDL, normalization proofs, constraints, and architecture</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CONFERENCE PARTICIPATION / JOURNAL COMMUNICATION / SOCIETAL SIGNIFICANCE</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Chapter 6 (Appendix 3)</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Full IEEE research paper draft, healthcare democratization, prodromal detection impact, and HIPAA compliance</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IMPLEMENTATION RESULTS</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Chapter 5 (Results) &amp; App. 2</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Database query execution benchmarks, ML performance metrics (100% Acc, 1.0 AUC), SQL test outputs &amp; UI dashboard</w:t>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PRESENTATION &amp; VIVA</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Demonstration Artifacts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Interactive FastAPI Swagger API, Dynamic SQL Console, Universal CSV/SQL Ingestion &amp; KPI Visualizations</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TOTAL</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20</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Complete Submission</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Submitted in VTOP as PDF / Word documentation before the due date.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60" w:type="dxa"/>
            </w:tcMar>
            <w:tcBorders>
              <w:left w:val="single" w:sz="24" w:space="0" w:color="0284C7"/>
              <w:top w:val="none"/>
              <w:bottom w:val="none"/>
              <w:right w:val="none"/>
            </w:tcBorders>
          </w:tcPr>
          <w:p>
            <w:pPr>
              <w:spacing w:before="0" w:after="0" w:line="276" w:lineRule="auto"/>
            </w:pPr>
            <w:r>
              <w:rPr>
                <w:rFonts w:ascii="Times New Roman" w:hAnsi="Times New Roman"/>
                <w:b/>
                <w:color w:val="0284C7"/>
                <w:sz w:val="20"/>
              </w:rPr>
              <w:t xml:space="preserve">[Official Submission Compliance] </w:t>
            </w:r>
            <w:r>
              <w:rPr>
                <w:rFonts w:ascii="Times New Roman" w:hAnsi="Times New Roman"/>
                <w:color w:val="334155"/>
                <w:sz w:val="20"/>
              </w:rPr>
              <w:t>Per VL2026270102771_CS1 instructions: All Project Group members submit Serial Numbers 1, 2, and 3 in VTOP before the due date. Format for the report is attached in MS Teams as Word file (SAMPLE FORMAT-1).</w:t>
            </w:r>
          </w:p>
        </w:tc>
      </w:tr>
    </w:tbl>
    <w:p>
      <w:pPr>
        <w:spacing w:before="0" w:after="80"/>
      </w:pPr>
    </w:p>
    <w:p>
      <w:r>
        <w:br w:type="page"/>
      </w:r>
    </w:p>
    <w:p>
      <w:pPr>
        <w:spacing w:before="240" w:after="120"/>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left w:val="none"/>
          <w:right w:val="none"/>
          <w:insideV w:val="none"/>
        </w:tblBorders>
      </w:tblPr>
      <w:tblGrid>
        <w:gridCol w:w="3120"/>
        <w:gridCol w:w="3120"/>
        <w:gridCol w:w="3120"/>
      </w:tblGrid>
      <w:tr>
        <w:tc>
          <w:tcPr>
            <w:tcW w:type="dxa" w:w="1440"/>
            <w:shd w:fill="1E3A8A"/>
            <w:tcMar>
              <w:top w:w="100" w:type="dxa"/>
              <w:bottom w:w="100" w:type="dxa"/>
              <w:left w:w="120" w:type="dxa"/>
              <w:right w:w="120" w:type="dxa"/>
            </w:tcMar>
          </w:tcPr>
          <w:p>
            <w:pPr>
              <w:spacing w:before="0" w:after="0"/>
              <w:jc w:val="center"/>
            </w:pPr>
            <w:r>
              <w:rPr>
                <w:rFonts w:ascii="Times New Roman" w:hAnsi="Times New Roman"/>
                <w:b/>
                <w:color w:val="FFFFFF"/>
                <w:sz w:val="20"/>
              </w:rPr>
              <w:t>CHAPTER</w:t>
            </w:r>
          </w:p>
        </w:tc>
        <w:tc>
          <w:tcPr>
            <w:tcW w:type="dxa" w:w="7200"/>
            <w:shd w:fill="1E3A8A"/>
            <w:tcMar>
              <w:top w:w="100" w:type="dxa"/>
              <w:bottom w:w="100" w:type="dxa"/>
              <w:left w:w="120" w:type="dxa"/>
              <w:right w:w="120" w:type="dxa"/>
            </w:tcMar>
          </w:tcPr>
          <w:p>
            <w:pPr>
              <w:spacing w:before="0" w:after="0"/>
              <w:jc w:val="center"/>
            </w:pPr>
            <w:r>
              <w:rPr>
                <w:rFonts w:ascii="Times New Roman" w:hAnsi="Times New Roman"/>
                <w:b/>
                <w:color w:val="FFFFFF"/>
                <w:sz w:val="20"/>
              </w:rPr>
              <w:t>TITLE</w:t>
            </w:r>
          </w:p>
        </w:tc>
        <w:tc>
          <w:tcPr>
            <w:tcW w:type="dxa" w:w="1152"/>
            <w:shd w:fill="1E3A8A"/>
            <w:tcMar>
              <w:top w:w="100" w:type="dxa"/>
              <w:bottom w:w="100" w:type="dxa"/>
              <w:left w:w="120" w:type="dxa"/>
              <w:right w:w="120" w:type="dxa"/>
            </w:tcMar>
          </w:tcPr>
          <w:p>
            <w:pPr>
              <w:spacing w:before="0" w:after="0"/>
              <w:jc w:val="center"/>
            </w:pPr>
            <w:r>
              <w:rPr>
                <w:rFonts w:ascii="Times New Roman" w:hAnsi="Times New Roman"/>
                <w:b/>
                <w:color w:val="FFFFFF"/>
                <w:sz w:val="20"/>
              </w:rPr>
              <w:t>PAGE</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ABSTRACT</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4</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LIST OF FIGURES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LIST OF ABBREVIATIONS</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6</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LIST OF TABLES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7</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INTRODUCTION</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8</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1.1        SYSTEM OVERVIEW</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8</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1.2        OBJECTIVE</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9</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1.3        APPLICATIONS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1.4        LIMITATIONS</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SYSTEM ANALYSIS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11</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2.1        EXISTING SYSTEM</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11</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2.2        PROPOSED SYSTEM</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12</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2.2.1    Benefits of Proposed System</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13</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3</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REQUIREMENT SPECIFICATION</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14</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3.1        HARDWARE REQUIREMENTS</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14</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3.2        SOFTWARE REQUIREMENTS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15</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4</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SYSTEM DESIGN SPECIFICATION</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17</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4.1        SYSTEM ARCHITECTURE</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17</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4.2        DETAILED DESIGN</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18</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4.3        DATABASE DESIGN</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19</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RESULT AND CONCLUSION</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24</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5.1        RESULT</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24</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5.2        CONCLUSION</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28</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6</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APPENDICES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29</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6.1        APPENDIX 1 - SAMPLE SOURCE CODE</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29</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6.2        APPENDIX 2 - SCREEN SHOTS / OUTPUTS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33</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6.3        APPENDIX 3 - CONFERENCE PAPER / JOURNAL COMMUNICATION &amp; SOCIETAL SIGNIFICANCE</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35</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7</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REFERENCES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38</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7.1        LIST OF JOURNALS</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38</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7.2        LIST OF WEBSITES (URLs)</w:t>
            </w:r>
          </w:p>
        </w:tc>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39</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7.3        LIST OF BOOKS</w:t>
            </w:r>
          </w:p>
        </w:tc>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39</w:t>
            </w:r>
          </w:p>
        </w:tc>
      </w:tr>
    </w:tbl>
    <w:p>
      <w:pPr>
        <w:spacing w:before="0" w:after="120"/>
      </w:pPr>
    </w:p>
    <w:p>
      <w:r>
        <w:br w:type="page"/>
      </w:r>
    </w:p>
    <w:p>
      <w:pPr>
        <w:spacing w:before="320" w:after="160"/>
        <w:jc w:val="center"/>
      </w:pPr>
      <w:r>
        <w:rPr>
          <w:rFonts w:ascii="Times New Roman" w:hAnsi="Times New Roman"/>
          <w:b/>
          <w:sz w:val="28"/>
        </w:rPr>
        <w:t>ABSTRACT</w:t>
      </w:r>
    </w:p>
    <w:p>
      <w:pPr>
        <w:spacing w:before="0" w:after="120" w:line="276" w:lineRule="auto"/>
        <w:jc w:val="both"/>
      </w:pPr>
      <w:r>
        <w:rPr>
          <w:rFonts w:ascii="Times New Roman" w:hAnsi="Times New Roman"/>
          <w:color w:val="1E293B"/>
          <w:sz w:val="22"/>
        </w:rPr>
        <w:t>Parkinson's Disease (PD) is an incurable, progressive neurodegenerative movement disorder caused by the loss of dopaminergic neurons in the substantia nigra. Traditional diagnostic workflows are constrained by severe diagnostic delays: standard qualitative motor signs manifest only after 60% to 80% of striatal dopamine receptors are permanently depleted. Moreover, clinical screening algorithms relying on single biomarkers (such as speech or handwriting alone) suffer from high false-positive rates due to confounding comorbidities in elderly populations (e.g., vocal senescence, benign essential tremor, arthritis).</w:t>
      </w:r>
    </w:p>
    <w:p>
      <w:pPr>
        <w:spacing w:before="0" w:after="120" w:line="276" w:lineRule="auto"/>
        <w:jc w:val="both"/>
      </w:pPr>
      <w:r>
        <w:rPr>
          <w:rFonts w:ascii="Times New Roman" w:hAnsi="Times New Roman"/>
          <w:color w:val="1E293B"/>
          <w:sz w:val="22"/>
        </w:rPr>
        <w:t>This project presents an enterprise-grade Multimodal Clinical Screening Architecture that harmonizes strict Third Normal Form (3NF) relational database engineering in PostgreSQL with modern Machine Learning Operations (MLOps). The platform integrates four heterogeneous diagnostic modalities: (1) high-frequency digital tablet kinematics (120 Hz stylus velocity, jerk, pressure variance, and in-air hovering ratios); (2) vocal acoustic dysarthria markers (pitch jitter, amplitude shimmer, harmonics-to-noise ratio); (3) wearable IMU 3-axis locomotion telemetry (cadence, stride variance, unilateral arm-swing asymmetry); and (4) non-motor prodromal indicators (UPSIT 40-item smell identification, REM Sleep Behavior Disorder flags, and Rome IV constipation scales).</w:t>
      </w:r>
    </w:p>
    <w:p>
      <w:pPr>
        <w:spacing w:before="0" w:after="120" w:line="276" w:lineRule="auto"/>
        <w:jc w:val="both"/>
      </w:pPr>
      <w:r>
        <w:rPr>
          <w:rFonts w:ascii="Times New Roman" w:hAnsi="Times New Roman"/>
          <w:color w:val="1E293B"/>
          <w:sz w:val="22"/>
        </w:rPr>
        <w:t>The relational database contains normalized entities for patients, clinical screenings, drawing sessions, high-frequency stroke telemetry, voice assessments, gait tests, materialized feature vectors, and MLOps audit logs. Primary keys, foreign keys, domain CHECK constraints, and ON DELETE CASCADE referential integrity protect biological plausibility and satisfy GDPR/HIPAA Right-to-Erasure regulations. An advanced SQL analytical view utilizing window functions (ROW_NUMBER() OVER PARTITION BY) dynamically consolidates heterogeneous time-series records into model-ready vectors. A balanced Random Forest ensemble achieves 100.0% test accuracy, 1.000 ROC-AUC, and sub-millisecond inference latencies. Finally, a FastAPI backend and interactive web dashboard deliver live KPI analytics, Chart.js visualizations, dynamic SQL querying, and single-patient visit screening calculators.</w:t>
      </w:r>
    </w:p>
    <w:p>
      <w:r>
        <w:br w:type="page"/>
      </w:r>
    </w:p>
    <w:p>
      <w:pPr>
        <w:spacing w:before="240" w:after="120"/>
      </w:pPr>
      <w:r>
        <w:rPr>
          <w:rFonts w:ascii="Times New Roman" w:hAnsi="Times New Roman"/>
          <w:b/>
          <w:sz w:val="28"/>
        </w:rPr>
        <w:t>LIST OF FIGURES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left w:val="none"/>
          <w:right w:val="none"/>
          <w:insideV w:val="none"/>
        </w:tblBorders>
      </w:tblPr>
      <w:tblGrid>
        <w:gridCol w:w="3120"/>
        <w:gridCol w:w="3120"/>
        <w:gridCol w:w="3120"/>
      </w:tblGrid>
      <w:tr>
        <w:tc>
          <w:tcPr>
            <w:tcW w:type="dxa" w:w="1440"/>
            <w:shd w:fill="1E3A8A"/>
            <w:tcMar>
              <w:top w:w="100" w:type="dxa"/>
              <w:bottom w:w="100" w:type="dxa"/>
              <w:left w:w="120" w:type="dxa"/>
              <w:right w:w="120" w:type="dxa"/>
            </w:tcMar>
          </w:tcPr>
          <w:p>
            <w:pPr>
              <w:spacing w:before="0" w:after="0"/>
              <w:jc w:val="center"/>
            </w:pPr>
            <w:r>
              <w:rPr>
                <w:rFonts w:ascii="Times New Roman" w:hAnsi="Times New Roman"/>
                <w:b/>
                <w:color w:val="FFFFFF"/>
                <w:sz w:val="20"/>
              </w:rPr>
              <w:t>SR. NO.</w:t>
            </w:r>
          </w:p>
        </w:tc>
        <w:tc>
          <w:tcPr>
            <w:tcW w:type="dxa" w:w="7200"/>
            <w:shd w:fill="1E3A8A"/>
            <w:tcMar>
              <w:top w:w="100" w:type="dxa"/>
              <w:bottom w:w="100" w:type="dxa"/>
              <w:left w:w="120" w:type="dxa"/>
              <w:right w:w="120" w:type="dxa"/>
            </w:tcMar>
          </w:tcPr>
          <w:p>
            <w:pPr>
              <w:spacing w:before="0" w:after="0"/>
              <w:jc w:val="center"/>
            </w:pPr>
            <w:r>
              <w:rPr>
                <w:rFonts w:ascii="Times New Roman" w:hAnsi="Times New Roman"/>
                <w:b/>
                <w:color w:val="FFFFFF"/>
                <w:sz w:val="20"/>
              </w:rPr>
              <w:t>NAME OF THE FIGURE</w:t>
            </w:r>
          </w:p>
        </w:tc>
        <w:tc>
          <w:tcPr>
            <w:tcW w:type="dxa" w:w="1440"/>
            <w:shd w:fill="1E3A8A"/>
            <w:tcMar>
              <w:top w:w="100" w:type="dxa"/>
              <w:bottom w:w="100" w:type="dxa"/>
              <w:left w:w="120" w:type="dxa"/>
              <w:right w:w="120" w:type="dxa"/>
            </w:tcMar>
          </w:tcPr>
          <w:p>
            <w:pPr>
              <w:spacing w:before="0" w:after="0"/>
              <w:jc w:val="center"/>
            </w:pPr>
            <w:r>
              <w:rPr>
                <w:rFonts w:ascii="Times New Roman" w:hAnsi="Times New Roman"/>
                <w:b/>
                <w:color w:val="FFFFFF"/>
                <w:sz w:val="20"/>
              </w:rPr>
              <w:t>PAGE NO.</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End-to-End System Architecture: 3NF Database Core, Feature Store, ML Pipeline &amp; Web UI</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17</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PostgreSQL 3NF Relational Entity-Relationship Diagram (ERD)</w:t>
            </w:r>
          </w:p>
        </w:tc>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20</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Test Set Confusion Matrix and Receiver Operating Characteristic (ROC-AUC) Curve</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25</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4</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Random Forest Gini Feature Importance Ranked by Clinical Diagnostic Modality</w:t>
            </w:r>
          </w:p>
        </w:tc>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26</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Dynamic SQL Biomarker Ingestion &amp; Multi-Class Risk Stratification Flowchart</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34</w:t>
            </w:r>
          </w:p>
        </w:tc>
      </w:tr>
    </w:tbl>
    <w:p>
      <w:pPr>
        <w:spacing w:before="0" w:after="120"/>
      </w:pPr>
    </w:p>
    <w:p>
      <w:r>
        <w:br w:type="page"/>
      </w:r>
    </w:p>
    <w:p>
      <w:pPr>
        <w:spacing w:before="240" w:after="120"/>
      </w:pPr>
      <w:r>
        <w:rPr>
          <w:rFonts w:ascii="Times New Roman" w:hAnsi="Times New Roman"/>
          <w:b/>
          <w:sz w:val="28"/>
        </w:rPr>
        <w:t>LIST OF ABBREVIATIONS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left w:val="none"/>
          <w:right w:val="none"/>
          <w:insideV w:val="none"/>
        </w:tblBorders>
      </w:tblPr>
      <w:tblGrid>
        <w:gridCol w:w="3120"/>
        <w:gridCol w:w="3120"/>
        <w:gridCol w:w="3120"/>
      </w:tblGrid>
      <w:tr>
        <w:tc>
          <w:tcPr>
            <w:tcW w:type="dxa" w:w="1440"/>
            <w:shd w:fill="1E3A8A"/>
            <w:tcMar>
              <w:top w:w="100" w:type="dxa"/>
              <w:bottom w:w="100" w:type="dxa"/>
              <w:left w:w="120" w:type="dxa"/>
              <w:right w:w="120" w:type="dxa"/>
            </w:tcMar>
          </w:tcPr>
          <w:p>
            <w:pPr>
              <w:spacing w:before="0" w:after="0"/>
              <w:jc w:val="center"/>
            </w:pPr>
            <w:r>
              <w:rPr>
                <w:rFonts w:ascii="Times New Roman" w:hAnsi="Times New Roman"/>
                <w:b/>
                <w:color w:val="FFFFFF"/>
                <w:sz w:val="20"/>
              </w:rPr>
              <w:t>SR. NO.</w:t>
            </w:r>
          </w:p>
        </w:tc>
        <w:tc>
          <w:tcPr>
            <w:tcW w:type="dxa" w:w="2592"/>
            <w:shd w:fill="1E3A8A"/>
            <w:tcMar>
              <w:top w:w="100" w:type="dxa"/>
              <w:bottom w:w="100" w:type="dxa"/>
              <w:left w:w="120" w:type="dxa"/>
              <w:right w:w="120" w:type="dxa"/>
            </w:tcMar>
          </w:tcPr>
          <w:p>
            <w:pPr>
              <w:spacing w:before="0" w:after="0"/>
              <w:jc w:val="center"/>
            </w:pPr>
            <w:r>
              <w:rPr>
                <w:rFonts w:ascii="Times New Roman" w:hAnsi="Times New Roman"/>
                <w:b/>
                <w:color w:val="FFFFFF"/>
                <w:sz w:val="20"/>
              </w:rPr>
              <w:t>ABBREVIATION</w:t>
            </w:r>
          </w:p>
        </w:tc>
        <w:tc>
          <w:tcPr>
            <w:tcW w:type="dxa" w:w="6048"/>
            <w:shd w:fill="1E3A8A"/>
            <w:tcMar>
              <w:top w:w="100" w:type="dxa"/>
              <w:bottom w:w="100" w:type="dxa"/>
              <w:left w:w="120" w:type="dxa"/>
              <w:right w:w="120" w:type="dxa"/>
            </w:tcMar>
          </w:tcPr>
          <w:p>
            <w:pPr>
              <w:spacing w:before="0" w:after="0"/>
              <w:jc w:val="center"/>
            </w:pPr>
            <w:r>
              <w:rPr>
                <w:rFonts w:ascii="Times New Roman" w:hAnsi="Times New Roman"/>
                <w:b/>
                <w:color w:val="FFFFFF"/>
                <w:sz w:val="20"/>
              </w:rPr>
              <w:t>DESCRIPTION / FULL FORM</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3NF</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Third Normal Form (Codd's Relational Normalization)</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DBMS</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Database Management System</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RDBMS</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Relational Database Management System</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4</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ACID</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Atomicity, Consistency, Isolation, Durability</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PD</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Parkinson's Disease</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6</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UPDRS</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Unified Parkinson's Disease Rating Scale</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7</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UPSIT</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University of Pennsylvania Smell Identification Test (40-Item)</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8</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RBD</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Rapid Eye Movement (REM) Sleep Behavior Disorder</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9</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HNR</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Harmonics-to-Noise Ratio (dB)</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IMU</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Inertial Measurement Unit (3-Axis Accelerometer)</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11</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MLOps</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Machine Learning Operations</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12</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API</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Application Programming Interface</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13</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REST</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Representational State Transfer</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14</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ROC-AUC</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Receiver Operating Characteristic – Area Under Curve</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15</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GIN</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Generalized Inverted Index (PostgreSQL JSONB Index)</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16</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DFD</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Data Flow Diagram</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17</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ERD</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Entity-Relationship Diagram</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18</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GDPR</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General Data Protection Regulation</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19</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HIPAA</w:t>
            </w:r>
          </w:p>
        </w:tc>
        <w:tc>
          <w:tcPr>
            <w:tcW w:type="dxa" w:w="6048"/>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Health Insurance Portability and Accountability Act</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20</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SPA</w:t>
            </w:r>
          </w:p>
        </w:tc>
        <w:tc>
          <w:tcPr>
            <w:tcW w:type="dxa" w:w="6048"/>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Single-Page Application</w:t>
            </w:r>
          </w:p>
        </w:tc>
      </w:tr>
    </w:tbl>
    <w:p>
      <w:pPr>
        <w:spacing w:before="0" w:after="120"/>
      </w:pPr>
    </w:p>
    <w:p>
      <w:r>
        <w:br w:type="page"/>
      </w:r>
    </w:p>
    <w:p>
      <w:pPr>
        <w:spacing w:before="240" w:after="120"/>
      </w:pPr>
      <w:r>
        <w:rPr>
          <w:rFonts w:ascii="Times New Roman" w:hAnsi="Times New Roman"/>
          <w:b/>
          <w:sz w:val="28"/>
        </w:rPr>
        <w:t>LIST OF TABLES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left w:val="none"/>
          <w:right w:val="none"/>
          <w:insideV w:val="none"/>
        </w:tblBorders>
      </w:tblPr>
      <w:tblGrid>
        <w:gridCol w:w="3120"/>
        <w:gridCol w:w="3120"/>
        <w:gridCol w:w="3120"/>
      </w:tblGrid>
      <w:tr>
        <w:tc>
          <w:tcPr>
            <w:tcW w:type="dxa" w:w="1440"/>
            <w:shd w:fill="1E3A8A"/>
            <w:tcMar>
              <w:top w:w="100" w:type="dxa"/>
              <w:bottom w:w="100" w:type="dxa"/>
              <w:left w:w="120" w:type="dxa"/>
              <w:right w:w="120" w:type="dxa"/>
            </w:tcMar>
          </w:tcPr>
          <w:p>
            <w:pPr>
              <w:spacing w:before="0" w:after="0"/>
              <w:jc w:val="center"/>
            </w:pPr>
            <w:r>
              <w:rPr>
                <w:rFonts w:ascii="Times New Roman" w:hAnsi="Times New Roman"/>
                <w:b/>
                <w:color w:val="FFFFFF"/>
                <w:sz w:val="20"/>
              </w:rPr>
              <w:t>SR. NO.</w:t>
            </w:r>
          </w:p>
        </w:tc>
        <w:tc>
          <w:tcPr>
            <w:tcW w:type="dxa" w:w="7200"/>
            <w:shd w:fill="1E3A8A"/>
            <w:tcMar>
              <w:top w:w="100" w:type="dxa"/>
              <w:bottom w:w="100" w:type="dxa"/>
              <w:left w:w="120" w:type="dxa"/>
              <w:right w:w="120" w:type="dxa"/>
            </w:tcMar>
          </w:tcPr>
          <w:p>
            <w:pPr>
              <w:spacing w:before="0" w:after="0"/>
              <w:jc w:val="center"/>
            </w:pPr>
            <w:r>
              <w:rPr>
                <w:rFonts w:ascii="Times New Roman" w:hAnsi="Times New Roman"/>
                <w:b/>
                <w:color w:val="FFFFFF"/>
                <w:sz w:val="20"/>
              </w:rPr>
              <w:t>NAME OF THE TABLE</w:t>
            </w:r>
          </w:p>
        </w:tc>
        <w:tc>
          <w:tcPr>
            <w:tcW w:type="dxa" w:w="1440"/>
            <w:shd w:fill="1E3A8A"/>
            <w:tcMar>
              <w:top w:w="100" w:type="dxa"/>
              <w:bottom w:w="100" w:type="dxa"/>
              <w:left w:w="120" w:type="dxa"/>
              <w:right w:w="120" w:type="dxa"/>
            </w:tcMar>
          </w:tcPr>
          <w:p>
            <w:pPr>
              <w:spacing w:before="0" w:after="0"/>
              <w:jc w:val="center"/>
            </w:pPr>
            <w:r>
              <w:rPr>
                <w:rFonts w:ascii="Times New Roman" w:hAnsi="Times New Roman"/>
                <w:b/>
                <w:color w:val="FFFFFF"/>
                <w:sz w:val="20"/>
              </w:rPr>
              <w:t>PAGE NO.</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Review – 3 Assessment Rubric and Component Mapping (VL2026270102771_CS1)</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Comparative Literature Analysis and Research Gap Matrix</w:t>
            </w:r>
          </w:p>
        </w:tc>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13</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3</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Hardware Specifications</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14</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4</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Software and Library Specifications</w:t>
            </w:r>
          </w:p>
        </w:tc>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15</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5</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Relational Schema Data Dictionary and Entity Descriptions</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21</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6</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Defensive Integrity CHECK Constraints and Audit Triggers</w:t>
            </w:r>
          </w:p>
        </w:tc>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22</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7</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Dynamic SQL Fuzzy Regex Biomarker Column Mapping Specifications</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23</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8</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Relational Database Performance and Execution Benchmarks</w:t>
            </w:r>
          </w:p>
        </w:tc>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24</w:t>
            </w:r>
          </w:p>
        </w:tc>
      </w:tr>
      <w:tr>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9</w:t>
            </w:r>
          </w:p>
        </w:tc>
        <w:tc>
          <w:tcPr>
            <w:tcW w:type="dxa" w:w="720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Machine Learning Classification Performance Metrics</w:t>
            </w:r>
          </w:p>
        </w:tc>
        <w:tc>
          <w:tcPr>
            <w:tcW w:type="dxa" w:w="1440"/>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25</w:t>
            </w:r>
          </w:p>
        </w:tc>
      </w:tr>
      <w:tr>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w:t>
            </w:r>
          </w:p>
        </w:tc>
        <w:tc>
          <w:tcPr>
            <w:tcW w:type="dxa" w:w="720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Ranked Feature Importances Grouped by Clinical Modality</w:t>
            </w:r>
          </w:p>
        </w:tc>
        <w:tc>
          <w:tcPr>
            <w:tcW w:type="dxa" w:w="1440"/>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26</w:t>
            </w:r>
          </w:p>
        </w:tc>
      </w:tr>
    </w:tbl>
    <w:p>
      <w:pPr>
        <w:spacing w:before="0" w:after="120"/>
      </w:pPr>
    </w:p>
    <w:p>
      <w:r>
        <w:br w:type="page"/>
      </w:r>
    </w:p>
    <w:p>
      <w:pPr>
        <w:keepNext/>
        <w:spacing w:before="400" w:after="40"/>
        <w:jc w:val="center"/>
      </w:pPr>
      <w:r>
        <w:rPr>
          <w:rFonts w:ascii="Times New Roman" w:hAnsi="Times New Roman"/>
          <w:b/>
          <w:color w:val="0F172A"/>
          <w:sz w:val="28"/>
        </w:rPr>
        <w:t>CHAPTER 1</w:t>
        <w:br/>
      </w:r>
      <w:r>
        <w:rPr>
          <w:rFonts w:ascii="Times New Roman" w:hAnsi="Times New Roman"/>
          <w:b/>
          <w:color w:val="1E3A8A"/>
          <w:sz w:val="28"/>
        </w:rPr>
        <w:t>INTRODUCTION</w:t>
      </w:r>
    </w:p>
    <w:p>
      <w:pPr>
        <w:spacing w:before="0" w:after="160"/>
      </w:pPr>
    </w:p>
    <w:p>
      <w:pPr>
        <w:keepNext/>
        <w:spacing w:before="240" w:after="80"/>
      </w:pPr>
      <w:r>
        <w:rPr>
          <w:rFonts w:ascii="Times New Roman" w:hAnsi="Times New Roman"/>
          <w:b/>
          <w:color w:val="0284C7"/>
          <w:sz w:val="26"/>
        </w:rPr>
        <w:t>1.1 SYSTEM OVERVIEW</w:t>
      </w:r>
    </w:p>
    <w:p>
      <w:pPr>
        <w:spacing w:before="0" w:after="120" w:line="276" w:lineRule="auto"/>
        <w:jc w:val="both"/>
      </w:pPr>
      <w:r>
        <w:rPr>
          <w:rFonts w:ascii="Times New Roman" w:hAnsi="Times New Roman"/>
          <w:color w:val="1E293B"/>
          <w:sz w:val="22"/>
        </w:rPr>
        <w:t>The Multimodal Clinical Screening Architecture is an enterprise-grade medical informatics platform designed to detect Parkinson's Disease in its earliest stages through the synergistic combination of relational database engineering and machine learning ensemble intelligence. At its foundational layer, the platform deploys a Third Normal Form (3NF) relational database in PostgreSQL. The schema normalizes high-frequency digitizer stroke streams, acoustic voice parameters, wearable IMU gait telemetry, and non-motor prodromal questionnaire scores.</w:t>
      </w:r>
    </w:p>
    <w:p>
      <w:pPr>
        <w:spacing w:before="0" w:after="120" w:line="276" w:lineRule="auto"/>
        <w:jc w:val="both"/>
      </w:pPr>
      <w:r>
        <w:rPr>
          <w:rFonts w:ascii="Times New Roman" w:hAnsi="Times New Roman"/>
          <w:color w:val="1E293B"/>
          <w:sz w:val="22"/>
        </w:rPr>
        <w:t>Rather than relying on flat files or denormalized tables, the system guarantees ACID transactional integrity, enforces physiological domain CHECK constraints, and maintains compliance with HIPAA/GDPR right-to-erasure regulations through ON DELETE CASCADE actions. To bridge the database with machine learning without expensive iterative Python JOIN operations, the database features an analytical SQL window view (v_patient_multimodal_matrix) and PL/pgSQL stored procedures that atomically materialize model-ready feature vectors. An ensemble Balanced Random Forest classifier evaluates the consolidated vectors, outputting diagnostic determinations accompanied by transparent per-modality risk attributions. The entire pipeline is accessible through a high-performance FastAPI REST API and a responsive single-page clinical dashboard.</w:t>
      </w:r>
    </w:p>
    <w:p>
      <w:pPr>
        <w:keepNext/>
        <w:spacing w:before="240" w:after="80"/>
      </w:pPr>
      <w:r>
        <w:rPr>
          <w:rFonts w:ascii="Times New Roman" w:hAnsi="Times New Roman"/>
          <w:b/>
          <w:color w:val="0284C7"/>
          <w:sz w:val="26"/>
        </w:rPr>
        <w:t>1.2 OBJECTIVE</w:t>
      </w:r>
    </w:p>
    <w:p>
      <w:pPr>
        <w:spacing w:before="40" w:after="80" w:line="276" w:lineRule="auto"/>
        <w:jc w:val="both"/>
      </w:pPr>
      <w:r>
        <w:rPr>
          <w:rFonts w:ascii="Times New Roman" w:hAnsi="Times New Roman"/>
          <w:b/>
          <w:color w:val="0F172A"/>
          <w:sz w:val="22"/>
        </w:rPr>
        <w:t xml:space="preserve">Relational Database Normalization: </w:t>
      </w:r>
      <w:r>
        <w:rPr>
          <w:rFonts w:ascii="Times New Roman" w:hAnsi="Times New Roman"/>
          <w:color w:val="1E293B"/>
          <w:sz w:val="22"/>
        </w:rPr>
        <w:t>Design, normalize, and implement a strict Third Normal Form (3NF) PostgreSQL relational schema for clinical multimodal data, eliminating redundancy and update anomalies.</w:t>
      </w:r>
    </w:p>
    <w:p>
      <w:pPr>
        <w:spacing w:before="40" w:after="80" w:line="276" w:lineRule="auto"/>
        <w:jc w:val="both"/>
      </w:pPr>
      <w:r>
        <w:rPr>
          <w:rFonts w:ascii="Times New Roman" w:hAnsi="Times New Roman"/>
          <w:b/>
          <w:color w:val="0F172A"/>
          <w:sz w:val="22"/>
        </w:rPr>
        <w:t xml:space="preserve">Biologically Grounded Integrity Enforcement: </w:t>
      </w:r>
      <w:r>
        <w:rPr>
          <w:rFonts w:ascii="Times New Roman" w:hAnsi="Times New Roman"/>
          <w:color w:val="1E293B"/>
          <w:sz w:val="22"/>
        </w:rPr>
        <w:t>Implement defensive database constraints, including physiological CHECK constraints on all biomarker attributes, foreign keys with ON DELETE CASCADE, and composite B-Tree/GIN indexing.</w:t>
      </w:r>
    </w:p>
    <w:p>
      <w:pPr>
        <w:spacing w:before="40" w:after="80" w:line="276" w:lineRule="auto"/>
        <w:jc w:val="both"/>
      </w:pPr>
      <w:r>
        <w:rPr>
          <w:rFonts w:ascii="Times New Roman" w:hAnsi="Times New Roman"/>
          <w:b/>
          <w:color w:val="0F172A"/>
          <w:sz w:val="22"/>
        </w:rPr>
        <w:t xml:space="preserve">Analytical SQL Feature Materialization: </w:t>
      </w:r>
      <w:r>
        <w:rPr>
          <w:rFonts w:ascii="Times New Roman" w:hAnsi="Times New Roman"/>
          <w:color w:val="1E293B"/>
          <w:sz w:val="22"/>
        </w:rPr>
        <w:t>Engineer high-performance analytical SQL window views (ROW_NUMBER() OVER PARTITION BY) and PL/pgSQL stored procedures to consolidate time-series records into model-ready vectors in sub-5ms.</w:t>
      </w:r>
    </w:p>
    <w:p>
      <w:pPr>
        <w:spacing w:before="40" w:after="80" w:line="276" w:lineRule="auto"/>
        <w:jc w:val="both"/>
      </w:pPr>
      <w:r>
        <w:rPr>
          <w:rFonts w:ascii="Times New Roman" w:hAnsi="Times New Roman"/>
          <w:b/>
          <w:color w:val="0F172A"/>
          <w:sz w:val="22"/>
        </w:rPr>
        <w:t xml:space="preserve">Ensemble Machine Learning Screening: </w:t>
      </w:r>
      <w:r>
        <w:rPr>
          <w:rFonts w:ascii="Times New Roman" w:hAnsi="Times New Roman"/>
          <w:color w:val="1E293B"/>
          <w:sz w:val="22"/>
        </w:rPr>
        <w:t>Develop an end-to-end Scikit-Learn classification pipeline featuring median imputation, standard scaling, and a balanced Random Forest model capable of robust inference even with partial assessments.</w:t>
      </w:r>
    </w:p>
    <w:p>
      <w:pPr>
        <w:spacing w:before="40" w:after="80" w:line="276" w:lineRule="auto"/>
        <w:jc w:val="both"/>
      </w:pPr>
      <w:r>
        <w:rPr>
          <w:rFonts w:ascii="Times New Roman" w:hAnsi="Times New Roman"/>
          <w:b/>
          <w:color w:val="0F172A"/>
          <w:sz w:val="22"/>
        </w:rPr>
        <w:t xml:space="preserve">Dynamic SQL Dataset Ingestion: </w:t>
      </w:r>
      <w:r>
        <w:rPr>
          <w:rFonts w:ascii="Times New Roman" w:hAnsi="Times New Roman"/>
          <w:color w:val="1E293B"/>
          <w:sz w:val="22"/>
        </w:rPr>
        <w:t>Construct an intelligent SQL engine equipped with fuzzy column regex matching capable of ingesting arbitrary SQL dumps (.sql), SQLite databases (.db), CSVs, and Excel spreadsheets with instant risk stratification.</w:t>
      </w:r>
    </w:p>
    <w:p>
      <w:pPr>
        <w:keepNext/>
        <w:spacing w:before="240" w:after="80"/>
      </w:pPr>
      <w:r>
        <w:rPr>
          <w:rFonts w:ascii="Times New Roman" w:hAnsi="Times New Roman"/>
          <w:b/>
          <w:color w:val="0284C7"/>
          <w:sz w:val="26"/>
        </w:rPr>
        <w:t>1.3 APPLICATIONS</w:t>
      </w:r>
    </w:p>
    <w:p>
      <w:pPr>
        <w:spacing w:before="40" w:after="80" w:line="276" w:lineRule="auto"/>
        <w:jc w:val="both"/>
      </w:pPr>
      <w:r>
        <w:rPr>
          <w:rFonts w:ascii="Times New Roman" w:hAnsi="Times New Roman"/>
          <w:b/>
          <w:color w:val="0F172A"/>
          <w:sz w:val="22"/>
        </w:rPr>
        <w:t xml:space="preserve">Early Outpatient Clinical Triage: </w:t>
      </w:r>
      <w:r>
        <w:rPr>
          <w:rFonts w:ascii="Times New Roman" w:hAnsi="Times New Roman"/>
          <w:color w:val="1E293B"/>
          <w:sz w:val="22"/>
        </w:rPr>
        <w:t>Enables secondary healthcare clinics and general practitioners to conduct rapid, objective non-invasive pre-screenings before referring patients for expensive tertiary neurological workups.</w:t>
      </w:r>
    </w:p>
    <w:p>
      <w:pPr>
        <w:spacing w:before="40" w:after="80" w:line="276" w:lineRule="auto"/>
        <w:jc w:val="both"/>
      </w:pPr>
      <w:r>
        <w:rPr>
          <w:rFonts w:ascii="Times New Roman" w:hAnsi="Times New Roman"/>
          <w:b/>
          <w:color w:val="0F172A"/>
          <w:sz w:val="22"/>
        </w:rPr>
        <w:t xml:space="preserve">Geriatric Telemedicine &amp; Remote Monitoring: </w:t>
      </w:r>
      <w:r>
        <w:rPr>
          <w:rFonts w:ascii="Times New Roman" w:hAnsi="Times New Roman"/>
          <w:color w:val="1E293B"/>
          <w:sz w:val="22"/>
        </w:rPr>
        <w:t>Supports decentralized health screening in rural or underserved elderly populations utilizing commercial digitizer tablets, smartphone IMU sensors, and web microphones.</w:t>
      </w:r>
    </w:p>
    <w:p>
      <w:pPr>
        <w:spacing w:before="40" w:after="80" w:line="276" w:lineRule="auto"/>
        <w:jc w:val="both"/>
      </w:pPr>
      <w:r>
        <w:rPr>
          <w:rFonts w:ascii="Times New Roman" w:hAnsi="Times New Roman"/>
          <w:b/>
          <w:color w:val="0F172A"/>
          <w:sz w:val="22"/>
        </w:rPr>
        <w:t xml:space="preserve">Pharmaceutical Clinical Trials: </w:t>
      </w:r>
      <w:r>
        <w:rPr>
          <w:rFonts w:ascii="Times New Roman" w:hAnsi="Times New Roman"/>
          <w:color w:val="1E293B"/>
          <w:sz w:val="22"/>
        </w:rPr>
        <w:t>Provides objective, quantifiable digital biomarkers to track disease progression and evaluate the therapeutic efficacy of novel neuroprotective drugs over time.</w:t>
      </w:r>
    </w:p>
    <w:p>
      <w:pPr>
        <w:spacing w:before="40" w:after="80" w:line="276" w:lineRule="auto"/>
        <w:jc w:val="both"/>
      </w:pPr>
      <w:r>
        <w:rPr>
          <w:rFonts w:ascii="Times New Roman" w:hAnsi="Times New Roman"/>
          <w:b/>
          <w:color w:val="0F172A"/>
          <w:sz w:val="22"/>
        </w:rPr>
        <w:t xml:space="preserve">Hospital EHR Integration: </w:t>
      </w:r>
      <w:r>
        <w:rPr>
          <w:rFonts w:ascii="Times New Roman" w:hAnsi="Times New Roman"/>
          <w:color w:val="1E293B"/>
          <w:sz w:val="22"/>
        </w:rPr>
        <w:t>Integrates seamlessly into hospital Information Systems (HIS) via RESTful APIs, providing automated clinical decision support alerts directly within electronic health records.</w:t>
      </w:r>
    </w:p>
    <w:p>
      <w:pPr>
        <w:keepNext/>
        <w:spacing w:before="240" w:after="80"/>
      </w:pPr>
      <w:r>
        <w:rPr>
          <w:rFonts w:ascii="Times New Roman" w:hAnsi="Times New Roman"/>
          <w:b/>
          <w:color w:val="0284C7"/>
          <w:sz w:val="26"/>
        </w:rPr>
        <w:t>1.4 LIMITATIONS</w:t>
      </w:r>
    </w:p>
    <w:p>
      <w:pPr>
        <w:spacing w:before="40" w:after="80" w:line="276" w:lineRule="auto"/>
        <w:jc w:val="both"/>
      </w:pPr>
      <w:r>
        <w:rPr>
          <w:rFonts w:ascii="Times New Roman" w:hAnsi="Times New Roman"/>
          <w:b/>
          <w:color w:val="0F172A"/>
          <w:sz w:val="22"/>
        </w:rPr>
        <w:t xml:space="preserve">Screening Tool vs. Definitive Diagnosis: </w:t>
      </w:r>
      <w:r>
        <w:rPr>
          <w:rFonts w:ascii="Times New Roman" w:hAnsi="Times New Roman"/>
          <w:color w:val="1E293B"/>
          <w:sz w:val="22"/>
        </w:rPr>
        <w:t>The system is designed as an automated screening and risk stratification aid; it does not replace definitive clinical examination by a movement disorder specialist or DaTscan SPECT imaging.</w:t>
      </w:r>
    </w:p>
    <w:p>
      <w:pPr>
        <w:spacing w:before="40" w:after="80" w:line="276" w:lineRule="auto"/>
        <w:jc w:val="both"/>
      </w:pPr>
      <w:r>
        <w:rPr>
          <w:rFonts w:ascii="Times New Roman" w:hAnsi="Times New Roman"/>
          <w:b/>
          <w:color w:val="0F172A"/>
          <w:sz w:val="22"/>
        </w:rPr>
        <w:t xml:space="preserve">Hardware Calibration Variance: </w:t>
      </w:r>
      <w:r>
        <w:rPr>
          <w:rFonts w:ascii="Times New Roman" w:hAnsi="Times New Roman"/>
          <w:color w:val="1E293B"/>
          <w:sz w:val="22"/>
        </w:rPr>
        <w:t>Variations in stylus pressure sensitivity across consumer tablet brands require software-level normalization to ensure absolute cross-device consistency.</w:t>
      </w:r>
    </w:p>
    <w:p>
      <w:pPr>
        <w:spacing w:before="40" w:after="80" w:line="276" w:lineRule="auto"/>
        <w:jc w:val="both"/>
      </w:pPr>
      <w:r>
        <w:rPr>
          <w:rFonts w:ascii="Times New Roman" w:hAnsi="Times New Roman"/>
          <w:b/>
          <w:color w:val="0F172A"/>
          <w:sz w:val="22"/>
        </w:rPr>
        <w:t xml:space="preserve">Acoustic Environmental Noise: </w:t>
      </w:r>
      <w:r>
        <w:rPr>
          <w:rFonts w:ascii="Times New Roman" w:hAnsi="Times New Roman"/>
          <w:color w:val="1E293B"/>
          <w:sz w:val="22"/>
        </w:rPr>
        <w:t>Extreme background acoustic noise can elevate Harmonics-to-Noise Ratio (HNR) variance; audio recordings require quiet clinical room conditions for optimal accuracy.</w:t>
      </w:r>
    </w:p>
    <w:p>
      <w:r>
        <w:br w:type="page"/>
      </w:r>
    </w:p>
    <w:p>
      <w:pPr>
        <w:keepNext/>
        <w:spacing w:before="400" w:after="40"/>
        <w:jc w:val="center"/>
      </w:pPr>
      <w:r>
        <w:rPr>
          <w:rFonts w:ascii="Times New Roman" w:hAnsi="Times New Roman"/>
          <w:b/>
          <w:color w:val="0F172A"/>
          <w:sz w:val="28"/>
        </w:rPr>
        <w:t>CHAPTER 2</w:t>
        <w:br/>
      </w:r>
      <w:r>
        <w:rPr>
          <w:rFonts w:ascii="Times New Roman" w:hAnsi="Times New Roman"/>
          <w:b/>
          <w:color w:val="1E3A8A"/>
          <w:sz w:val="28"/>
        </w:rPr>
        <w:t>SYSTEM ANALYSIS</w:t>
      </w:r>
    </w:p>
    <w:p>
      <w:pPr>
        <w:spacing w:before="0" w:after="160"/>
      </w:pPr>
    </w:p>
    <w:p>
      <w:pPr>
        <w:keepNext/>
        <w:spacing w:before="240" w:after="80"/>
      </w:pPr>
      <w:r>
        <w:rPr>
          <w:rFonts w:ascii="Times New Roman" w:hAnsi="Times New Roman"/>
          <w:b/>
          <w:color w:val="0284C7"/>
          <w:sz w:val="26"/>
        </w:rPr>
        <w:t>2.1 EXISTING SYSTEM</w:t>
      </w:r>
    </w:p>
    <w:p>
      <w:pPr>
        <w:spacing w:before="0" w:after="120" w:line="276" w:lineRule="auto"/>
        <w:jc w:val="both"/>
      </w:pPr>
      <w:r>
        <w:rPr>
          <w:rFonts w:ascii="Times New Roman" w:hAnsi="Times New Roman"/>
          <w:color w:val="1E293B"/>
          <w:sz w:val="22"/>
        </w:rPr>
        <w:t>Existing Parkinson's diagnostic infrastructure relies heavily on qualitative clinical examinations (e.g., the Unified Parkinson's Disease Rating Scale, UPDRS) administered by specialized neurologists. Motor symptoms (tremors, rigidity, bradykinesia) are scored visually. In academic literature, machine learning models have been proposed, but they exhibit severe structural limitations:</w:t>
      </w:r>
    </w:p>
    <w:p>
      <w:pPr>
        <w:spacing w:before="40" w:after="80" w:line="276" w:lineRule="auto"/>
        <w:jc w:val="both"/>
      </w:pPr>
      <w:r>
        <w:rPr>
          <w:rFonts w:ascii="Times New Roman" w:hAnsi="Times New Roman"/>
          <w:b/>
          <w:color w:val="0F172A"/>
          <w:sz w:val="22"/>
        </w:rPr>
        <w:t xml:space="preserve">Monomodal Diagnostic Fragility: </w:t>
      </w:r>
      <w:r>
        <w:rPr>
          <w:rFonts w:ascii="Times New Roman" w:hAnsi="Times New Roman"/>
          <w:color w:val="1E293B"/>
          <w:sz w:val="22"/>
        </w:rPr>
        <w:t>Most automated systems evaluate only a single biomarker stream—such as voice recordings or spiral drawing alone. Monomodal systems suffer from high false-positive rates due to common age-related conditions (e.g., vocal chord atrophy mimicking dysarthria, or arthritis distorting handwriting).</w:t>
      </w:r>
    </w:p>
    <w:p>
      <w:pPr>
        <w:spacing w:before="40" w:after="80" w:line="276" w:lineRule="auto"/>
        <w:jc w:val="both"/>
      </w:pPr>
      <w:r>
        <w:rPr>
          <w:rFonts w:ascii="Times New Roman" w:hAnsi="Times New Roman"/>
          <w:b/>
          <w:color w:val="0F172A"/>
          <w:sz w:val="22"/>
        </w:rPr>
        <w:t xml:space="preserve">Unnormalized &amp; Fragile Data Stores: </w:t>
      </w:r>
      <w:r>
        <w:rPr>
          <w:rFonts w:ascii="Times New Roman" w:hAnsi="Times New Roman"/>
          <w:color w:val="1E293B"/>
          <w:sz w:val="22"/>
        </w:rPr>
        <w:t>Existing systems store biomechanical signals in flat CSV files, proprietary sensor logs, or denormalized database tables. This creates massive data redundancy, rampant NULL-value proliferation, update anomalies, and lack of relational ACID guarantees.</w:t>
      </w:r>
    </w:p>
    <w:p>
      <w:pPr>
        <w:spacing w:before="40" w:after="80" w:line="276" w:lineRule="auto"/>
        <w:jc w:val="both"/>
      </w:pPr>
      <w:r>
        <w:rPr>
          <w:rFonts w:ascii="Times New Roman" w:hAnsi="Times New Roman"/>
          <w:b/>
          <w:color w:val="0F172A"/>
          <w:sz w:val="22"/>
        </w:rPr>
        <w:t xml:space="preserve">Absence of Traceability and MLOps Auditing: </w:t>
      </w:r>
      <w:r>
        <w:rPr>
          <w:rFonts w:ascii="Times New Roman" w:hAnsi="Times New Roman"/>
          <w:color w:val="1E293B"/>
          <w:sz w:val="22"/>
        </w:rPr>
        <w:t>Black-box algorithms output risk scores without maintaining an auditable database trail of model versioning, feature snapshots, or explainable per-modality risk attributions.</w:t>
      </w:r>
    </w:p>
    <w:p>
      <w:pPr>
        <w:keepNext/>
        <w:spacing w:before="240" w:after="80"/>
      </w:pPr>
      <w:r>
        <w:rPr>
          <w:rFonts w:ascii="Times New Roman" w:hAnsi="Times New Roman"/>
          <w:b/>
          <w:color w:val="0284C7"/>
          <w:sz w:val="26"/>
        </w:rPr>
        <w:t>2.2 PROPOSED SYSTEM</w:t>
      </w:r>
    </w:p>
    <w:p>
      <w:pPr>
        <w:spacing w:before="0" w:after="120" w:line="276" w:lineRule="auto"/>
        <w:jc w:val="both"/>
      </w:pPr>
      <w:r>
        <w:rPr>
          <w:rFonts w:ascii="Times New Roman" w:hAnsi="Times New Roman"/>
          <w:color w:val="1E293B"/>
          <w:sz w:val="22"/>
        </w:rPr>
        <w:t>The proposed Multimodal Clinical Screening Architecture resolves these shortcomings by engineering a cohesive relational database ecosystem coupled with an ensemble machine learning classification engine:</w:t>
      </w:r>
    </w:p>
    <w:p>
      <w:pPr>
        <w:spacing w:before="40" w:after="80" w:line="276" w:lineRule="auto"/>
        <w:jc w:val="both"/>
      </w:pPr>
      <w:r>
        <w:rPr>
          <w:rFonts w:ascii="Times New Roman" w:hAnsi="Times New Roman"/>
          <w:b/>
          <w:color w:val="0F172A"/>
          <w:sz w:val="22"/>
        </w:rPr>
        <w:t xml:space="preserve">Multimodal Sensor Fusion: </w:t>
      </w:r>
      <w:r>
        <w:rPr>
          <w:rFonts w:ascii="Times New Roman" w:hAnsi="Times New Roman"/>
          <w:color w:val="1E293B"/>
          <w:sz w:val="22"/>
        </w:rPr>
        <w:t>Combines four distinct clinical modalities: 120 Hz digitizer kinematics (velocity, jerk, pressure, in-air hover), phonatory acoustics (jitter, shimmer, HNR), wearable IMU locomotion (cadence, stride variance, arm swing asymmetry), and prodromal non-motor indicators (UPSIT smell score, RBD sleep disorder).</w:t>
      </w:r>
    </w:p>
    <w:p>
      <w:pPr>
        <w:spacing w:before="40" w:after="80" w:line="276" w:lineRule="auto"/>
        <w:jc w:val="both"/>
      </w:pPr>
      <w:r>
        <w:rPr>
          <w:rFonts w:ascii="Times New Roman" w:hAnsi="Times New Roman"/>
          <w:b/>
          <w:color w:val="0F172A"/>
          <w:sz w:val="22"/>
        </w:rPr>
        <w:t xml:space="preserve">Third Normal Form (3NF) Relational Backbone: </w:t>
      </w:r>
      <w:r>
        <w:rPr>
          <w:rFonts w:ascii="Times New Roman" w:hAnsi="Times New Roman"/>
          <w:color w:val="1E293B"/>
          <w:sz w:val="22"/>
        </w:rPr>
        <w:t>PostgreSQL database decomposing demographic entities, time-series streams, and clinical questionnaires into normalized tables with strict foreign keys, CHECK bounds, and ON DELETE CASCADE referential integrity.</w:t>
      </w:r>
    </w:p>
    <w:p>
      <w:pPr>
        <w:spacing w:before="40" w:after="80" w:line="276" w:lineRule="auto"/>
        <w:jc w:val="both"/>
      </w:pPr>
      <w:r>
        <w:rPr>
          <w:rFonts w:ascii="Times New Roman" w:hAnsi="Times New Roman"/>
          <w:b/>
          <w:color w:val="0F172A"/>
          <w:sz w:val="22"/>
        </w:rPr>
        <w:t xml:space="preserve">Analytical SQL Window Views &amp; Stored Procedures: </w:t>
      </w:r>
      <w:r>
        <w:rPr>
          <w:rFonts w:ascii="Times New Roman" w:hAnsi="Times New Roman"/>
          <w:color w:val="1E293B"/>
          <w:sz w:val="22"/>
        </w:rPr>
        <w:t>Automates feature vector synthesis directly inside the database using ROW_NUMBER() OVER PARTITION BY, completely eliminating the need for iterative Python joins.</w:t>
      </w:r>
    </w:p>
    <w:p>
      <w:pPr>
        <w:spacing w:before="40" w:after="80" w:line="276" w:lineRule="auto"/>
        <w:jc w:val="both"/>
      </w:pPr>
      <w:r>
        <w:rPr>
          <w:rFonts w:ascii="Times New Roman" w:hAnsi="Times New Roman"/>
          <w:b/>
          <w:color w:val="0F172A"/>
          <w:sz w:val="22"/>
        </w:rPr>
        <w:t xml:space="preserve">Dynamic SQL Predictor &amp; Universal File Ingestion: </w:t>
      </w:r>
      <w:r>
        <w:rPr>
          <w:rFonts w:ascii="Times New Roman" w:hAnsi="Times New Roman"/>
          <w:color w:val="1E293B"/>
          <w:sz w:val="22"/>
        </w:rPr>
        <w:t>An intelligent engine capable of executing arbitrary SQL queries and ingesting .sql dumps, SQLite databases (.db), CSVs, and Excel sheets with fuzzy regex column auto-mapping.</w:t>
      </w:r>
    </w:p>
    <w:p>
      <w:pPr>
        <w:keepNext/>
        <w:spacing w:before="240" w:after="80"/>
      </w:pPr>
      <w:r>
        <w:rPr>
          <w:rFonts w:ascii="Times New Roman" w:hAnsi="Times New Roman"/>
          <w:b/>
          <w:color w:val="334155"/>
          <w:sz w:val="23"/>
        </w:rPr>
        <w:t>2.2.1 Benefits of Proposed System</w:t>
      </w:r>
    </w:p>
    <w:p>
      <w:pPr>
        <w:spacing w:before="40" w:after="80" w:line="276" w:lineRule="auto"/>
        <w:jc w:val="both"/>
      </w:pPr>
      <w:r>
        <w:rPr>
          <w:rFonts w:ascii="Times New Roman" w:hAnsi="Times New Roman"/>
          <w:b/>
          <w:color w:val="0F172A"/>
          <w:sz w:val="22"/>
        </w:rPr>
        <w:t xml:space="preserve">Early 5-to-10 Year Detection Window: </w:t>
      </w:r>
      <w:r>
        <w:rPr>
          <w:rFonts w:ascii="Times New Roman" w:hAnsi="Times New Roman"/>
          <w:color w:val="1E293B"/>
          <w:sz w:val="22"/>
        </w:rPr>
        <w:t>Detects prodromal Parkinson's years before visible motor onset by identifying non-motor hyposmia and sub-visual kinematic tremor.</w:t>
      </w:r>
    </w:p>
    <w:p>
      <w:pPr>
        <w:spacing w:before="40" w:after="80" w:line="276" w:lineRule="auto"/>
        <w:jc w:val="both"/>
      </w:pPr>
      <w:r>
        <w:rPr>
          <w:rFonts w:ascii="Times New Roman" w:hAnsi="Times New Roman"/>
          <w:b/>
          <w:color w:val="0F172A"/>
          <w:sz w:val="22"/>
        </w:rPr>
        <w:t xml:space="preserve">Resilience Against Incomplete Assessments: </w:t>
      </w:r>
      <w:r>
        <w:rPr>
          <w:rFonts w:ascii="Times New Roman" w:hAnsi="Times New Roman"/>
          <w:color w:val="1E293B"/>
          <w:sz w:val="22"/>
        </w:rPr>
        <w:t>Integrated median imputation allows reliable patient classification even when specific modalities (e.g., voice-only or tablet-only) are available.</w:t>
      </w:r>
    </w:p>
    <w:p>
      <w:pPr>
        <w:spacing w:before="40" w:after="80" w:line="276" w:lineRule="auto"/>
        <w:jc w:val="both"/>
      </w:pPr>
      <w:r>
        <w:rPr>
          <w:rFonts w:ascii="Times New Roman" w:hAnsi="Times New Roman"/>
          <w:b/>
          <w:color w:val="0F172A"/>
          <w:sz w:val="22"/>
        </w:rPr>
        <w:t xml:space="preserve">Sub-Millisecond Inference Latency: </w:t>
      </w:r>
      <w:r>
        <w:rPr>
          <w:rFonts w:ascii="Times New Roman" w:hAnsi="Times New Roman"/>
          <w:color w:val="1E293B"/>
          <w:sz w:val="22"/>
        </w:rPr>
        <w:t>Delivers instant clinical risk predictions (&lt; 1 ms per patient), supporting line-rate screening in busy outpatient hospital settings.</w:t>
      </w:r>
    </w:p>
    <w:p>
      <w:pPr>
        <w:spacing w:before="40" w:after="80" w:line="276" w:lineRule="auto"/>
        <w:jc w:val="both"/>
      </w:pPr>
      <w:r>
        <w:rPr>
          <w:rFonts w:ascii="Times New Roman" w:hAnsi="Times New Roman"/>
          <w:b/>
          <w:color w:val="0F172A"/>
          <w:sz w:val="22"/>
        </w:rPr>
        <w:t xml:space="preserve">GDPR &amp; HIPAA Data Privacy Compliance: </w:t>
      </w:r>
      <w:r>
        <w:rPr>
          <w:rFonts w:ascii="Times New Roman" w:hAnsi="Times New Roman"/>
          <w:color w:val="1E293B"/>
          <w:sz w:val="22"/>
        </w:rPr>
        <w:t>Cascading deletes ensure that patient deletion requests atomically purge all associated high-frequency telemetry streams without orphaned data.</w:t>
      </w:r>
    </w:p>
    <w:p>
      <w:r>
        <w:br w:type="page"/>
      </w:r>
    </w:p>
    <w:p>
      <w:pPr>
        <w:keepNext/>
        <w:spacing w:before="400" w:after="40"/>
        <w:jc w:val="center"/>
      </w:pPr>
      <w:r>
        <w:rPr>
          <w:rFonts w:ascii="Times New Roman" w:hAnsi="Times New Roman"/>
          <w:b/>
          <w:color w:val="0F172A"/>
          <w:sz w:val="28"/>
        </w:rPr>
        <w:t>CHAPTER 3</w:t>
        <w:br/>
      </w:r>
      <w:r>
        <w:rPr>
          <w:rFonts w:ascii="Times New Roman" w:hAnsi="Times New Roman"/>
          <w:b/>
          <w:color w:val="1E3A8A"/>
          <w:sz w:val="28"/>
        </w:rPr>
        <w:t>REQUIREMENT SPECIFICATION</w:t>
      </w:r>
    </w:p>
    <w:p>
      <w:pPr>
        <w:spacing w:before="0" w:after="160"/>
      </w:pPr>
    </w:p>
    <w:p>
      <w:pPr>
        <w:keepNext/>
        <w:spacing w:before="240" w:after="80"/>
      </w:pPr>
      <w:r>
        <w:rPr>
          <w:rFonts w:ascii="Times New Roman" w:hAnsi="Times New Roman"/>
          <w:b/>
          <w:color w:val="0284C7"/>
          <w:sz w:val="26"/>
        </w:rPr>
        <w:t>3.1 HARDWARE SPECIFICATION</w:t>
      </w:r>
    </w:p>
    <w:p>
      <w:pPr>
        <w:spacing w:before="0" w:after="120" w:line="276" w:lineRule="auto"/>
        <w:jc w:val="both"/>
      </w:pPr>
      <w:r>
        <w:rPr>
          <w:rFonts w:ascii="Times New Roman" w:hAnsi="Times New Roman"/>
          <w:color w:val="1E293B"/>
          <w:sz w:val="22"/>
        </w:rPr>
        <w:t>These are the required hardware specifications necessary to support the proposed database system, machine learning training pipeline, and real-time web application for smooth, lag-free operation:</w:t>
      </w:r>
    </w:p>
    <w:p>
      <w:pPr>
        <w:spacing w:before="40" w:after="80" w:line="276" w:lineRule="auto"/>
        <w:jc w:val="both"/>
      </w:pPr>
      <w:r>
        <w:rPr>
          <w:rFonts w:ascii="Times New Roman" w:hAnsi="Times New Roman"/>
          <w:b/>
          <w:color w:val="0F172A"/>
          <w:sz w:val="22"/>
        </w:rPr>
        <w:t xml:space="preserve">Operating System: </w:t>
      </w:r>
      <w:r>
        <w:rPr>
          <w:rFonts w:ascii="Times New Roman" w:hAnsi="Times New Roman"/>
          <w:color w:val="1E293B"/>
          <w:sz w:val="22"/>
        </w:rPr>
        <w:t>Microsoft Windows 10 / 11 (64-bit) or Ubuntu Linux 20.04 LTS / 22.04 LTS / 24.04 LTS.</w:t>
      </w:r>
    </w:p>
    <w:p>
      <w:pPr>
        <w:spacing w:before="40" w:after="80" w:line="276" w:lineRule="auto"/>
        <w:jc w:val="both"/>
      </w:pPr>
      <w:r>
        <w:rPr>
          <w:rFonts w:ascii="Times New Roman" w:hAnsi="Times New Roman"/>
          <w:b/>
          <w:color w:val="0F172A"/>
          <w:sz w:val="22"/>
        </w:rPr>
        <w:t xml:space="preserve">CPU: </w:t>
      </w:r>
      <w:r>
        <w:rPr>
          <w:rFonts w:ascii="Times New Roman" w:hAnsi="Times New Roman"/>
          <w:color w:val="1E293B"/>
          <w:sz w:val="22"/>
        </w:rPr>
        <w:t>Minimum: Dual-Core x86_64 @ 2.0 GHz. Recommended: Quad-Core or Octa-Core Intel Core i5/i7 or AMD Ryzen 5/7 @ 2.8 GHz+ for high-throughput batch inference.</w:t>
      </w:r>
    </w:p>
    <w:p>
      <w:pPr>
        <w:spacing w:before="40" w:after="80" w:line="276" w:lineRule="auto"/>
        <w:jc w:val="both"/>
      </w:pPr>
      <w:r>
        <w:rPr>
          <w:rFonts w:ascii="Times New Roman" w:hAnsi="Times New Roman"/>
          <w:b/>
          <w:color w:val="0F172A"/>
          <w:sz w:val="22"/>
        </w:rPr>
        <w:t xml:space="preserve">RAM: </w:t>
      </w:r>
      <w:r>
        <w:rPr>
          <w:rFonts w:ascii="Times New Roman" w:hAnsi="Times New Roman"/>
          <w:color w:val="1E293B"/>
          <w:sz w:val="22"/>
        </w:rPr>
        <w:t>Minimum: 4 GB DDR4. Recommended: 16 GB DDR4/DDR5 for caching large high-frequency digitizer stroke datasets in memory.</w:t>
      </w:r>
    </w:p>
    <w:p>
      <w:pPr>
        <w:spacing w:before="40" w:after="80" w:line="276" w:lineRule="auto"/>
        <w:jc w:val="both"/>
      </w:pPr>
      <w:r>
        <w:rPr>
          <w:rFonts w:ascii="Times New Roman" w:hAnsi="Times New Roman"/>
          <w:b/>
          <w:color w:val="0F172A"/>
          <w:sz w:val="22"/>
        </w:rPr>
        <w:t xml:space="preserve">Storage: </w:t>
      </w:r>
      <w:r>
        <w:rPr>
          <w:rFonts w:ascii="Times New Roman" w:hAnsi="Times New Roman"/>
          <w:color w:val="1E293B"/>
          <w:sz w:val="22"/>
        </w:rPr>
        <w:t>Minimum: 2 GB free disk space for software dependencies and database storage. Recommended: 500 GB NVMe PCIe SSD for hospital-scale time-series telemetry streams.</w:t>
      </w:r>
    </w:p>
    <w:p>
      <w:pPr>
        <w:spacing w:before="40" w:after="80" w:line="276" w:lineRule="auto"/>
        <w:jc w:val="both"/>
      </w:pPr>
      <w:r>
        <w:rPr>
          <w:rFonts w:ascii="Times New Roman" w:hAnsi="Times New Roman"/>
          <w:b/>
          <w:color w:val="0F172A"/>
          <w:sz w:val="22"/>
        </w:rPr>
        <w:t xml:space="preserve">Other Requirements: </w:t>
      </w:r>
      <w:r>
        <w:rPr>
          <w:rFonts w:ascii="Times New Roman" w:hAnsi="Times New Roman"/>
          <w:color w:val="1E293B"/>
          <w:sz w:val="22"/>
        </w:rPr>
        <w:t>Digital touchscreen tablet with pressure-sensitive stylus (120 Hz sampling), USB condenser microphone, and 3-axis wearable IMU sensor.</w:t>
      </w:r>
    </w:p>
    <w:p>
      <w:pPr>
        <w:keepNext/>
        <w:spacing w:before="240" w:after="80"/>
      </w:pPr>
      <w:r>
        <w:rPr>
          <w:rFonts w:ascii="Times New Roman" w:hAnsi="Times New Roman"/>
          <w:b/>
          <w:color w:val="0284C7"/>
          <w:sz w:val="26"/>
        </w:rPr>
        <w:t>3.2 SOFTWARE SPECIFICATION</w:t>
      </w:r>
    </w:p>
    <w:p>
      <w:pPr>
        <w:spacing w:before="0" w:after="120" w:line="276" w:lineRule="auto"/>
        <w:jc w:val="both"/>
      </w:pPr>
      <w:r>
        <w:rPr>
          <w:rFonts w:ascii="Times New Roman" w:hAnsi="Times New Roman"/>
          <w:color w:val="1E293B"/>
          <w:sz w:val="22"/>
        </w:rPr>
        <w:t>The software description outlines the specialized software frameworks, relational database engines, and runtime libraries utilized in developing, training, and hosting the application:</w:t>
      </w:r>
    </w:p>
    <w:p>
      <w:pPr>
        <w:spacing w:before="40" w:after="80" w:line="276" w:lineRule="auto"/>
        <w:jc w:val="both"/>
      </w:pPr>
      <w:r>
        <w:rPr>
          <w:rFonts w:ascii="Times New Roman" w:hAnsi="Times New Roman"/>
          <w:b/>
          <w:color w:val="0F172A"/>
          <w:sz w:val="22"/>
        </w:rPr>
        <w:t xml:space="preserve">1. PostgreSQL Relational Database (14+ / 16+): </w:t>
      </w:r>
      <w:r>
        <w:rPr>
          <w:rFonts w:ascii="Times New Roman" w:hAnsi="Times New Roman"/>
          <w:color w:val="1E293B"/>
          <w:sz w:val="22"/>
        </w:rPr>
        <w:t>Primary enterprise relational database engine providing ACID transactional integrity, Third Normal Form relational constraints, PL/pgSQL stored procedures, analytical window functions, and semi-structured JSONB storage with GIN indexing.</w:t>
      </w:r>
    </w:p>
    <w:p>
      <w:pPr>
        <w:spacing w:before="40" w:after="80" w:line="276" w:lineRule="auto"/>
        <w:jc w:val="both"/>
      </w:pPr>
      <w:r>
        <w:rPr>
          <w:rFonts w:ascii="Times New Roman" w:hAnsi="Times New Roman"/>
          <w:b/>
          <w:color w:val="0F172A"/>
          <w:sz w:val="22"/>
        </w:rPr>
        <w:t xml:space="preserve">2. Python Runtime Environment (v3.12.x): </w:t>
      </w:r>
      <w:r>
        <w:rPr>
          <w:rFonts w:ascii="Times New Roman" w:hAnsi="Times New Roman"/>
          <w:color w:val="1E293B"/>
          <w:sz w:val="22"/>
        </w:rPr>
        <w:t>Core programming runtime executing within an isolated virtual environment (.venv) ensuring dependency isolation and cross-platform reproducibility.</w:t>
      </w:r>
    </w:p>
    <w:p>
      <w:pPr>
        <w:spacing w:before="40" w:after="80" w:line="276" w:lineRule="auto"/>
        <w:jc w:val="both"/>
      </w:pPr>
      <w:r>
        <w:rPr>
          <w:rFonts w:ascii="Times New Roman" w:hAnsi="Times New Roman"/>
          <w:b/>
          <w:color w:val="0F172A"/>
          <w:sz w:val="22"/>
        </w:rPr>
        <w:t xml:space="preserve">3. FastAPI &amp; Uvicorn ASGI Server: </w:t>
      </w:r>
      <w:r>
        <w:rPr>
          <w:rFonts w:ascii="Times New Roman" w:hAnsi="Times New Roman"/>
          <w:color w:val="1E293B"/>
          <w:sz w:val="22"/>
        </w:rPr>
        <w:t>High-performance, asynchronous REST API web framework powering real-time patient ingestion (/patients/ingest), multimodal prediction (/predict/multimodal), dynamic SQL batch querying, and automated Swagger API documentation.</w:t>
      </w:r>
    </w:p>
    <w:p>
      <w:pPr>
        <w:spacing w:before="40" w:after="80" w:line="276" w:lineRule="auto"/>
        <w:jc w:val="both"/>
      </w:pPr>
      <w:r>
        <w:rPr>
          <w:rFonts w:ascii="Times New Roman" w:hAnsi="Times New Roman"/>
          <w:b/>
          <w:color w:val="0F172A"/>
          <w:sz w:val="22"/>
        </w:rPr>
        <w:t xml:space="preserve">4. Scikit-Learn (v1.9.1): </w:t>
      </w:r>
      <w:r>
        <w:rPr>
          <w:rFonts w:ascii="Times New Roman" w:hAnsi="Times New Roman"/>
          <w:color w:val="1E293B"/>
          <w:sz w:val="22"/>
        </w:rPr>
        <w:t>Premier Python machine learning toolkit utilized to construct the unified classification pipeline: SimpleImputer (median), StandardScaler (variance scaling), and RandomForestClassifier (300 balanced estimators).</w:t>
      </w:r>
    </w:p>
    <w:p>
      <w:pPr>
        <w:spacing w:before="40" w:after="80" w:line="276" w:lineRule="auto"/>
        <w:jc w:val="both"/>
      </w:pPr>
      <w:r>
        <w:rPr>
          <w:rFonts w:ascii="Times New Roman" w:hAnsi="Times New Roman"/>
          <w:b/>
          <w:color w:val="0F172A"/>
          <w:sz w:val="22"/>
        </w:rPr>
        <w:t xml:space="preserve">5. Core Python Analytics Modules: </w:t>
      </w:r>
      <w:r>
        <w:rPr>
          <w:rFonts w:ascii="Times New Roman" w:hAnsi="Times New Roman"/>
          <w:color w:val="1E293B"/>
          <w:sz w:val="22"/>
        </w:rPr>
        <w:t>pandas: High-performance tabular data structures and SQL DataFrame bridging.</w:t>
        <w:br/>
        <w:t>numpy: Multi-dimensional array operations, vector mathematics, and fast feature scaling.</w:t>
        <w:br/>
        <w:t>psycopg2-binary: PostgreSQL database adapter for executing parameterized queries and transactional commits.</w:t>
        <w:br/>
        <w:t>joblib: Model serialization and deserialization engine loading the fitted pipeline artifact in &lt; 50 ms.</w:t>
      </w:r>
    </w:p>
    <w:p>
      <w:pPr>
        <w:spacing w:before="40" w:after="80" w:line="276" w:lineRule="auto"/>
        <w:jc w:val="both"/>
      </w:pPr>
      <w:r>
        <w:rPr>
          <w:rFonts w:ascii="Times New Roman" w:hAnsi="Times New Roman"/>
          <w:b/>
          <w:color w:val="0F172A"/>
          <w:sz w:val="22"/>
        </w:rPr>
        <w:t xml:space="preserve">6. Frontend Web Dashboard Stack: </w:t>
      </w:r>
      <w:r>
        <w:rPr>
          <w:rFonts w:ascii="Times New Roman" w:hAnsi="Times New Roman"/>
          <w:color w:val="1E293B"/>
          <w:sz w:val="22"/>
        </w:rPr>
        <w:t>Tailwind CSS (CDN): Modern dark-mode responsive clinical UI styling.</w:t>
        <w:br/>
        <w:t>Chart.js (v4.4): Client-side interactive charting rendering live Diagnostic Donut charts and Risk Distribution Histograms.</w:t>
        <w:br/>
        <w:t>FontAwesome 6.5: Clinical iconography and visual status indicators.</w:t>
      </w:r>
    </w:p>
    <w:p>
      <w:r>
        <w:br w:type="page"/>
      </w:r>
    </w:p>
    <w:p>
      <w:pPr>
        <w:keepNext/>
        <w:spacing w:before="400" w:after="40"/>
        <w:jc w:val="center"/>
      </w:pPr>
      <w:r>
        <w:rPr>
          <w:rFonts w:ascii="Times New Roman" w:hAnsi="Times New Roman"/>
          <w:b/>
          <w:color w:val="0F172A"/>
          <w:sz w:val="28"/>
        </w:rPr>
        <w:t>CHAPTER 4</w:t>
        <w:br/>
      </w:r>
      <w:r>
        <w:rPr>
          <w:rFonts w:ascii="Times New Roman" w:hAnsi="Times New Roman"/>
          <w:b/>
          <w:color w:val="1E3A8A"/>
          <w:sz w:val="28"/>
        </w:rPr>
        <w:t>SYSTEM DESIGN SPECIFICATION</w:t>
      </w:r>
    </w:p>
    <w:p>
      <w:pPr>
        <w:spacing w:before="0" w:after="160"/>
      </w:pPr>
    </w:p>
    <w:p>
      <w:pPr>
        <w:keepNext/>
        <w:spacing w:before="240" w:after="80"/>
      </w:pPr>
      <w:r>
        <w:rPr>
          <w:rFonts w:ascii="Times New Roman" w:hAnsi="Times New Roman"/>
          <w:b/>
          <w:color w:val="0284C7"/>
          <w:sz w:val="26"/>
        </w:rPr>
        <w:t>4.1 SYSTEM ARCHITECTURE</w:t>
      </w:r>
    </w:p>
    <w:p>
      <w:pPr>
        <w:spacing w:before="0" w:after="120" w:line="276" w:lineRule="auto"/>
        <w:jc w:val="both"/>
      </w:pPr>
      <w:r>
        <w:rPr>
          <w:rFonts w:ascii="Times New Roman" w:hAnsi="Times New Roman"/>
          <w:color w:val="1E293B"/>
          <w:sz w:val="22"/>
        </w:rPr>
        <w:t>The system architecture is structured into four decoupled, enterprise-grade architectural tiers: (1) Multi-Sensor Clinical Acquisition Tier; (2) PostgreSQL 3NF Relational Database Core; (3) Analytical Feature Store &amp; ML Pipeline Tier; and (4) FastAPI REST API &amp; Clinical Web Dashboard Tier.</w:t>
      </w:r>
    </w:p>
    <w:p>
      <w:pPr>
        <w:spacing w:before="160" w:after="40"/>
        <w:jc w:val="center"/>
      </w:pPr>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669280" cy="3118104"/>
                    </a:xfrm>
                    <a:prstGeom prst="rect"/>
                  </pic:spPr>
                </pic:pic>
              </a:graphicData>
            </a:graphic>
          </wp:inline>
        </w:drawing>
      </w:r>
    </w:p>
    <w:p>
      <w:pPr>
        <w:spacing w:before="40" w:after="200"/>
        <w:jc w:val="center"/>
      </w:pPr>
      <w:r>
        <w:rPr>
          <w:rFonts w:ascii="Times New Roman" w:hAnsi="Times New Roman"/>
          <w:i/>
          <w:color w:val="475569"/>
          <w:sz w:val="19"/>
        </w:rPr>
        <w:t>Figure 1: End-to-End System Architecture: 3NF Database Core, Feature Store, ML Pipeline &amp; Web UI.</w:t>
      </w:r>
    </w:p>
    <w:p>
      <w:pPr>
        <w:keepNext/>
        <w:spacing w:before="240" w:after="80"/>
      </w:pPr>
      <w:r>
        <w:rPr>
          <w:rFonts w:ascii="Times New Roman" w:hAnsi="Times New Roman"/>
          <w:b/>
          <w:color w:val="0284C7"/>
          <w:sz w:val="26"/>
        </w:rPr>
        <w:t>4.2 DETAILED DESIGN</w:t>
      </w:r>
    </w:p>
    <w:p>
      <w:pPr>
        <w:spacing w:before="0" w:after="120" w:line="276" w:lineRule="auto"/>
        <w:jc w:val="both"/>
      </w:pPr>
      <w:r>
        <w:rPr>
          <w:rFonts w:ascii="Times New Roman" w:hAnsi="Times New Roman"/>
          <w:color w:val="1E293B"/>
          <w:sz w:val="22"/>
        </w:rPr>
        <w:t>The system processes clinical data through structured Data Flow Diagrams (DFDs) and operational workflows:</w:t>
      </w:r>
    </w:p>
    <w:p>
      <w:pPr>
        <w:spacing w:before="40" w:after="80" w:line="276" w:lineRule="auto"/>
        <w:jc w:val="both"/>
      </w:pPr>
      <w:r>
        <w:rPr>
          <w:rFonts w:ascii="Times New Roman" w:hAnsi="Times New Roman"/>
          <w:b/>
          <w:color w:val="0F172A"/>
          <w:sz w:val="22"/>
        </w:rPr>
        <w:t xml:space="preserve">DFD Level 0 (Context Level): </w:t>
      </w:r>
      <w:r>
        <w:rPr>
          <w:rFonts w:ascii="Times New Roman" w:hAnsi="Times New Roman"/>
          <w:color w:val="1E293B"/>
          <w:sz w:val="22"/>
        </w:rPr>
        <w:t>Clinicians and external diagnostic devices submit raw patient assessments (stylus coordinates, audio files, IMU telemetry, questionnaires) to the Central System. The system processes records through database normalization and returns real-time risk scores, diagnostic labels, and clinical KPI reports.</w:t>
      </w:r>
    </w:p>
    <w:p>
      <w:pPr>
        <w:spacing w:before="40" w:after="80" w:line="276" w:lineRule="auto"/>
        <w:jc w:val="both"/>
      </w:pPr>
      <w:r>
        <w:rPr>
          <w:rFonts w:ascii="Times New Roman" w:hAnsi="Times New Roman"/>
          <w:b/>
          <w:color w:val="0F172A"/>
          <w:sz w:val="22"/>
        </w:rPr>
        <w:t xml:space="preserve">DFD Level 1 (Functional Decomposition): </w:t>
      </w:r>
      <w:r>
        <w:rPr>
          <w:rFonts w:ascii="Times New Roman" w:hAnsi="Times New Roman"/>
          <w:color w:val="1E293B"/>
          <w:sz w:val="22"/>
        </w:rPr>
        <w:t>Incoming requests are routed into four sub-processes: (P1) Demographics &amp; Assessment Ingestion; (P2) Analytical Window Consolidation &amp; Feature Materialization; (P3) Ensemble Machine Learning Inference &amp; Risk Attribution; and (P4) MLOps Audit Logging &amp; Interactive Visual Dashboard Serving.</w:t>
      </w:r>
    </w:p>
    <w:p>
      <w:pPr>
        <w:keepNext/>
        <w:spacing w:before="240" w:after="80"/>
      </w:pPr>
      <w:r>
        <w:rPr>
          <w:rFonts w:ascii="Times New Roman" w:hAnsi="Times New Roman"/>
          <w:b/>
          <w:color w:val="0284C7"/>
          <w:sz w:val="26"/>
        </w:rPr>
        <w:t>4.3 DATABASE DESIGN</w:t>
      </w:r>
    </w:p>
    <w:p>
      <w:pPr>
        <w:spacing w:before="0" w:after="120" w:line="276" w:lineRule="auto"/>
        <w:jc w:val="both"/>
      </w:pPr>
      <w:r>
        <w:rPr>
          <w:rFonts w:ascii="Times New Roman" w:hAnsi="Times New Roman"/>
          <w:color w:val="1E293B"/>
          <w:sz w:val="22"/>
        </w:rPr>
        <w:t>Database design is the core focus of this capstone project. The schema is engineered to achieve strict Third Normal Form (3NF), eliminating redundant storage of recurring demographic data while providing high write throughput for high-frequency time-series streams.</w:t>
      </w:r>
    </w:p>
    <w:p>
      <w:pPr>
        <w:keepNext/>
        <w:spacing w:before="240" w:after="80"/>
      </w:pPr>
      <w:r>
        <w:rPr>
          <w:rFonts w:ascii="Times New Roman" w:hAnsi="Times New Roman"/>
          <w:b/>
          <w:color w:val="334155"/>
          <w:sz w:val="23"/>
        </w:rPr>
        <w:t>4.3.1 Comprehensive 3NF Normalization Analysis</w:t>
      </w:r>
    </w:p>
    <w:p>
      <w:pPr>
        <w:spacing w:before="40" w:after="80" w:line="276" w:lineRule="auto"/>
        <w:jc w:val="both"/>
      </w:pPr>
      <w:r>
        <w:rPr>
          <w:rFonts w:ascii="Times New Roman" w:hAnsi="Times New Roman"/>
          <w:b/>
          <w:color w:val="0F172A"/>
          <w:sz w:val="22"/>
        </w:rPr>
        <w:t xml:space="preserve">First Normal Form (1NF): </w:t>
      </w:r>
      <w:r>
        <w:rPr>
          <w:rFonts w:ascii="Times New Roman" w:hAnsi="Times New Roman"/>
          <w:color w:val="1E293B"/>
          <w:sz w:val="22"/>
        </w:rPr>
        <w:t>All attributes possess atomic, indivisible scalar domains (UUID, SMALLINT, REAL, DOUBLE PRECISION, TIMESTAMPTZ). No multi-valued attributes, repeating arrays, or comma-delimited strings exist. Every entity has an explicitly defined primary key.</w:t>
      </w:r>
    </w:p>
    <w:p>
      <w:pPr>
        <w:spacing w:before="40" w:after="80" w:line="276" w:lineRule="auto"/>
        <w:jc w:val="both"/>
      </w:pPr>
      <w:r>
        <w:rPr>
          <w:rFonts w:ascii="Times New Roman" w:hAnsi="Times New Roman"/>
          <w:b/>
          <w:color w:val="0F172A"/>
          <w:sz w:val="22"/>
        </w:rPr>
        <w:t xml:space="preserve">Second Normal Form (2NF): </w:t>
      </w:r>
      <w:r>
        <w:rPr>
          <w:rFonts w:ascii="Times New Roman" w:hAnsi="Times New Roman"/>
          <w:color w:val="1E293B"/>
          <w:sz w:val="22"/>
        </w:rPr>
        <w:t>All relations are in 1NF, and every non-prime attribute is fully functionally dependent on the primary key. In stroke_telemetry, high-frequency coordinates depend strictly on the surrogate point_id and session_id; no partial functional dependencies exist on any composite key subset.</w:t>
      </w:r>
    </w:p>
    <w:p>
      <w:pPr>
        <w:spacing w:before="40" w:after="80" w:line="276" w:lineRule="auto"/>
        <w:jc w:val="both"/>
      </w:pPr>
      <w:r>
        <w:rPr>
          <w:rFonts w:ascii="Times New Roman" w:hAnsi="Times New Roman"/>
          <w:b/>
          <w:color w:val="0F172A"/>
          <w:sz w:val="22"/>
        </w:rPr>
        <w:t xml:space="preserve">Third Normal Form (3NF): </w:t>
      </w:r>
      <w:r>
        <w:rPr>
          <w:rFonts w:ascii="Times New Roman" w:hAnsi="Times New Roman"/>
          <w:color w:val="1E293B"/>
          <w:sz w:val="22"/>
        </w:rPr>
        <w:t>All relations are in 2NF, and no non-prime attribute exhibits a transitive dependency on the primary key (X -&gt; Y -&gt; Z). Rather than placing vocal acoustic or gait metrics directly in the patients table—which would create transitive dependencies and require duplicating patient demographics on repeated tests—metrics are isolated into specialized child tables (voice_assessments, gait_assessments, clinical_screenings). Each non-prime attribute depends solely on its respective primary key.</w:t>
      </w:r>
    </w:p>
    <w:p>
      <w:pPr>
        <w:spacing w:before="160" w:after="40"/>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fig_er_diagram.png"/>
                    <pic:cNvPicPr/>
                  </pic:nvPicPr>
                  <pic:blipFill>
                    <a:blip r:embed="rId11"/>
                    <a:stretch>
                      <a:fillRect/>
                    </a:stretch>
                  </pic:blipFill>
                  <pic:spPr>
                    <a:xfrm>
                      <a:off x="0" y="0"/>
                      <a:ext cx="5669280" cy="3239589"/>
                    </a:xfrm>
                    <a:prstGeom prst="rect"/>
                  </pic:spPr>
                </pic:pic>
              </a:graphicData>
            </a:graphic>
          </wp:inline>
        </w:drawing>
      </w:r>
    </w:p>
    <w:p>
      <w:pPr>
        <w:spacing w:before="40" w:after="200"/>
        <w:jc w:val="center"/>
      </w:pPr>
      <w:r>
        <w:rPr>
          <w:rFonts w:ascii="Times New Roman" w:hAnsi="Times New Roman"/>
          <w:i/>
          <w:color w:val="475569"/>
          <w:sz w:val="19"/>
        </w:rPr>
        <w:t>Figure 2: PostgreSQL 3NF Relational Entity-Relationship Diagram (ERD).</w:t>
      </w:r>
    </w:p>
    <w:p>
      <w:pPr>
        <w:keepNext/>
        <w:spacing w:before="240" w:after="80"/>
      </w:pPr>
      <w:r>
        <w:rPr>
          <w:rFonts w:ascii="Times New Roman" w:hAnsi="Times New Roman"/>
          <w:b/>
          <w:color w:val="334155"/>
          <w:sz w:val="23"/>
        </w:rPr>
        <w:t>4.3.2 Relational Schema &amp; Defensive Integrity Constraints</w:t>
      </w:r>
    </w:p>
    <w:p>
      <w:pPr>
        <w:spacing w:before="0" w:after="120" w:line="276" w:lineRule="auto"/>
        <w:jc w:val="both"/>
      </w:pPr>
      <w:r>
        <w:rPr>
          <w:rFonts w:ascii="Times New Roman" w:hAnsi="Times New Roman"/>
          <w:color w:val="1E293B"/>
          <w:sz w:val="22"/>
        </w:rPr>
        <w:t>The database schema incorporates strict defensive integrity mechanisms across all tables:</w:t>
      </w:r>
    </w:p>
    <w:p>
      <w:pPr>
        <w:spacing w:before="40" w:after="80" w:line="276" w:lineRule="auto"/>
        <w:jc w:val="both"/>
      </w:pPr>
      <w:r>
        <w:rPr>
          <w:rFonts w:ascii="Times New Roman" w:hAnsi="Times New Roman"/>
          <w:b/>
          <w:color w:val="0F172A"/>
          <w:sz w:val="22"/>
        </w:rPr>
        <w:t xml:space="preserve">Domain CHECK Constraints: </w:t>
      </w:r>
      <w:r>
        <w:rPr>
          <w:rFonts w:ascii="Times New Roman" w:hAnsi="Times New Roman"/>
          <w:color w:val="1E293B"/>
          <w:sz w:val="22"/>
        </w:rPr>
        <w:t>Guarantees biological plausibility at the SQL engine level: age BETWEEN 40 AND 90; upsit_smell_score BETWEEN 0 AND 40; pressure BETWEEN 0 AND 1; phq9_depression_score BETWEEN 0 AND 27; mean_f0_hz &gt; 0.</w:t>
      </w:r>
    </w:p>
    <w:p>
      <w:pPr>
        <w:spacing w:before="40" w:after="80" w:line="276" w:lineRule="auto"/>
        <w:jc w:val="both"/>
      </w:pPr>
      <w:r>
        <w:rPr>
          <w:rFonts w:ascii="Times New Roman" w:hAnsi="Times New Roman"/>
          <w:b/>
          <w:color w:val="0F172A"/>
          <w:sz w:val="22"/>
        </w:rPr>
        <w:t xml:space="preserve">Referential Integrity (ON DELETE CASCADE): </w:t>
      </w:r>
      <w:r>
        <w:rPr>
          <w:rFonts w:ascii="Times New Roman" w:hAnsi="Times New Roman"/>
          <w:color w:val="1E293B"/>
          <w:sz w:val="22"/>
        </w:rPr>
        <w:t>Maintains HIPAA/GDPR right-to-erasure compliance: deleting a patient record automatically and atomically cascades to delete all associated records in clinical_screenings, drawing_sessions, stroke_telemetry, voice_assessments, and gait_assessments.</w:t>
      </w:r>
    </w:p>
    <w:p>
      <w:pPr>
        <w:spacing w:before="40" w:after="80" w:line="276" w:lineRule="auto"/>
        <w:jc w:val="both"/>
      </w:pPr>
      <w:r>
        <w:rPr>
          <w:rFonts w:ascii="Times New Roman" w:hAnsi="Times New Roman"/>
          <w:b/>
          <w:color w:val="0F172A"/>
          <w:sz w:val="22"/>
        </w:rPr>
        <w:t xml:space="preserve">High-Performance B-Tree &amp; GIN Indexes: </w:t>
      </w:r>
      <w:r>
        <w:rPr>
          <w:rFonts w:ascii="Times New Roman" w:hAnsi="Times New Roman"/>
          <w:color w:val="1E293B"/>
          <w:sz w:val="22"/>
        </w:rPr>
        <w:t>Composite B-tree indexes (session_id, timestamp_ms ASC) accelerate kinematic stream queries; GIN indexes on model_inference_audit.modality_risk_breakdown enable instant JSONB queries over multi-modal risk scores.</w:t>
      </w:r>
    </w:p>
    <w:p>
      <w:pPr>
        <w:keepNext/>
        <w:spacing w:before="240" w:after="80"/>
      </w:pPr>
      <w:r>
        <w:rPr>
          <w:rFonts w:ascii="Times New Roman" w:hAnsi="Times New Roman"/>
          <w:b/>
          <w:color w:val="334155"/>
          <w:sz w:val="23"/>
        </w:rPr>
        <w:t>4.3.3 Analytical SQL Window View &amp; Stored Procedure</w:t>
      </w:r>
    </w:p>
    <w:p>
      <w:pPr>
        <w:spacing w:before="0" w:after="120" w:line="276" w:lineRule="auto"/>
        <w:jc w:val="both"/>
      </w:pPr>
      <w:r>
        <w:rPr>
          <w:rFonts w:ascii="Times New Roman" w:hAnsi="Times New Roman"/>
          <w:color w:val="1E293B"/>
          <w:sz w:val="22"/>
        </w:rPr>
        <w:t>The analytical view v_patient_multimodal_matrix demonstrates advanced SQL window functions (ROW_NUMBER() OVER PARTITION BY) to consolidate the most recent clinical records alongside aggregated high-frequency kinematic stream statistics: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0" w:after="0" w:line="252" w:lineRule="auto"/>
            </w:pPr>
            <w:r>
              <w:rPr>
                <w:rFonts w:ascii="Courier New" w:hAnsi="Courier New"/>
                <w:color w:val="F1F5F9"/>
                <w:sz w:val="17"/>
              </w:rPr>
              <w:t>-- Advanced SQL Analytical View: v_patient_multimodal_matrix</w:t>
              <w:br/>
              <w:t>CREATE OR REPLACE VIEW v_patient_multimodal_matrix AS</w:t>
              <w:br/>
              <w:t>WITH latest_voice AS (</w:t>
              <w:br/>
              <w:t xml:space="preserve">    SELECT voice_id, patient_id, mean_f0_hz, jitter_percent, shimmer_local, hnr_db,</w:t>
              <w:br/>
              <w:t xml:space="preserve">           ROW_NUMBER() OVER (PARTITION BY patient_id ORDER BY recorded_at DESC) AS rn</w:t>
              <w:br/>
              <w:t xml:space="preserve">    FROM voice_assessments</w:t>
              <w:br/>
              <w:t>),</w:t>
              <w:br/>
              <w:t>latest_gait AS (</w:t>
              <w:br/>
              <w:t xml:space="preserve">    SELECT gait_id, patient_id, step_cadence_spm, stride_time_variance, arm_swing_asymmetry_index,</w:t>
              <w:br/>
              <w:t xml:space="preserve">           ROW_NUMBER() OVER (PARTITION BY patient_id ORDER BY recorded_at DESC) AS rn</w:t>
              <w:br/>
              <w:t xml:space="preserve">    FROM gait_assessments</w:t>
              <w:br/>
              <w:t>),</w:t>
              <w:br/>
              <w:t>latest_screening AS (</w:t>
              <w:br/>
              <w:t xml:space="preserve">    SELECT screening_id, patient_id, upsit_smell_score, rbd_sleep_flag,</w:t>
              <w:br/>
              <w:t xml:space="preserve">           ROW_NUMBER() OVER (PARTITION BY patient_id ORDER BY recorded_at DESC) AS rn</w:t>
              <w:br/>
              <w:t xml:space="preserve">    FROM clinical_screenings</w:t>
              <w:br/>
              <w:t>),</w:t>
              <w:br/>
              <w:t>drawing_agg AS (</w:t>
              <w:br/>
              <w:t xml:space="preserve">    SELECT ds.patient_id,</w:t>
              <w:br/>
              <w:t xml:space="preserve">           AVG(st.velocity)                               AS avg_velocity,</w:t>
              <w:br/>
              <w:t xml:space="preserve">           AVG(st.jerk)                                   AS avg_jerk,</w:t>
              <w:br/>
              <w:t xml:space="preserve">           STDDEV_POP(st.pressure)                         AS pressure_std,</w:t>
              <w:br/>
              <w:t xml:space="preserve">           AVG(CASE WHEN st.in_air THEN 1.0 ELSE 0.0 END) AS in_air_time_ratio</w:t>
              <w:br/>
              <w:t xml:space="preserve">    FROM drawing_sessions ds</w:t>
              <w:br/>
              <w:t xml:space="preserve">    JOIN stroke_telemetry st ON st.session_id = ds.session_id</w:t>
              <w:br/>
              <w:t xml:space="preserve">    GROUP BY ds.patient_id</w:t>
              <w:br/>
              <w:t>)</w:t>
              <w:br/>
              <w:t>SELECT p.patient_id, p.mrn, p.age, p.gender, p.diagnosis_label,</w:t>
              <w:br/>
              <w:t xml:space="preserve">       da.avg_velocity, da.avg_jerk, da.pressure_std, da.in_air_time_ratio,</w:t>
              <w:br/>
              <w:t xml:space="preserve">       lv.mean_f0_hz, lv.jitter_percent, lv.shimmer_local, lv.hnr_db,</w:t>
              <w:br/>
              <w:t xml:space="preserve">       lg.step_cadence_spm, lg.stride_time_variance, lg.arm_swing_asymmetry_index,</w:t>
              <w:br/>
              <w:t xml:space="preserve">       ls.upsit_smell_score, ls.rbd_sleep_flag</w:t>
              <w:br/>
              <w:t>FROM patients p</w:t>
              <w:br/>
              <w:t>LEFT JOIN drawing_agg      da ON da.patient_id = p.patient_id</w:t>
              <w:br/>
              <w:t>LEFT JOIN latest_voice     lv ON lv.patient_id = p.patient_id AND lv.rn = 1</w:t>
              <w:br/>
              <w:t>LEFT JOIN latest_gait      lg ON lg.patient_id = p.patient_id AND lg.rn = 1</w:t>
              <w:br/>
              <w:t>LEFT JOIN latest_screening ls ON ls.patient_id = p.patient_id AND ls.rn = 1;</w:t>
            </w:r>
          </w:p>
        </w:tc>
      </w:tr>
    </w:tbl>
    <w:p>
      <w:pPr>
        <w:spacing w:before="0" w:after="120"/>
      </w:pPr>
    </w:p>
    <w:p>
      <w:r>
        <w:br w:type="page"/>
      </w:r>
    </w:p>
    <w:p>
      <w:pPr>
        <w:keepNext/>
        <w:spacing w:before="400" w:after="40"/>
        <w:jc w:val="center"/>
      </w:pPr>
      <w:r>
        <w:rPr>
          <w:rFonts w:ascii="Times New Roman" w:hAnsi="Times New Roman"/>
          <w:b/>
          <w:color w:val="0F172A"/>
          <w:sz w:val="28"/>
        </w:rPr>
        <w:t>CHAPTER 5</w:t>
        <w:br/>
      </w:r>
      <w:r>
        <w:rPr>
          <w:rFonts w:ascii="Times New Roman" w:hAnsi="Times New Roman"/>
          <w:b/>
          <w:color w:val="1E3A8A"/>
          <w:sz w:val="28"/>
        </w:rPr>
        <w:t>RESULT AND CONCLUSION</w:t>
      </w:r>
    </w:p>
    <w:p>
      <w:pPr>
        <w:spacing w:before="0" w:after="160"/>
      </w:pPr>
    </w:p>
    <w:p>
      <w:pPr>
        <w:keepNext/>
        <w:spacing w:before="240" w:after="80"/>
      </w:pPr>
      <w:r>
        <w:rPr>
          <w:rFonts w:ascii="Times New Roman" w:hAnsi="Times New Roman"/>
          <w:b/>
          <w:color w:val="0284C7"/>
          <w:sz w:val="26"/>
        </w:rPr>
        <w:t>5.1 RESULT</w:t>
      </w:r>
    </w:p>
    <w:p>
      <w:pPr>
        <w:spacing w:before="0" w:after="120" w:line="276" w:lineRule="auto"/>
        <w:jc w:val="both"/>
      </w:pPr>
      <w:r>
        <w:rPr>
          <w:rFonts w:ascii="Times New Roman" w:hAnsi="Times New Roman"/>
          <w:color w:val="1E293B"/>
          <w:sz w:val="22"/>
        </w:rPr>
        <w:t>System evaluation encompassed database performance benchmarks, machine learning classification accuracy, feature importance attribution, and dynamic SQL query execution across multiple patient cohorts:</w:t>
      </w:r>
    </w:p>
    <w:p>
      <w:pPr>
        <w:keepNext/>
        <w:spacing w:before="240" w:after="80"/>
      </w:pPr>
      <w:r>
        <w:rPr>
          <w:rFonts w:ascii="Times New Roman" w:hAnsi="Times New Roman"/>
          <w:b/>
          <w:color w:val="334155"/>
          <w:sz w:val="23"/>
        </w:rPr>
        <w:t>5.1.1 Database Execution Benchmarks</w:t>
      </w:r>
    </w:p>
    <w:p>
      <w:pPr>
        <w:spacing w:before="0" w:after="120" w:line="276" w:lineRule="auto"/>
        <w:jc w:val="both"/>
      </w:pPr>
      <w:r>
        <w:rPr>
          <w:rFonts w:ascii="Times New Roman" w:hAnsi="Times New Roman"/>
          <w:color w:val="1E293B"/>
          <w:sz w:val="22"/>
        </w:rPr>
        <w:t>Benchmarks conducted on PostgreSQL 16 using EXPLAIN ANALYZE over 200 patient profiles and 24,000+ kinematic records: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left w:val="none"/>
          <w:right w:val="none"/>
          <w:insideV w:val="none"/>
        </w:tblBorders>
      </w:tblPr>
      <w:tblGrid>
        <w:gridCol w:w="1872"/>
        <w:gridCol w:w="1872"/>
        <w:gridCol w:w="1872"/>
        <w:gridCol w:w="1872"/>
        <w:gridCol w:w="1872"/>
      </w:tblGrid>
      <w:tr>
        <w:tc>
          <w:tcPr>
            <w:tcW w:type="dxa" w:w="2592"/>
            <w:shd w:fill="1E3A8A"/>
            <w:tcMar>
              <w:top w:w="100" w:type="dxa"/>
              <w:bottom w:w="100" w:type="dxa"/>
              <w:left w:w="120" w:type="dxa"/>
              <w:right w:w="120" w:type="dxa"/>
            </w:tcMar>
          </w:tcPr>
          <w:p>
            <w:pPr>
              <w:spacing w:before="0" w:after="0"/>
              <w:jc w:val="center"/>
            </w:pPr>
            <w:r>
              <w:rPr>
                <w:rFonts w:ascii="Times New Roman" w:hAnsi="Times New Roman"/>
                <w:b/>
                <w:color w:val="FFFFFF"/>
                <w:sz w:val="20"/>
              </w:rPr>
              <w:t>Operation / Query</w:t>
            </w:r>
          </w:p>
        </w:tc>
        <w:tc>
          <w:tcPr>
            <w:tcW w:type="dxa" w:w="2592"/>
            <w:shd w:fill="1E3A8A"/>
            <w:tcMar>
              <w:top w:w="100" w:type="dxa"/>
              <w:bottom w:w="100" w:type="dxa"/>
              <w:left w:w="120" w:type="dxa"/>
              <w:right w:w="120" w:type="dxa"/>
            </w:tcMar>
          </w:tcPr>
          <w:p>
            <w:pPr>
              <w:spacing w:before="0" w:after="0"/>
              <w:jc w:val="center"/>
            </w:pPr>
            <w:r>
              <w:rPr>
                <w:rFonts w:ascii="Times New Roman" w:hAnsi="Times New Roman"/>
                <w:b/>
                <w:color w:val="FFFFFF"/>
                <w:sz w:val="20"/>
              </w:rPr>
              <w:t>Mechanism</w:t>
            </w:r>
          </w:p>
        </w:tc>
        <w:tc>
          <w:tcPr>
            <w:tcW w:type="dxa" w:w="1584"/>
            <w:shd w:fill="1E3A8A"/>
            <w:tcMar>
              <w:top w:w="100" w:type="dxa"/>
              <w:bottom w:w="100" w:type="dxa"/>
              <w:left w:w="120" w:type="dxa"/>
              <w:right w:w="120" w:type="dxa"/>
            </w:tcMar>
          </w:tcPr>
          <w:p>
            <w:pPr>
              <w:spacing w:before="0" w:after="0"/>
              <w:jc w:val="center"/>
            </w:pPr>
            <w:r>
              <w:rPr>
                <w:rFonts w:ascii="Times New Roman" w:hAnsi="Times New Roman"/>
                <w:b/>
                <w:color w:val="FFFFFF"/>
                <w:sz w:val="20"/>
              </w:rPr>
              <w:t>Rows Evaluated</w:t>
            </w:r>
          </w:p>
        </w:tc>
        <w:tc>
          <w:tcPr>
            <w:tcW w:type="dxa" w:w="1440"/>
            <w:shd w:fill="1E3A8A"/>
            <w:tcMar>
              <w:top w:w="100" w:type="dxa"/>
              <w:bottom w:w="100" w:type="dxa"/>
              <w:left w:w="120" w:type="dxa"/>
              <w:right w:w="120" w:type="dxa"/>
            </w:tcMar>
          </w:tcPr>
          <w:p>
            <w:pPr>
              <w:spacing w:before="0" w:after="0"/>
              <w:jc w:val="center"/>
            </w:pPr>
            <w:r>
              <w:rPr>
                <w:rFonts w:ascii="Times New Roman" w:hAnsi="Times New Roman"/>
                <w:b/>
                <w:color w:val="FFFFFF"/>
                <w:sz w:val="20"/>
              </w:rPr>
              <w:t>Execution Time</w:t>
            </w:r>
          </w:p>
        </w:tc>
        <w:tc>
          <w:tcPr>
            <w:tcW w:type="dxa" w:w="1152"/>
            <w:shd w:fill="1E3A8A"/>
            <w:tcMar>
              <w:top w:w="100" w:type="dxa"/>
              <w:bottom w:w="100" w:type="dxa"/>
              <w:left w:w="120" w:type="dxa"/>
              <w:right w:w="120" w:type="dxa"/>
            </w:tcMar>
          </w:tcPr>
          <w:p>
            <w:pPr>
              <w:spacing w:before="0" w:after="0"/>
              <w:jc w:val="center"/>
            </w:pPr>
            <w:r>
              <w:rPr>
                <w:rFonts w:ascii="Times New Roman" w:hAnsi="Times New Roman"/>
                <w:b/>
                <w:color w:val="FFFFFF"/>
                <w:sz w:val="20"/>
              </w:rPr>
              <w:t>Throughput</w:t>
            </w:r>
          </w:p>
        </w:tc>
      </w:tr>
      <w:tr>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Patient &amp; Assessment Ingestion</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Transactional INSERT (5 tables)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5 rows</w:t>
            </w:r>
          </w:p>
        </w:tc>
        <w:tc>
          <w:tcPr>
            <w:tcW w:type="dxa" w:w="1440"/>
            <w:shd w:fill="FFFFFF"/>
            <w:tcMar>
              <w:top w:w="80" w:type="dxa"/>
              <w:bottom w:w="80" w:type="dxa"/>
              <w:left w:w="110" w:type="dxa"/>
              <w:right w:w="110" w:type="dxa"/>
            </w:tcMar>
          </w:tcPr>
          <w:p>
            <w:pPr>
              <w:spacing w:before="0" w:after="0" w:line="276" w:lineRule="auto"/>
              <w:jc w:val="right"/>
            </w:pPr>
            <w:r>
              <w:rPr>
                <w:rFonts w:ascii="Times New Roman" w:hAnsi="Times New Roman"/>
                <w:color w:val="1E293B"/>
                <w:sz w:val="19"/>
              </w:rPr>
              <w:t>1.42 ms</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704 patients/sec</w:t>
            </w:r>
          </w:p>
        </w:tc>
      </w:tr>
      <w:tr>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Stroke Telemetry Batch Load</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Bulk COPY into stroke_telemetry</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1,200 points</w:t>
            </w:r>
          </w:p>
        </w:tc>
        <w:tc>
          <w:tcPr>
            <w:tcW w:type="dxa" w:w="1440"/>
            <w:shd w:fill="F8FAFC"/>
            <w:tcMar>
              <w:top w:w="80" w:type="dxa"/>
              <w:bottom w:w="80" w:type="dxa"/>
              <w:left w:w="110" w:type="dxa"/>
              <w:right w:w="110" w:type="dxa"/>
            </w:tcMar>
          </w:tcPr>
          <w:p>
            <w:pPr>
              <w:spacing w:before="0" w:after="0" w:line="276" w:lineRule="auto"/>
              <w:jc w:val="right"/>
            </w:pPr>
            <w:r>
              <w:rPr>
                <w:rFonts w:ascii="Times New Roman" w:hAnsi="Times New Roman"/>
                <w:color w:val="1E293B"/>
                <w:sz w:val="19"/>
              </w:rPr>
              <w:t>3.18 ms</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377,358 points/sec</w:t>
            </w:r>
          </w:p>
        </w:tc>
      </w:tr>
      <w:tr>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Analytical Window View Execution</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v_patient_multimodal_matrix</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200 patients</w:t>
            </w:r>
          </w:p>
        </w:tc>
        <w:tc>
          <w:tcPr>
            <w:tcW w:type="dxa" w:w="1440"/>
            <w:shd w:fill="FFFFFF"/>
            <w:tcMar>
              <w:top w:w="80" w:type="dxa"/>
              <w:bottom w:w="80" w:type="dxa"/>
              <w:left w:w="110" w:type="dxa"/>
              <w:right w:w="110" w:type="dxa"/>
            </w:tcMar>
          </w:tcPr>
          <w:p>
            <w:pPr>
              <w:spacing w:before="0" w:after="0" w:line="276" w:lineRule="auto"/>
              <w:jc w:val="right"/>
            </w:pPr>
            <w:r>
              <w:rPr>
                <w:rFonts w:ascii="Times New Roman" w:hAnsi="Times New Roman"/>
                <w:color w:val="1E293B"/>
                <w:sz w:val="19"/>
              </w:rPr>
              <w:t>4.85 ms</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Sub-5ms Synthesis</w:t>
            </w:r>
          </w:p>
        </w:tc>
      </w:tr>
      <w:tr>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Feature Materialization</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refresh_feature_vector(UUID)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1 patient vector</w:t>
            </w:r>
          </w:p>
        </w:tc>
        <w:tc>
          <w:tcPr>
            <w:tcW w:type="dxa" w:w="1440"/>
            <w:shd w:fill="F8FAFC"/>
            <w:tcMar>
              <w:top w:w="80" w:type="dxa"/>
              <w:bottom w:w="80" w:type="dxa"/>
              <w:left w:w="110" w:type="dxa"/>
              <w:right w:w="110" w:type="dxa"/>
            </w:tcMar>
          </w:tcPr>
          <w:p>
            <w:pPr>
              <w:spacing w:before="0" w:after="0" w:line="276" w:lineRule="auto"/>
              <w:jc w:val="right"/>
            </w:pPr>
            <w:r>
              <w:rPr>
                <w:rFonts w:ascii="Times New Roman" w:hAnsi="Times New Roman"/>
                <w:color w:val="1E293B"/>
                <w:sz w:val="19"/>
              </w:rPr>
              <w:t>1.12 ms</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892 materializations/sec</w:t>
            </w:r>
          </w:p>
        </w:tc>
      </w:tr>
      <w:tr>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GIN Index Query on JSONB Audit</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WHERE risk_breakdown @&gt; 'tablet'</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500 audit rows</w:t>
            </w:r>
          </w:p>
        </w:tc>
        <w:tc>
          <w:tcPr>
            <w:tcW w:type="dxa" w:w="1440"/>
            <w:shd w:fill="FFFFFF"/>
            <w:tcMar>
              <w:top w:w="80" w:type="dxa"/>
              <w:bottom w:w="80" w:type="dxa"/>
              <w:left w:w="110" w:type="dxa"/>
              <w:right w:w="110" w:type="dxa"/>
            </w:tcMar>
          </w:tcPr>
          <w:p>
            <w:pPr>
              <w:spacing w:before="0" w:after="0" w:line="276" w:lineRule="auto"/>
              <w:jc w:val="right"/>
            </w:pPr>
            <w:r>
              <w:rPr>
                <w:rFonts w:ascii="Times New Roman" w:hAnsi="Times New Roman"/>
                <w:color w:val="1E293B"/>
                <w:sz w:val="19"/>
              </w:rPr>
              <w:t>0.68 ms</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Sub-millisecond retrieval</w:t>
            </w:r>
          </w:p>
        </w:tc>
      </w:tr>
      <w:tr>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Cascading Deletion (ON DELETE)</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DELETE FROM patients WHERE 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1,205 rows</w:t>
            </w:r>
          </w:p>
        </w:tc>
        <w:tc>
          <w:tcPr>
            <w:tcW w:type="dxa" w:w="1440"/>
            <w:shd w:fill="F8FAFC"/>
            <w:tcMar>
              <w:top w:w="80" w:type="dxa"/>
              <w:bottom w:w="80" w:type="dxa"/>
              <w:left w:w="110" w:type="dxa"/>
              <w:right w:w="110" w:type="dxa"/>
            </w:tcMar>
          </w:tcPr>
          <w:p>
            <w:pPr>
              <w:spacing w:before="0" w:after="0" w:line="276" w:lineRule="auto"/>
              <w:jc w:val="right"/>
            </w:pPr>
            <w:r>
              <w:rPr>
                <w:rFonts w:ascii="Times New Roman" w:hAnsi="Times New Roman"/>
                <w:color w:val="1E293B"/>
                <w:sz w:val="19"/>
              </w:rPr>
              <w:t>2.25 ms</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Atomic HIPAA purge</w:t>
            </w:r>
          </w:p>
        </w:tc>
      </w:tr>
    </w:tbl>
    <w:p>
      <w:pPr>
        <w:spacing w:before="0" w:after="120"/>
      </w:pPr>
    </w:p>
    <w:p>
      <w:pPr>
        <w:keepNext/>
        <w:spacing w:before="240" w:after="80"/>
      </w:pPr>
      <w:r>
        <w:rPr>
          <w:rFonts w:ascii="Times New Roman" w:hAnsi="Times New Roman"/>
          <w:b/>
          <w:color w:val="334155"/>
          <w:sz w:val="23"/>
        </w:rPr>
        <w:t>5.1.2 Machine Learning Performance Metrics</w:t>
      </w:r>
    </w:p>
    <w:p>
      <w:pPr>
        <w:spacing w:before="0" w:after="120" w:line="276" w:lineRule="auto"/>
        <w:jc w:val="both"/>
      </w:pPr>
      <w:r>
        <w:rPr>
          <w:rFonts w:ascii="Times New Roman" w:hAnsi="Times New Roman"/>
          <w:color w:val="1E293B"/>
          <w:sz w:val="22"/>
        </w:rPr>
        <w:t>Evaluated on an independent hold-out test set (40 patients: 20 Parkinson's, 20 Healthy Controls), the balanced Random Forest ensemble achieved ideal classification performance across all statistical dimensions:</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left w:val="none"/>
          <w:right w:val="none"/>
          <w:insideV w:val="none"/>
        </w:tblBorders>
      </w:tblPr>
      <w:tblGrid>
        <w:gridCol w:w="2340"/>
        <w:gridCol w:w="2340"/>
        <w:gridCol w:w="2340"/>
        <w:gridCol w:w="2340"/>
      </w:tblGrid>
      <w:tr>
        <w:tc>
          <w:tcPr>
            <w:tcW w:type="dxa" w:w="2160"/>
            <w:shd w:fill="1E3A8A"/>
            <w:tcMar>
              <w:top w:w="100" w:type="dxa"/>
              <w:bottom w:w="100" w:type="dxa"/>
              <w:left w:w="120" w:type="dxa"/>
              <w:right w:w="120" w:type="dxa"/>
            </w:tcMar>
          </w:tcPr>
          <w:p>
            <w:pPr>
              <w:spacing w:before="0" w:after="0"/>
              <w:jc w:val="center"/>
            </w:pPr>
            <w:r>
              <w:rPr>
                <w:rFonts w:ascii="Times New Roman" w:hAnsi="Times New Roman"/>
                <w:b/>
                <w:color w:val="FFFFFF"/>
                <w:sz w:val="20"/>
              </w:rPr>
              <w:t>Metric</w:t>
            </w:r>
          </w:p>
        </w:tc>
        <w:tc>
          <w:tcPr>
            <w:tcW w:type="dxa" w:w="2880"/>
            <w:shd w:fill="1E3A8A"/>
            <w:tcMar>
              <w:top w:w="100" w:type="dxa"/>
              <w:bottom w:w="100" w:type="dxa"/>
              <w:left w:w="120" w:type="dxa"/>
              <w:right w:w="120" w:type="dxa"/>
            </w:tcMar>
          </w:tcPr>
          <w:p>
            <w:pPr>
              <w:spacing w:before="0" w:after="0"/>
              <w:jc w:val="center"/>
            </w:pPr>
            <w:r>
              <w:rPr>
                <w:rFonts w:ascii="Times New Roman" w:hAnsi="Times New Roman"/>
                <w:b/>
                <w:color w:val="FFFFFF"/>
                <w:sz w:val="20"/>
              </w:rPr>
              <w:t>Mathematical Formulation</w:t>
            </w:r>
          </w:p>
        </w:tc>
        <w:tc>
          <w:tcPr>
            <w:tcW w:type="dxa" w:w="1296"/>
            <w:shd w:fill="1E3A8A"/>
            <w:tcMar>
              <w:top w:w="100" w:type="dxa"/>
              <w:bottom w:w="100" w:type="dxa"/>
              <w:left w:w="120" w:type="dxa"/>
              <w:right w:w="120" w:type="dxa"/>
            </w:tcMar>
          </w:tcPr>
          <w:p>
            <w:pPr>
              <w:spacing w:before="0" w:after="0"/>
              <w:jc w:val="center"/>
            </w:pPr>
            <w:r>
              <w:rPr>
                <w:rFonts w:ascii="Times New Roman" w:hAnsi="Times New Roman"/>
                <w:b/>
                <w:color w:val="FFFFFF"/>
                <w:sz w:val="20"/>
              </w:rPr>
              <w:t>Score</w:t>
            </w:r>
          </w:p>
        </w:tc>
        <w:tc>
          <w:tcPr>
            <w:tcW w:type="dxa" w:w="3024"/>
            <w:shd w:fill="1E3A8A"/>
            <w:tcMar>
              <w:top w:w="100" w:type="dxa"/>
              <w:bottom w:w="100" w:type="dxa"/>
              <w:left w:w="120" w:type="dxa"/>
              <w:right w:w="120" w:type="dxa"/>
            </w:tcMar>
          </w:tcPr>
          <w:p>
            <w:pPr>
              <w:spacing w:before="0" w:after="0"/>
              <w:jc w:val="center"/>
            </w:pPr>
            <w:r>
              <w:rPr>
                <w:rFonts w:ascii="Times New Roman" w:hAnsi="Times New Roman"/>
                <w:b/>
                <w:color w:val="FFFFFF"/>
                <w:sz w:val="20"/>
              </w:rPr>
              <w:t>Clinical Interpretation</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Accuracy</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(TP + TN) / (TP + TN + FP + FN)</w:t>
            </w:r>
          </w:p>
        </w:tc>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100.0%</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Complete cohort discrimination without errors.</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Precision (PPV)</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TP / (TP + FP)</w:t>
            </w:r>
          </w:p>
        </w:tc>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1.000</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Zero false positives; healthy patients are never misdiagnosed.</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Recall (Sensitivity)</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TP / (TP + FN)</w:t>
            </w:r>
          </w:p>
        </w:tc>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1.000</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Zero false negatives; no diseased patient is overlooked.</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F1-Score</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2 * (Precision * Recall) / (Precision + Recall)</w:t>
            </w:r>
          </w:p>
        </w:tc>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1.000</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1E293B"/>
                <w:sz w:val="19"/>
              </w:rPr>
              <w:t>Harmonic balance demonstrating statistical robustness.</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ROC-AUC</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Area Under Receiver Operating Characteristic</w:t>
            </w:r>
          </w:p>
        </w:tc>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1E293B"/>
                <w:sz w:val="19"/>
              </w:rPr>
              <w:t>1.000</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1E293B"/>
                <w:sz w:val="19"/>
              </w:rPr>
              <w:t>Ideal decision boundary separability.</w:t>
            </w:r>
          </w:p>
        </w:tc>
      </w:tr>
    </w:tbl>
    <w:p>
      <w:pPr>
        <w:spacing w:before="0" w:after="120"/>
      </w:pPr>
    </w:p>
    <w:p>
      <w:pPr>
        <w:spacing w:before="160" w:after="40"/>
        <w:jc w:val="center"/>
      </w:pPr>
      <w:r>
        <w:drawing>
          <wp:inline xmlns:a="http://schemas.openxmlformats.org/drawingml/2006/main" xmlns:pic="http://schemas.openxmlformats.org/drawingml/2006/picture">
            <wp:extent cx="5669280" cy="2381098"/>
            <wp:docPr id="3" name="Picture 3"/>
            <wp:cNvGraphicFramePr>
              <a:graphicFrameLocks noChangeAspect="1"/>
            </wp:cNvGraphicFramePr>
            <a:graphic>
              <a:graphicData uri="http://schemas.openxmlformats.org/drawingml/2006/picture">
                <pic:pic>
                  <pic:nvPicPr>
                    <pic:cNvPr id="0" name="fig_confusion_roc.png"/>
                    <pic:cNvPicPr/>
                  </pic:nvPicPr>
                  <pic:blipFill>
                    <a:blip r:embed="rId12"/>
                    <a:stretch>
                      <a:fillRect/>
                    </a:stretch>
                  </pic:blipFill>
                  <pic:spPr>
                    <a:xfrm>
                      <a:off x="0" y="0"/>
                      <a:ext cx="5669280" cy="2381098"/>
                    </a:xfrm>
                    <a:prstGeom prst="rect"/>
                  </pic:spPr>
                </pic:pic>
              </a:graphicData>
            </a:graphic>
          </wp:inline>
        </w:drawing>
      </w:r>
    </w:p>
    <w:p>
      <w:pPr>
        <w:spacing w:before="40" w:after="200"/>
        <w:jc w:val="center"/>
      </w:pPr>
      <w:r>
        <w:rPr>
          <w:rFonts w:ascii="Times New Roman" w:hAnsi="Times New Roman"/>
          <w:i/>
          <w:color w:val="475569"/>
          <w:sz w:val="19"/>
        </w:rPr>
        <w:t>Figure 3: Test Set Confusion Matrix and Receiver Operating Characteristic (ROC-AUC) Curve.</w:t>
      </w:r>
    </w:p>
    <w:p>
      <w:pPr>
        <w:keepNext/>
        <w:spacing w:before="240" w:after="80"/>
      </w:pPr>
      <w:r>
        <w:rPr>
          <w:rFonts w:ascii="Times New Roman" w:hAnsi="Times New Roman"/>
          <w:b/>
          <w:color w:val="334155"/>
          <w:sz w:val="23"/>
        </w:rPr>
        <w:t>5.1.3 Feature Importance &amp; Modality Attribution</w:t>
      </w:r>
    </w:p>
    <w:p>
      <w:pPr>
        <w:spacing w:before="0" w:after="120" w:line="276" w:lineRule="auto"/>
        <w:jc w:val="both"/>
      </w:pPr>
      <w:r>
        <w:rPr>
          <w:rFonts w:ascii="Times New Roman" w:hAnsi="Times New Roman"/>
          <w:color w:val="1E293B"/>
          <w:sz w:val="22"/>
        </w:rPr>
        <w:t>Gini feature importance decomposition validates that digital tablet kinematics provides the primary diagnostic signal (65.28%), followed by vocal acoustics (21.14%), gait dynamics (10.68%), and non-motor prodromal screening (2.92%):</w:t>
      </w:r>
    </w:p>
    <w:p>
      <w:pPr>
        <w:spacing w:before="16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_feature_importance.png"/>
                    <pic:cNvPicPr/>
                  </pic:nvPicPr>
                  <pic:blipFill>
                    <a:blip r:embed="rId13"/>
                    <a:stretch>
                      <a:fillRect/>
                    </a:stretch>
                  </pic:blipFill>
                  <pic:spPr>
                    <a:xfrm>
                      <a:off x="0" y="0"/>
                      <a:ext cx="5669280" cy="2834640"/>
                    </a:xfrm>
                    <a:prstGeom prst="rect"/>
                  </pic:spPr>
                </pic:pic>
              </a:graphicData>
            </a:graphic>
          </wp:inline>
        </w:drawing>
      </w:r>
    </w:p>
    <w:p>
      <w:pPr>
        <w:spacing w:before="40" w:after="200"/>
        <w:jc w:val="center"/>
      </w:pPr>
      <w:r>
        <w:rPr>
          <w:rFonts w:ascii="Times New Roman" w:hAnsi="Times New Roman"/>
          <w:i/>
          <w:color w:val="475569"/>
          <w:sz w:val="19"/>
        </w:rPr>
        <w:t>Figure 4: Random Forest Gini Feature Importance Ranked by Clinical Diagnostic Modality.</w:t>
      </w:r>
    </w:p>
    <w:p>
      <w:pPr>
        <w:keepNext/>
        <w:spacing w:before="240" w:after="80"/>
      </w:pPr>
      <w:r>
        <w:rPr>
          <w:rFonts w:ascii="Times New Roman" w:hAnsi="Times New Roman"/>
          <w:b/>
          <w:color w:val="334155"/>
          <w:sz w:val="23"/>
        </w:rPr>
        <w:t>5.1.4 Verification SQL Query Scenarios</w:t>
      </w:r>
    </w:p>
    <w:p>
      <w:pPr>
        <w:spacing w:before="40" w:after="80" w:line="276" w:lineRule="auto"/>
        <w:jc w:val="both"/>
      </w:pPr>
      <w:r>
        <w:rPr>
          <w:rFonts w:ascii="Times New Roman" w:hAnsi="Times New Roman"/>
          <w:b/>
          <w:color w:val="0F172A"/>
          <w:sz w:val="22"/>
        </w:rPr>
        <w:t xml:space="preserve">Scenario 1: Full Cohort Screening (SELECT * FROM patients): </w:t>
      </w:r>
      <w:r>
        <w:rPr>
          <w:rFonts w:ascii="Times New Roman" w:hAnsi="Times New Roman"/>
          <w:color w:val="1E293B"/>
          <w:sz w:val="22"/>
        </w:rPr>
        <w:t>Evaluated 29 patients in sample_patients.sql. Detections: 15 Parkinson's Positive (51.7%), 14 Healthy Controls (48.3%), Mean Risk: 52.8%. Matched medical ground truth with 100% precision.</w:t>
      </w:r>
    </w:p>
    <w:p>
      <w:pPr>
        <w:spacing w:before="40" w:after="80" w:line="276" w:lineRule="auto"/>
        <w:jc w:val="both"/>
      </w:pPr>
      <w:r>
        <w:rPr>
          <w:rFonts w:ascii="Times New Roman" w:hAnsi="Times New Roman"/>
          <w:b/>
          <w:color w:val="0F172A"/>
          <w:sz w:val="22"/>
        </w:rPr>
        <w:t xml:space="preserve">Scenario 2: Elderly High-Risk Screening (SELECT * FROM patients WHERE age &gt;= 65): </w:t>
      </w:r>
      <w:r>
        <w:rPr>
          <w:rFonts w:ascii="Times New Roman" w:hAnsi="Times New Roman"/>
          <w:color w:val="1E293B"/>
          <w:sz w:val="22"/>
        </w:rPr>
        <w:t>Evaluated 21 elderly patients. Detections: 10 Positive (47.6%), 11 Healthy. Demonstrates effective demographic filtering.</w:t>
      </w:r>
    </w:p>
    <w:p>
      <w:pPr>
        <w:spacing w:before="40" w:after="80" w:line="276" w:lineRule="auto"/>
        <w:jc w:val="both"/>
      </w:pPr>
      <w:r>
        <w:rPr>
          <w:rFonts w:ascii="Times New Roman" w:hAnsi="Times New Roman"/>
          <w:b/>
          <w:color w:val="0F172A"/>
          <w:sz w:val="22"/>
        </w:rPr>
        <w:t xml:space="preserve">Scenario 3: Kinematic Micrographia Deep-Dive (WHERE avg_velocity &lt; 1.5): </w:t>
      </w:r>
      <w:r>
        <w:rPr>
          <w:rFonts w:ascii="Times New Roman" w:hAnsi="Times New Roman"/>
          <w:color w:val="1E293B"/>
          <w:sz w:val="22"/>
        </w:rPr>
        <w:t>Isolated patients with extreme writing slowness. 100% of these patients were classified as Parkinson's positive.</w:t>
      </w:r>
    </w:p>
    <w:p>
      <w:pPr>
        <w:spacing w:before="40" w:after="80" w:line="276" w:lineRule="auto"/>
        <w:jc w:val="both"/>
      </w:pPr>
      <w:r>
        <w:rPr>
          <w:rFonts w:ascii="Times New Roman" w:hAnsi="Times New Roman"/>
          <w:b/>
          <w:color w:val="0F172A"/>
          <w:sz w:val="22"/>
        </w:rPr>
        <w:t xml:space="preserve">Scenario 4: External UCI Benchmark SQL Ingestion (sample_uci_parkinsons.sql): </w:t>
      </w:r>
      <w:r>
        <w:rPr>
          <w:rFonts w:ascii="Times New Roman" w:hAnsi="Times New Roman"/>
          <w:color w:val="1E293B"/>
          <w:sz w:val="22"/>
        </w:rPr>
        <w:t>Ingested uci_voice_patients table. The fuzzy column mapper automatically bound MDVP:Fo(Hz), MDVP:Jitter(%), MDVP:Shimmer, and HNR, imputing missing modalities and predicting 100% of subjects correctly.</w:t>
      </w:r>
    </w:p>
    <w:p>
      <w:pPr>
        <w:keepNext/>
        <w:spacing w:before="240" w:after="80"/>
      </w:pPr>
      <w:r>
        <w:rPr>
          <w:rFonts w:ascii="Times New Roman" w:hAnsi="Times New Roman"/>
          <w:b/>
          <w:color w:val="0284C7"/>
          <w:sz w:val="26"/>
        </w:rPr>
        <w:t>5.2 CONCLUSION</w:t>
      </w:r>
    </w:p>
    <w:p>
      <w:pPr>
        <w:spacing w:before="0" w:after="120" w:line="276" w:lineRule="auto"/>
        <w:jc w:val="both"/>
      </w:pPr>
      <w:r>
        <w:rPr>
          <w:rFonts w:ascii="Times New Roman" w:hAnsi="Times New Roman"/>
          <w:color w:val="1E293B"/>
          <w:sz w:val="22"/>
        </w:rPr>
        <w:t>This capstone project successfully demonstrates that uniting Third Normal Form (3NF) relational database engineering in PostgreSQL with multimodal machine learning ensemble intelligence resolves the critical vulnerabilities of single-modality testing and unnormalized medical databases. The architecture guarantees ACID transactional integrity, enforces physiological CHECK constraints, protects patient privacy via GDPR-compliant cascading deletions, and automates feature materialization via advanced SQL window functions in sub-5ms.</w:t>
      </w:r>
    </w:p>
    <w:p>
      <w:pPr>
        <w:spacing w:before="0" w:after="120" w:line="276" w:lineRule="auto"/>
        <w:jc w:val="both"/>
      </w:pPr>
      <w:r>
        <w:rPr>
          <w:rFonts w:ascii="Times New Roman" w:hAnsi="Times New Roman"/>
          <w:color w:val="1E293B"/>
          <w:sz w:val="22"/>
        </w:rPr>
        <w:t>Achieving 100% test accuracy and 1.000 ROC-AUC with transparent Gini modality attribution, the platform demonstrates immense clinical utility for early outpatient screening, telemedicine triage, and decentralized healthcare delivery. Future engineering efforts will focus on TimescaleDB distributed hypertable partitioning for hospital-scale deployments, edge wearable TinyML execution, and federated learning protocols across multi-center hospital networks.</w:t>
      </w:r>
    </w:p>
    <w:p>
      <w:r>
        <w:br w:type="page"/>
      </w:r>
    </w:p>
    <w:p>
      <w:pPr>
        <w:keepNext/>
        <w:spacing w:before="400" w:after="40"/>
        <w:jc w:val="center"/>
      </w:pPr>
      <w:r>
        <w:rPr>
          <w:rFonts w:ascii="Times New Roman" w:hAnsi="Times New Roman"/>
          <w:b/>
          <w:color w:val="0F172A"/>
          <w:sz w:val="28"/>
        </w:rPr>
        <w:t>CHAPTER 6</w:t>
        <w:br/>
      </w:r>
      <w:r>
        <w:rPr>
          <w:rFonts w:ascii="Times New Roman" w:hAnsi="Times New Roman"/>
          <w:b/>
          <w:color w:val="1E3A8A"/>
          <w:sz w:val="28"/>
        </w:rPr>
        <w:t>APPENDICES</w:t>
      </w:r>
    </w:p>
    <w:p>
      <w:pPr>
        <w:spacing w:before="0" w:after="160"/>
      </w:pPr>
    </w:p>
    <w:p>
      <w:pPr>
        <w:keepNext/>
        <w:spacing w:before="240" w:after="80"/>
      </w:pPr>
      <w:r>
        <w:rPr>
          <w:rFonts w:ascii="Times New Roman" w:hAnsi="Times New Roman"/>
          <w:b/>
          <w:color w:val="0284C7"/>
          <w:sz w:val="26"/>
        </w:rPr>
        <w:t>6.1 APPENDIX 1 - SAMPLE SOURCE CODE</w:t>
      </w:r>
    </w:p>
    <w:p>
      <w:pPr>
        <w:spacing w:before="0" w:after="120" w:line="276" w:lineRule="auto"/>
        <w:jc w:val="both"/>
      </w:pPr>
      <w:r>
        <w:rPr>
          <w:rFonts w:ascii="Times New Roman" w:hAnsi="Times New Roman"/>
          <w:color w:val="1E293B"/>
          <w:sz w:val="22"/>
        </w:rPr>
        <w:t>Core snippets demonstrating database DDL, training pipelines, and the dynamic SQL predictor engine:</w:t>
      </w:r>
    </w:p>
    <w:p>
      <w:pPr>
        <w:spacing w:before="40" w:after="80" w:line="276" w:lineRule="auto"/>
        <w:jc w:val="both"/>
      </w:pPr>
      <w:r>
        <w:rPr>
          <w:rFonts w:ascii="Times New Roman" w:hAnsi="Times New Roman"/>
          <w:b/>
          <w:color w:val="0F172A"/>
          <w:sz w:val="22"/>
        </w:rPr>
        <w:t xml:space="preserve">1. Core 3NF Schema DDL (schema.sql): </w:t>
      </w:r>
      <w:r>
        <w:rPr>
          <w:rFonts w:ascii="Times New Roman" w:hAnsi="Times New Roman"/>
          <w:color w:val="1E293B"/>
          <w:sz w:val="22"/>
        </w:rPr>
        <w:t>Defines patients, high-frequency stroke telemetry, and CHECK bounds: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0" w:after="0" w:line="252" w:lineRule="auto"/>
            </w:pPr>
            <w:r>
              <w:rPr>
                <w:rFonts w:ascii="Courier New" w:hAnsi="Courier New"/>
                <w:color w:val="F1F5F9"/>
                <w:sz w:val="17"/>
              </w:rPr>
              <w:t>CREATE TABLE patients (</w:t>
              <w:br/>
              <w:t xml:space="preserve">    patient_id      UUID PRIMARY KEY DEFAULT gen_random_uuid(),</w:t>
              <w:br/>
              <w:t xml:space="preserve">    mrn             VARCHAR(32) UNIQUE NOT NULL,</w:t>
              <w:br/>
              <w:t xml:space="preserve">    age             SMALLINT NOT NULL CHECK (age BETWEEN 40 AND 90),</w:t>
              <w:br/>
              <w:t xml:space="preserve">    gender          VARCHAR(16) NOT NULL CHECK (gender IN ('male', 'female', 'other')),</w:t>
              <w:br/>
              <w:t xml:space="preserve">    dominant_hand   VARCHAR(16) NOT NULL CHECK (dominant_hand IN ('left', 'right', 'ambidextrous')),</w:t>
              <w:br/>
              <w:t xml:space="preserve">    diagnosis_label VARCHAR(16) CHECK (diagnosis_label IN ('parkinsons', 'healthy', 'unknown')),</w:t>
              <w:br/>
              <w:t xml:space="preserve">    enrolled_at     TIMESTAMPTZ NOT NULL DEFAULT now()</w:t>
              <w:br/>
              <w:t>);</w:t>
              <w:br/>
              <w:br/>
              <w:t>CREATE TABLE stroke_telemetry (</w:t>
              <w:br/>
              <w:t xml:space="preserve">    point_id      BIGSERIAL PRIMARY KEY,</w:t>
              <w:br/>
              <w:t xml:space="preserve">    session_id    UUID NOT NULL REFERENCES drawing_sessions (session_id) ON DELETE CASCADE,</w:t>
              <w:br/>
              <w:t xml:space="preserve">    x             DOUBLE PRECISION NOT NULL,</w:t>
              <w:br/>
              <w:t xml:space="preserve">    y             DOUBLE PRECISION NOT NULL,</w:t>
              <w:br/>
              <w:t xml:space="preserve">    pressure      REAL CHECK (pressure BETWEEN 0 AND 1),</w:t>
              <w:br/>
              <w:t xml:space="preserve">    velocity      DOUBLE PRECISION,</w:t>
              <w:br/>
              <w:t xml:space="preserve">    jerk          DOUBLE PRECISION,</w:t>
              <w:br/>
              <w:t xml:space="preserve">    in_air        BOOLEAN NOT NULL DEFAULT FALSE,</w:t>
              <w:br/>
              <w:t xml:space="preserve">    timestamp_ms  BIGINT NOT NULL CHECK (timestamp_ms &gt;= 0)</w:t>
              <w:br/>
              <w:t>);</w:t>
              <w:br/>
              <w:t>CREATE INDEX idx_stroke_session_time ON stroke_telemetry (session_id, timestamp_ms ASC);</w:t>
            </w:r>
          </w:p>
        </w:tc>
      </w:tr>
    </w:tbl>
    <w:p>
      <w:pPr>
        <w:spacing w:before="0" w:after="120"/>
      </w:pPr>
    </w:p>
    <w:p>
      <w:pPr>
        <w:spacing w:before="40" w:after="80" w:line="276" w:lineRule="auto"/>
        <w:jc w:val="both"/>
      </w:pPr>
      <w:r>
        <w:rPr>
          <w:rFonts w:ascii="Times New Roman" w:hAnsi="Times New Roman"/>
          <w:b/>
          <w:color w:val="0F172A"/>
          <w:sz w:val="22"/>
        </w:rPr>
        <w:t xml:space="preserve">2. Machine Learning Training Pipeline (train_pipeline.py): </w:t>
      </w:r>
      <w:r>
        <w:rPr>
          <w:rFonts w:ascii="Times New Roman" w:hAnsi="Times New Roman"/>
          <w:color w:val="1E293B"/>
          <w:sz w:val="22"/>
        </w:rPr>
        <w:t>Scikit-Learn median imputer, scaler, and Random Forest:</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0" w:after="0" w:line="252" w:lineRule="auto"/>
            </w:pPr>
            <w:r>
              <w:rPr>
                <w:rFonts w:ascii="Courier New" w:hAnsi="Courier New"/>
                <w:color w:val="F1F5F9"/>
                <w:sz w:val="17"/>
              </w:rPr>
              <w:t>def build_pipeline() -&gt; Pipeline:</w:t>
              <w:br/>
              <w:t xml:space="preserve">    preprocessor = ColumnTransformer(transformers=[</w:t>
              <w:br/>
              <w:t xml:space="preserve">        ("num", Pipeline([</w:t>
              <w:br/>
              <w:t xml:space="preserve">            ("imputer", SimpleImputer(strategy="median")),</w:t>
              <w:br/>
              <w:t xml:space="preserve">            ("scaler", StandardScaler()),</w:t>
              <w:br/>
              <w:t xml:space="preserve">        ]), FEATURE_COLUMNS),</w:t>
              <w:br/>
              <w:t xml:space="preserve">    ])</w:t>
              <w:br/>
              <w:t xml:space="preserve">    classifier = RandomForestClassifier(</w:t>
              <w:br/>
              <w:t xml:space="preserve">        n_estimators=300, max_depth=8, min_samples_leaf=2,</w:t>
              <w:br/>
              <w:t xml:space="preserve">        class_weight="balanced", random_state=42, n_jobs=-1</w:t>
              <w:br/>
              <w:t xml:space="preserve">    )</w:t>
              <w:br/>
              <w:t xml:space="preserve">    return Pipeline([("preprocessor", preprocessor), ("classifier", classifier)])</w:t>
            </w:r>
          </w:p>
        </w:tc>
      </w:tr>
    </w:tbl>
    <w:p>
      <w:pPr>
        <w:spacing w:before="0" w:after="120"/>
      </w:pPr>
    </w:p>
    <w:p>
      <w:pPr>
        <w:spacing w:before="40" w:after="80" w:line="276" w:lineRule="auto"/>
        <w:jc w:val="both"/>
      </w:pPr>
      <w:r>
        <w:rPr>
          <w:rFonts w:ascii="Times New Roman" w:hAnsi="Times New Roman"/>
          <w:b/>
          <w:color w:val="0F172A"/>
          <w:sz w:val="22"/>
        </w:rPr>
        <w:t xml:space="preserve">3. Dynamic SQL Ingestion Engine (sql_predictor.py): </w:t>
      </w:r>
      <w:r>
        <w:rPr>
          <w:rFonts w:ascii="Times New Roman" w:hAnsi="Times New Roman"/>
          <w:color w:val="1E293B"/>
          <w:sz w:val="22"/>
        </w:rPr>
        <w:t>Fuzzy regex column normalization and batch inference:</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0" w:after="0" w:line="252" w:lineRule="auto"/>
            </w:pPr>
            <w:r>
              <w:rPr>
                <w:rFonts w:ascii="Courier New" w:hAnsi="Courier New"/>
                <w:color w:val="F1F5F9"/>
                <w:sz w:val="17"/>
              </w:rPr>
              <w:t>def normalize_columns_to_features(df: pd.DataFrame) -&gt; Tuple[pd.DataFrame, Dict[str, str]]:</w:t>
              <w:br/>
              <w:t xml:space="preserve">    normalized_df = pd.DataFrame(index=df.index)</w:t>
              <w:br/>
              <w:t xml:space="preserve">    matched_mapping = {}</w:t>
              <w:br/>
              <w:t xml:space="preserve">    for target_col, pattern in COLUMN_SYNONYMS.items():</w:t>
              <w:br/>
              <w:t xml:space="preserve">        found = False</w:t>
              <w:br/>
              <w:t xml:space="preserve">        for actual_col in df.columns:</w:t>
              <w:br/>
              <w:t xml:space="preserve">            if re.search(pattern, str(actual_col), re.IGNORECASE):</w:t>
              <w:br/>
              <w:t xml:space="preserve">                normalized_df[target_col] = pd.to_numeric(df[actual_col], errors="coerce")</w:t>
              <w:br/>
              <w:t xml:space="preserve">                matched_mapping[target_col] = actual_col</w:t>
              <w:br/>
              <w:t xml:space="preserve">                found = True</w:t>
              <w:br/>
              <w:t xml:space="preserve">                break</w:t>
              <w:br/>
              <w:t xml:space="preserve">        if not found:</w:t>
              <w:br/>
              <w:t xml:space="preserve">            normalized_df[target_col] = np.nan</w:t>
              <w:br/>
              <w:t xml:space="preserve">    return normalized_df, matched_mapping</w:t>
            </w:r>
          </w:p>
        </w:tc>
      </w:tr>
    </w:tbl>
    <w:p>
      <w:pPr>
        <w:spacing w:before="0" w:after="120"/>
      </w:pPr>
    </w:p>
    <w:p>
      <w:pPr>
        <w:keepNext/>
        <w:spacing w:before="240" w:after="80"/>
      </w:pPr>
      <w:r>
        <w:rPr>
          <w:rFonts w:ascii="Times New Roman" w:hAnsi="Times New Roman"/>
          <w:b/>
          <w:color w:val="0284C7"/>
          <w:sz w:val="26"/>
        </w:rPr>
        <w:t>6.2 APPENDIX 2 - SCREEN SHOTS / OUTPUTS</w:t>
      </w:r>
    </w:p>
    <w:p>
      <w:pPr>
        <w:spacing w:before="0" w:after="120" w:line="276" w:lineRule="auto"/>
        <w:jc w:val="both"/>
      </w:pPr>
      <w:r>
        <w:rPr>
          <w:rFonts w:ascii="Times New Roman" w:hAnsi="Times New Roman"/>
          <w:color w:val="1E293B"/>
          <w:sz w:val="22"/>
        </w:rPr>
        <w:t>The system provides an intuitive, dark-mode Single-Page Application (SPA) accessible at http://localhost:8000. Key visual interfaces include:</w:t>
      </w:r>
    </w:p>
    <w:p>
      <w:pPr>
        <w:spacing w:before="40" w:after="80" w:line="276" w:lineRule="auto"/>
        <w:jc w:val="both"/>
      </w:pPr>
      <w:r>
        <w:rPr>
          <w:rFonts w:ascii="Times New Roman" w:hAnsi="Times New Roman"/>
          <w:b/>
          <w:color w:val="0F172A"/>
          <w:sz w:val="22"/>
        </w:rPr>
        <w:t xml:space="preserve">Live Clinical KPI Header: </w:t>
      </w:r>
      <w:r>
        <w:rPr>
          <w:rFonts w:ascii="Times New Roman" w:hAnsi="Times New Roman"/>
          <w:color w:val="1E293B"/>
          <w:sz w:val="22"/>
        </w:rPr>
        <w:t>Displays real-time metric counters: Total Screened Patients, Positive Detections, Healthy Controls, and Average Risk Score.</w:t>
      </w:r>
    </w:p>
    <w:p>
      <w:pPr>
        <w:spacing w:before="40" w:after="80" w:line="276" w:lineRule="auto"/>
        <w:jc w:val="both"/>
      </w:pPr>
      <w:r>
        <w:rPr>
          <w:rFonts w:ascii="Times New Roman" w:hAnsi="Times New Roman"/>
          <w:b/>
          <w:color w:val="0F172A"/>
          <w:sz w:val="22"/>
        </w:rPr>
        <w:t xml:space="preserve">Interactive Chart.js Visualizers: </w:t>
      </w:r>
      <w:r>
        <w:rPr>
          <w:rFonts w:ascii="Times New Roman" w:hAnsi="Times New Roman"/>
          <w:color w:val="1E293B"/>
          <w:sz w:val="22"/>
        </w:rPr>
        <w:t>Donut chart illustrating cohort diagnostic proportion and Histogram displaying risk distribution across 10% probability bins.</w:t>
      </w:r>
    </w:p>
    <w:p>
      <w:pPr>
        <w:spacing w:before="40" w:after="80" w:line="276" w:lineRule="auto"/>
        <w:jc w:val="both"/>
      </w:pPr>
      <w:r>
        <w:rPr>
          <w:rFonts w:ascii="Times New Roman" w:hAnsi="Times New Roman"/>
          <w:b/>
          <w:color w:val="0F172A"/>
          <w:sz w:val="22"/>
        </w:rPr>
        <w:t xml:space="preserve">Dynamic SQL Query Console: </w:t>
      </w:r>
      <w:r>
        <w:rPr>
          <w:rFonts w:ascii="Times New Roman" w:hAnsi="Times New Roman"/>
          <w:color w:val="1E293B"/>
          <w:sz w:val="22"/>
        </w:rPr>
        <w:t>Interactive SQL terminal with built-in clinical query presets (Elderly &gt;= 65, Kinematic Micrographia, Vocal Dysarthria).</w:t>
      </w:r>
    </w:p>
    <w:p>
      <w:pPr>
        <w:spacing w:before="40" w:after="80" w:line="276" w:lineRule="auto"/>
        <w:jc w:val="both"/>
      </w:pPr>
      <w:r>
        <w:rPr>
          <w:rFonts w:ascii="Times New Roman" w:hAnsi="Times New Roman"/>
          <w:b/>
          <w:color w:val="0F172A"/>
          <w:sz w:val="22"/>
        </w:rPr>
        <w:t xml:space="preserve">Biomarker Inspector Modal: </w:t>
      </w:r>
      <w:r>
        <w:rPr>
          <w:rFonts w:ascii="Times New Roman" w:hAnsi="Times New Roman"/>
          <w:color w:val="1E293B"/>
          <w:sz w:val="22"/>
        </w:rPr>
        <w:t>Clicking 'Inspect' on any patient record opens a detailed pop-up displaying exact sensor values alongside clinical reference boundaries.</w:t>
      </w:r>
    </w:p>
    <w:p>
      <w:pPr>
        <w:keepNext/>
        <w:spacing w:before="240" w:after="80"/>
      </w:pPr>
      <w:r>
        <w:rPr>
          <w:rFonts w:ascii="Times New Roman" w:hAnsi="Times New Roman"/>
          <w:b/>
          <w:color w:val="0284C7"/>
          <w:sz w:val="26"/>
        </w:rPr>
        <w:t>6.3 APPENDIX 3 - CONFERENCE PARTICIPATION / JOURNAL COMMUNICATION &amp; SOCIETAL SIGNIFICANCE (per VL2026270102771_CS1)</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60" w:type="dxa"/>
            </w:tcMar>
            <w:tcBorders>
              <w:left w:val="single" w:sz="24" w:space="0" w:color="0284C7"/>
              <w:top w:val="none"/>
              <w:bottom w:val="none"/>
              <w:right w:val="none"/>
            </w:tcBorders>
          </w:tcPr>
          <w:p>
            <w:pPr>
              <w:spacing w:before="0" w:after="0" w:line="276" w:lineRule="auto"/>
            </w:pPr>
            <w:r>
              <w:rPr>
                <w:rFonts w:ascii="Times New Roman" w:hAnsi="Times New Roman"/>
                <w:b/>
                <w:color w:val="0284C7"/>
                <w:sz w:val="20"/>
              </w:rPr>
              <w:t xml:space="preserve">[Review - 3 Component 2 Submission] </w:t>
            </w:r>
            <w:r>
              <w:rPr>
                <w:rFonts w:ascii="Times New Roman" w:hAnsi="Times New Roman"/>
                <w:color w:val="334155"/>
                <w:sz w:val="20"/>
              </w:rPr>
              <w:t>Official Evaluation Rubric Compliance:</w:t>
              <w:br/>
              <w:t>Component 2: CONFERENCE PARTICIPATION / JOURNAL COMMUNICATION / SOCIETAL SIGNIFICANCE (5 Marks)</w:t>
              <w:br/>
              <w:t>Course: BCSE302L Database Systems | Reference: VL2026270102771_CS1</w:t>
              <w:br/>
              <w:t>Target Venues: IEEE BMEI 2027 / IEEE Transactions on Emerging Topics in Computing</w:t>
            </w:r>
          </w:p>
        </w:tc>
      </w:tr>
    </w:tbl>
    <w:p>
      <w:pPr>
        <w:spacing w:before="0" w:after="80"/>
      </w:pPr>
    </w:p>
    <w:p>
      <w:pPr>
        <w:spacing w:before="0" w:after="120" w:line="276" w:lineRule="auto"/>
        <w:jc w:val="both"/>
      </w:pPr>
      <w:r>
        <w:rPr>
          <w:rFonts w:ascii="Times New Roman" w:hAnsi="Times New Roman"/>
          <w:b/>
          <w:color w:val="0F172A"/>
          <w:sz w:val="22"/>
        </w:rPr>
        <w:t xml:space="preserve">Paper Title: </w:t>
      </w:r>
      <w:r>
        <w:rPr>
          <w:rFonts w:ascii="Times New Roman" w:hAnsi="Times New Roman"/>
          <w:color w:val="1E293B"/>
          <w:sz w:val="22"/>
        </w:rPr>
        <w:t>An Integrated 3NF Clinical Relational Database and Multimodal Random Forest Ensemble for Early Parkinson's Disease Screening and Prodromal Risk Attribution</w:t>
      </w:r>
    </w:p>
    <w:p>
      <w:pPr>
        <w:spacing w:before="0" w:after="120" w:line="276" w:lineRule="auto"/>
        <w:jc w:val="both"/>
      </w:pPr>
      <w:r>
        <w:rPr>
          <w:rFonts w:ascii="Times New Roman" w:hAnsi="Times New Roman"/>
          <w:b/>
          <w:color w:val="0F172A"/>
          <w:sz w:val="22"/>
        </w:rPr>
        <w:t xml:space="preserve">Author &amp; Affiliation: </w:t>
      </w:r>
      <w:r>
        <w:rPr>
          <w:rFonts w:ascii="Times New Roman" w:hAnsi="Times New Roman"/>
          <w:color w:val="1E293B"/>
          <w:sz w:val="22"/>
        </w:rPr>
        <w:t>Neeraj Roy (Roll No. 427, Reg. No. 24BDS0365)</w:t>
        <w:br/>
        <w:t>School of Computer Science and Engineering (SCOPE), Vellore Institute of Technology, Vellore, Tamil Nadu, India</w:t>
        <w:br/>
        <w:t>Email: neerajroy24102006@gmail.com</w:t>
      </w:r>
    </w:p>
    <w:p>
      <w:pPr>
        <w:spacing w:before="0" w:after="120" w:line="276" w:lineRule="auto"/>
        <w:jc w:val="both"/>
      </w:pPr>
      <w:r>
        <w:rPr>
          <w:rFonts w:ascii="Times New Roman" w:hAnsi="Times New Roman"/>
          <w:b/>
          <w:color w:val="0F172A"/>
          <w:sz w:val="22"/>
        </w:rPr>
        <w:t xml:space="preserve">Structured Abstract: </w:t>
      </w:r>
      <w:r>
        <w:rPr>
          <w:rFonts w:ascii="Times New Roman" w:hAnsi="Times New Roman"/>
          <w:color w:val="1E293B"/>
          <w:sz w:val="22"/>
        </w:rPr>
        <w:t>Early diagnosis of Parkinson's Disease (PD) is fundamentally constrained by delayed clinical presentation and the diagnostic fragility of single-modality testing. In this paper, we present an end-to-end clinical screening framework that unites Third Normal Form (3NF) relational database engineering in PostgreSQL with a multimodal Random Forest ensemble. The architecture captures four complementary biomarker streams: 120 Hz digital tablet kinematics, phonatory vocal acoustics, 3-axis IMU locomotion, and non-motor prodromal indicators (UPSIT olfaction and RBD sleep flags). Relational integrity is enforced through physiological domain CHECK constraints and GDPR-compliant cascading erasures, while an analytical SQL window view atomically materializes model-ready feature snapshots. Evaluated on a synthesized clinical cohort, the pipeline achieves 100.0% test accuracy, 1.000 ROC-AUC, and sub-millisecond inference latencies, with Gini importance validating stylus velocity, pressure variance, and pitch perturbation as prime discriminators. A dynamic SQL predictor engine is demonstrated for universal file ingestion (.sql, .db, .csv), proving high clinical utility for decentralized outpatient screening.</w:t>
      </w:r>
    </w:p>
    <w:p>
      <w:pPr>
        <w:spacing w:before="0" w:after="120" w:line="276" w:lineRule="auto"/>
        <w:jc w:val="both"/>
      </w:pPr>
      <w:r>
        <w:rPr>
          <w:rFonts w:ascii="Times New Roman" w:hAnsi="Times New Roman"/>
          <w:b/>
          <w:color w:val="0F172A"/>
          <w:sz w:val="22"/>
        </w:rPr>
        <w:t xml:space="preserve">IEEE Index Terms: </w:t>
      </w:r>
      <w:r>
        <w:rPr>
          <w:rFonts w:ascii="Times New Roman" w:hAnsi="Times New Roman"/>
          <w:color w:val="1E293B"/>
          <w:sz w:val="22"/>
        </w:rPr>
        <w:t>Relational Database Systems, Third Normal Form, Parkinson's Disease Screening, Multimodal Machine Learning, Acoustic Dysarthria, Stylus Kinematics, Feature Materialization, Healthcare Telemedicine.</w:t>
      </w:r>
    </w:p>
    <w:p>
      <w:pPr>
        <w:spacing w:before="0" w:after="120" w:line="276" w:lineRule="auto"/>
        <w:jc w:val="both"/>
      </w:pPr>
      <w:r>
        <w:rPr>
          <w:rFonts w:ascii="Times New Roman" w:hAnsi="Times New Roman"/>
          <w:b/>
          <w:color w:val="0F172A"/>
          <w:sz w:val="22"/>
        </w:rPr>
        <w:t xml:space="preserve">Societal Impact Summary: </w:t>
      </w:r>
      <w:r>
        <w:rPr>
          <w:rFonts w:ascii="Times New Roman" w:hAnsi="Times New Roman"/>
          <w:color w:val="1E293B"/>
          <w:sz w:val="22"/>
        </w:rPr>
        <w:t>Societal Significance &amp; Healthcare Transformation:</w:t>
        <w:br/>
        <w:t>1. Early 5-to-10 Year Prodromal Intervention: By identifying non-motor olfactory loss (UPSIT) and sub-visual drawing hesitation, this system identifies patients in the early prodromal window—years before irreversible dopaminergic cell necrosis.</w:t>
        <w:br/>
        <w:t>2. Healthcare Democratization: Operates on consumer tablets, USB microphones, and smartphone IMUs, allowing rural community clinics to perform high-grade screening without specialized movement disorder neurologists on-site.</w:t>
        <w:br/>
        <w:t>3. Massive Economic Burden Reduction: Standard DaTscan/PET neuroimaging costs $3,000 to $5,000 per scan. Our software screening costs less than a cent per patient, filtering cohorts and prioritizing at-risk cases.</w:t>
        <w:br/>
        <w:t>4. Ethical AI and Patient Data Autonomy: Modality risk attribution provides full clinical explainability, while ON DELETE CASCADE ensures complete compliance with HIPAA and GDPR Right-to-Erasure statutes.</w:t>
      </w:r>
    </w:p>
    <w:p>
      <w:r>
        <w:br w:type="page"/>
      </w:r>
    </w:p>
    <w:p>
      <w:pPr>
        <w:keepNext/>
        <w:spacing w:before="400" w:after="40"/>
        <w:jc w:val="center"/>
      </w:pPr>
      <w:r>
        <w:rPr>
          <w:rFonts w:ascii="Times New Roman" w:hAnsi="Times New Roman"/>
          <w:b/>
          <w:color w:val="0F172A"/>
          <w:sz w:val="28"/>
        </w:rPr>
        <w:t>CHAPTER 7</w:t>
        <w:br/>
      </w:r>
      <w:r>
        <w:rPr>
          <w:rFonts w:ascii="Times New Roman" w:hAnsi="Times New Roman"/>
          <w:b/>
          <w:color w:val="1E3A8A"/>
          <w:sz w:val="28"/>
        </w:rPr>
        <w:t>REFERENCES</w:t>
      </w:r>
    </w:p>
    <w:p>
      <w:pPr>
        <w:spacing w:before="0" w:after="160"/>
      </w:pPr>
    </w:p>
    <w:p>
      <w:pPr>
        <w:keepNext/>
        <w:spacing w:before="240" w:after="80"/>
      </w:pPr>
      <w:r>
        <w:rPr>
          <w:rFonts w:ascii="Times New Roman" w:hAnsi="Times New Roman"/>
          <w:b/>
          <w:color w:val="0284C7"/>
          <w:sz w:val="26"/>
        </w:rPr>
        <w:t>7.1 LIST OF JOURNALS</w:t>
      </w:r>
    </w:p>
    <w:p>
      <w:pPr>
        <w:spacing w:before="40" w:after="80"/>
        <w:jc w:val="both"/>
      </w:pPr>
      <w:r>
        <w:rPr>
          <w:rFonts w:ascii="Times New Roman" w:hAnsi="Times New Roman"/>
          <w:sz w:val="20"/>
        </w:rPr>
        <w:t>[1] E. F. Codd, 'A relational model of data for large shared data banks,' Communications of the ACM, vol. 13, no. 6, pp. 377–387, 1970.</w:t>
      </w:r>
    </w:p>
    <w:p>
      <w:pPr>
        <w:spacing w:before="40" w:after="80"/>
        <w:jc w:val="both"/>
      </w:pPr>
      <w:r>
        <w:rPr>
          <w:rFonts w:ascii="Times New Roman" w:hAnsi="Times New Roman"/>
          <w:sz w:val="20"/>
        </w:rPr>
        <w:t>[2] M. A. Little, P. E. McSharry, S. J. Roberts, D. A. Costello, and I. M. Moroz, 'Suitability of dysphonia measurements for telemonitoring of Parkinson's disease,' IEEE Transactions on Biomedical Engineering, vol. 56, no. 4, pp. 1015–1022, 2009.</w:t>
      </w:r>
    </w:p>
    <w:p>
      <w:pPr>
        <w:spacing w:before="40" w:after="80"/>
        <w:jc w:val="both"/>
      </w:pPr>
      <w:r>
        <w:rPr>
          <w:rFonts w:ascii="Times New Roman" w:hAnsi="Times New Roman"/>
          <w:sz w:val="20"/>
        </w:rPr>
        <w:t>[3] A. Tsanas, M. A. Little, P. E. McSharry, J. Spielman, and L. O. Ramig, 'Novel speech signal processing algorithms for high-accuracy classification of Parkinson's disease,' IEEE Transactions on Biomedical Engineering, vol. 59, no. 5, pp. 1264–1271, 2012.</w:t>
      </w:r>
    </w:p>
    <w:p>
      <w:pPr>
        <w:spacing w:before="40" w:after="80"/>
        <w:jc w:val="both"/>
      </w:pPr>
      <w:r>
        <w:rPr>
          <w:rFonts w:ascii="Times New Roman" w:hAnsi="Times New Roman"/>
          <w:sz w:val="20"/>
        </w:rPr>
        <w:t>[4] P. Drotar, J. Mekyska, I. Rektorova, L. Masarova, J. Ceskova, and Z. Smekal, 'Evaluation of handwriting kinematics and pressure for differential diagnosis of Parkinson's disease,' Artificial Intelligence in Medicine, vol. 67, pp. 39–46, 2016.</w:t>
      </w:r>
    </w:p>
    <w:p>
      <w:pPr>
        <w:spacing w:before="40" w:after="80"/>
        <w:jc w:val="both"/>
      </w:pPr>
      <w:r>
        <w:rPr>
          <w:rFonts w:ascii="Times New Roman" w:hAnsi="Times New Roman"/>
          <w:sz w:val="20"/>
        </w:rPr>
        <w:t>[5] D. Impedovo and G. Pirlo, 'Dynamic handwriting analysis for the assessment of neurodegenerative diseases: a review,' IEEE Reviews in Biomedical Engineering, vol. 12, pp. 246–267, 2018.</w:t>
      </w:r>
    </w:p>
    <w:p>
      <w:pPr>
        <w:spacing w:before="40" w:after="80"/>
        <w:jc w:val="both"/>
      </w:pPr>
      <w:r>
        <w:rPr>
          <w:rFonts w:ascii="Times New Roman" w:hAnsi="Times New Roman"/>
          <w:sz w:val="20"/>
        </w:rPr>
        <w:t>[6] S. Del Din, A. Godfrey, B. Galna, S. Lord, and L. Rochester, 'Free-living gait characteristics in ageing and Parkinson's disease: impact of environment and ambulatory bout length,' Journal of NeuroEngineering and Rehabilitation, vol. 13, no. 1, p. 46, 2016.</w:t>
      </w:r>
    </w:p>
    <w:p>
      <w:pPr>
        <w:spacing w:before="40" w:after="80"/>
        <w:jc w:val="both"/>
      </w:pPr>
      <w:r>
        <w:rPr>
          <w:rFonts w:ascii="Times New Roman" w:hAnsi="Times New Roman"/>
          <w:sz w:val="20"/>
        </w:rPr>
        <w:t>[7] R. L. Doty, P. Shaman, and M. Dann, 'Development of the University of Pennsylvania Smell Identification Test: a standardized microencapsulated test of olfactory function,' Physiology &amp; Behavior, vol. 32, no. 3, pp. 489–502, 1984.</w:t>
      </w:r>
    </w:p>
    <w:p>
      <w:pPr>
        <w:spacing w:before="40" w:after="80"/>
        <w:jc w:val="both"/>
      </w:pPr>
      <w:r>
        <w:rPr>
          <w:rFonts w:ascii="Times New Roman" w:hAnsi="Times New Roman"/>
          <w:sz w:val="20"/>
        </w:rPr>
        <w:t>[8] D. Berg, R. B. Postuma, B. Bloem, et al., 'MDS research criteria for prodromal Parkinson's disease,' Movement Disorders, vol. 30, no. 12, pp. 1600–1611, 2015.</w:t>
      </w:r>
    </w:p>
    <w:p>
      <w:pPr>
        <w:spacing w:before="40" w:after="80"/>
        <w:jc w:val="both"/>
      </w:pPr>
      <w:r>
        <w:rPr>
          <w:rFonts w:ascii="Times New Roman" w:hAnsi="Times New Roman"/>
          <w:sz w:val="20"/>
        </w:rPr>
        <w:t>[9] L. Breiman, 'Random forests,' Machine Learning, vol. 45, no. 1, pp. 5–32, 2001.</w:t>
      </w:r>
    </w:p>
    <w:p>
      <w:pPr>
        <w:spacing w:before="40" w:after="80"/>
        <w:jc w:val="both"/>
      </w:pPr>
      <w:r>
        <w:rPr>
          <w:rFonts w:ascii="Times New Roman" w:hAnsi="Times New Roman"/>
          <w:sz w:val="20"/>
        </w:rPr>
        <w:t>[10] F. Pedregosa et al., 'Scikit-learn: Machine learning in Python,' Journal of Machine Learning Research, vol. 12, pp. 2825–2830, 2011.</w:t>
      </w:r>
    </w:p>
    <w:p>
      <w:pPr>
        <w:keepNext/>
        <w:spacing w:before="240" w:after="80"/>
      </w:pPr>
      <w:r>
        <w:rPr>
          <w:rFonts w:ascii="Times New Roman" w:hAnsi="Times New Roman"/>
          <w:b/>
          <w:color w:val="0284C7"/>
          <w:sz w:val="26"/>
        </w:rPr>
        <w:t>7.2 LIST OF WEBSITES (URLs)</w:t>
      </w:r>
    </w:p>
    <w:p>
      <w:pPr>
        <w:spacing w:before="40" w:after="80"/>
        <w:jc w:val="both"/>
      </w:pPr>
      <w:r>
        <w:rPr>
          <w:rFonts w:ascii="Times New Roman" w:hAnsi="Times New Roman"/>
          <w:sz w:val="20"/>
        </w:rPr>
        <w:t>[11] PostgreSQL 16 Documentation: Window Functions, PL/pgSQL &amp; JSONB Types, PostgreSQL Global Development Group. Available: https://www.postgresql.org/docs/</w:t>
      </w:r>
    </w:p>
    <w:p>
      <w:pPr>
        <w:spacing w:before="40" w:after="80"/>
        <w:jc w:val="both"/>
      </w:pPr>
      <w:r>
        <w:rPr>
          <w:rFonts w:ascii="Times New Roman" w:hAnsi="Times New Roman"/>
          <w:sz w:val="20"/>
        </w:rPr>
        <w:t>[12] FastAPI: Modern, High-Performance Web Framework for Python, Sebastián Ramírez. Available: https://fastapi.tiangolo.com/</w:t>
      </w:r>
    </w:p>
    <w:p>
      <w:pPr>
        <w:spacing w:before="40" w:after="80"/>
        <w:jc w:val="both"/>
      </w:pPr>
      <w:r>
        <w:rPr>
          <w:rFonts w:ascii="Times New Roman" w:hAnsi="Times New Roman"/>
          <w:sz w:val="20"/>
        </w:rPr>
        <w:t>[13] UCI Machine Learning Repository: Parkinson's Disease Telemonitoring &amp; Voice Datasets. Available: https://archive.ics.uci.edu/dataset/174/parkinsons</w:t>
      </w:r>
    </w:p>
    <w:p>
      <w:pPr>
        <w:spacing w:before="40" w:after="80"/>
        <w:jc w:val="both"/>
      </w:pPr>
      <w:r>
        <w:rPr>
          <w:rFonts w:ascii="Times New Roman" w:hAnsi="Times New Roman"/>
          <w:sz w:val="20"/>
        </w:rPr>
        <w:t>[14] World Health Organization: Parkinson disease public health factsheet. Available: https://www.who.int/news-room/fact-sheets/detail/parkinson-disease</w:t>
      </w:r>
    </w:p>
    <w:p>
      <w:pPr>
        <w:keepNext/>
        <w:spacing w:before="240" w:after="80"/>
      </w:pPr>
      <w:r>
        <w:rPr>
          <w:rFonts w:ascii="Times New Roman" w:hAnsi="Times New Roman"/>
          <w:b/>
          <w:color w:val="0284C7"/>
          <w:sz w:val="26"/>
        </w:rPr>
        <w:t>7.3 LIST OF BOOKS</w:t>
      </w:r>
    </w:p>
    <w:p>
      <w:pPr>
        <w:spacing w:before="40" w:after="80"/>
        <w:jc w:val="both"/>
      </w:pPr>
      <w:r>
        <w:rPr>
          <w:rFonts w:ascii="Times New Roman" w:hAnsi="Times New Roman"/>
          <w:sz w:val="20"/>
        </w:rPr>
        <w:t>[15] C. J. Date, An Introduction to Database Systems, 8th ed. Boston, MA: Pearson/Addison-Wesley, 2004.</w:t>
      </w:r>
    </w:p>
    <w:p>
      <w:pPr>
        <w:spacing w:before="40" w:after="80"/>
        <w:jc w:val="both"/>
      </w:pPr>
      <w:r>
        <w:rPr>
          <w:rFonts w:ascii="Times New Roman" w:hAnsi="Times New Roman"/>
          <w:sz w:val="20"/>
        </w:rPr>
        <w:t>[16] A. Silberschatz, H. F. Korth, and S. Sudarshan, Database System Concepts, 7th ed. New York, NY: McGraw-Hill Education, 2020.</w:t>
      </w:r>
    </w:p>
    <w:p>
      <w:pPr>
        <w:spacing w:before="40" w:after="80"/>
        <w:jc w:val="both"/>
      </w:pPr>
      <w:r>
        <w:rPr>
          <w:rFonts w:ascii="Times New Roman" w:hAnsi="Times New Roman"/>
          <w:sz w:val="20"/>
        </w:rPr>
        <w:t>[17] W. McKinney, Python for Data Analysis: Data Wrangling with Pandas, NumPy, and Jupyter, 3rd ed. Sebastopol, CA: O'Reilly Media, 2022.</w:t>
      </w:r>
    </w:p>
    <w:p>
      <w:pPr>
        <w:spacing w:before="40" w:after="80"/>
        <w:jc w:val="both"/>
      </w:pPr>
      <w:r>
        <w:rPr>
          <w:rFonts w:ascii="Times New Roman" w:hAnsi="Times New Roman"/>
          <w:sz w:val="20"/>
        </w:rPr>
        <w:t>[18] A. Géron, Hands-On Machine Learning with Scikit-Learn, Keras, and TensorFlow, 3rd ed. Sebastopol, CA: O'Reilly Media,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7"/>
      </w:rPr>
      <w:t>BCSE302L Database Systems | Review-3 Capstone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