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A8AF6" w14:textId="41F4D0EF" w:rsidR="00866277" w:rsidRPr="00995E1A" w:rsidRDefault="00591353" w:rsidP="00591353">
      <w:pPr>
        <w:pStyle w:val="IOP-CS-Title"/>
        <w:jc w:val="both"/>
        <w:rPr>
          <w:rFonts w:ascii="Arial" w:hAnsi="Arial" w:cs="Arial"/>
        </w:rPr>
      </w:pPr>
      <w:r w:rsidRPr="00591353">
        <w:rPr>
          <w:rFonts w:ascii="Arial" w:hAnsi="Arial" w:cs="Arial"/>
        </w:rPr>
        <w:t xml:space="preserve">Guidelines for Preparing </w:t>
      </w:r>
      <w:r>
        <w:rPr>
          <w:rFonts w:ascii="Arial" w:hAnsi="Arial" w:cs="Arial"/>
        </w:rPr>
        <w:t>Manuscript</w:t>
      </w:r>
      <w:r w:rsidRPr="00591353">
        <w:rPr>
          <w:rFonts w:ascii="Arial" w:hAnsi="Arial" w:cs="Arial"/>
        </w:rPr>
        <w:t xml:space="preserve"> for the </w:t>
      </w:r>
      <w:r>
        <w:rPr>
          <w:rFonts w:ascii="Arial" w:hAnsi="Arial" w:cs="Arial"/>
        </w:rPr>
        <w:t>ICSEEGT 2025: An overview</w:t>
      </w:r>
    </w:p>
    <w:p w14:paraId="2A13FE35" w14:textId="0BB73816" w:rsidR="00D1709E" w:rsidRPr="0013125F" w:rsidRDefault="002D0B1A" w:rsidP="00995E1A">
      <w:pPr>
        <w:spacing w:after="240"/>
        <w:ind w:left="1411"/>
        <w:rPr>
          <w:rFonts w:ascii="Arial" w:hAnsi="Arial" w:cs="Arial"/>
          <w:b/>
          <w:bCs/>
          <w:sz w:val="24"/>
          <w:szCs w:val="24"/>
        </w:rPr>
      </w:pPr>
      <w:r w:rsidRPr="0013125F">
        <w:rPr>
          <w:rFonts w:ascii="Arial" w:hAnsi="Arial" w:cs="Arial"/>
          <w:b/>
          <w:bCs/>
          <w:sz w:val="24"/>
          <w:szCs w:val="24"/>
        </w:rPr>
        <w:t xml:space="preserve">Author </w:t>
      </w:r>
      <w:r w:rsidR="00CD704C" w:rsidRPr="0013125F">
        <w:rPr>
          <w:rFonts w:ascii="Arial" w:hAnsi="Arial" w:cs="Arial"/>
          <w:b/>
          <w:bCs/>
          <w:sz w:val="24"/>
          <w:szCs w:val="24"/>
        </w:rPr>
        <w:t>N</w:t>
      </w:r>
      <w:r w:rsidRPr="0013125F">
        <w:rPr>
          <w:rFonts w:ascii="Arial" w:hAnsi="Arial" w:cs="Arial"/>
          <w:b/>
          <w:bCs/>
          <w:sz w:val="24"/>
          <w:szCs w:val="24"/>
        </w:rPr>
        <w:t>ame</w:t>
      </w:r>
      <w:r w:rsidR="006B3D2B" w:rsidRPr="0013125F">
        <w:rPr>
          <w:rFonts w:ascii="Arial" w:hAnsi="Arial" w:cs="Arial"/>
          <w:b/>
          <w:bCs/>
          <w:sz w:val="24"/>
          <w:szCs w:val="24"/>
          <w:vertAlign w:val="superscript"/>
        </w:rPr>
        <w:t>1</w:t>
      </w:r>
      <w:r w:rsidR="00646B36" w:rsidRPr="0013125F">
        <w:rPr>
          <w:rFonts w:ascii="Arial" w:hAnsi="Arial" w:cs="Arial"/>
          <w:b/>
          <w:bCs/>
          <w:sz w:val="24"/>
          <w:szCs w:val="24"/>
          <w:vertAlign w:val="superscript"/>
        </w:rPr>
        <w:t>*</w:t>
      </w:r>
      <w:r w:rsidR="00CD704C" w:rsidRPr="0013125F">
        <w:rPr>
          <w:rFonts w:ascii="Arial" w:hAnsi="Arial" w:cs="Arial"/>
          <w:b/>
          <w:bCs/>
          <w:sz w:val="24"/>
          <w:szCs w:val="24"/>
        </w:rPr>
        <w:t>,</w:t>
      </w:r>
      <w:r w:rsidR="00C86A8C" w:rsidRPr="0013125F">
        <w:rPr>
          <w:rFonts w:ascii="Arial" w:hAnsi="Arial" w:cs="Arial"/>
          <w:b/>
          <w:bCs/>
          <w:sz w:val="24"/>
          <w:szCs w:val="24"/>
        </w:rPr>
        <w:t xml:space="preserve"> Author Name</w:t>
      </w:r>
      <w:r w:rsidR="006B3D2B" w:rsidRPr="0013125F">
        <w:rPr>
          <w:rFonts w:ascii="Arial" w:hAnsi="Arial" w:cs="Arial"/>
          <w:b/>
          <w:bCs/>
          <w:sz w:val="24"/>
          <w:szCs w:val="24"/>
          <w:vertAlign w:val="superscript"/>
        </w:rPr>
        <w:t>2</w:t>
      </w:r>
      <w:r w:rsidR="0013125F">
        <w:rPr>
          <w:rFonts w:ascii="Arial" w:hAnsi="Arial" w:cs="Arial"/>
          <w:b/>
          <w:bCs/>
          <w:sz w:val="24"/>
          <w:szCs w:val="24"/>
        </w:rPr>
        <w:t xml:space="preserve">, </w:t>
      </w:r>
      <w:r w:rsidR="00C86A8C" w:rsidRPr="0013125F">
        <w:rPr>
          <w:rFonts w:ascii="Arial" w:hAnsi="Arial" w:cs="Arial"/>
          <w:b/>
          <w:bCs/>
          <w:sz w:val="24"/>
          <w:szCs w:val="24"/>
        </w:rPr>
        <w:t>and A</w:t>
      </w:r>
      <w:r w:rsidR="00C86A8C" w:rsidRPr="0013125F">
        <w:rPr>
          <w:rStyle w:val="IOP-CS-AuthorChar"/>
          <w:rFonts w:ascii="Arial" w:hAnsi="Arial" w:cs="Arial"/>
          <w:sz w:val="24"/>
          <w:szCs w:val="24"/>
        </w:rPr>
        <w:t>ut</w:t>
      </w:r>
      <w:r w:rsidR="00C86A8C" w:rsidRPr="0013125F">
        <w:rPr>
          <w:rFonts w:ascii="Arial" w:hAnsi="Arial" w:cs="Arial"/>
          <w:b/>
          <w:bCs/>
          <w:sz w:val="24"/>
          <w:szCs w:val="24"/>
        </w:rPr>
        <w:t>hor Name</w:t>
      </w:r>
      <w:r w:rsidR="006B3D2B" w:rsidRPr="0013125F">
        <w:rPr>
          <w:rFonts w:ascii="Arial" w:hAnsi="Arial" w:cs="Arial"/>
          <w:b/>
          <w:bCs/>
          <w:sz w:val="24"/>
          <w:szCs w:val="24"/>
          <w:vertAlign w:val="superscript"/>
        </w:rPr>
        <w:t>1,</w:t>
      </w:r>
      <w:r w:rsidR="005B27F5" w:rsidRPr="0013125F">
        <w:rPr>
          <w:rFonts w:ascii="Arial" w:hAnsi="Arial" w:cs="Arial"/>
          <w:b/>
          <w:bCs/>
          <w:sz w:val="24"/>
          <w:szCs w:val="24"/>
          <w:vertAlign w:val="superscript"/>
        </w:rPr>
        <w:t>2</w:t>
      </w:r>
    </w:p>
    <w:p w14:paraId="7015DE37" w14:textId="7F0D7757" w:rsidR="00A05FF8" w:rsidRPr="0013125F" w:rsidRDefault="00207B84" w:rsidP="000B2CE3">
      <w:pPr>
        <w:pStyle w:val="IOP-CS-Affiliation"/>
        <w:rPr>
          <w:rFonts w:ascii="Arial" w:hAnsi="Arial" w:cs="Arial"/>
        </w:rPr>
      </w:pPr>
      <w:r w:rsidRPr="0013125F">
        <w:rPr>
          <w:rFonts w:ascii="Arial" w:hAnsi="Arial" w:cs="Arial"/>
          <w:vertAlign w:val="superscript"/>
        </w:rPr>
        <w:t xml:space="preserve">1 </w:t>
      </w:r>
      <w:r w:rsidRPr="0013125F">
        <w:rPr>
          <w:rFonts w:ascii="Arial" w:hAnsi="Arial" w:cs="Arial"/>
        </w:rPr>
        <w:t>Department, In</w:t>
      </w:r>
      <w:r w:rsidRPr="0013125F">
        <w:rPr>
          <w:rStyle w:val="IOP-CS-AffiliationChar"/>
          <w:rFonts w:ascii="Arial" w:hAnsi="Arial" w:cs="Arial"/>
        </w:rPr>
        <w:t>stitut</w:t>
      </w:r>
      <w:r w:rsidRPr="0013125F">
        <w:rPr>
          <w:rFonts w:ascii="Arial" w:hAnsi="Arial" w:cs="Arial"/>
        </w:rPr>
        <w:t>ion, City, Country</w:t>
      </w:r>
    </w:p>
    <w:p w14:paraId="3CEAEA38" w14:textId="63D1A699" w:rsidR="00A05FF8" w:rsidRPr="0013125F" w:rsidRDefault="005B27F5" w:rsidP="000B2CE3">
      <w:pPr>
        <w:pStyle w:val="IOP-CS-Affiliation"/>
        <w:rPr>
          <w:rFonts w:ascii="Arial" w:hAnsi="Arial" w:cs="Arial"/>
        </w:rPr>
      </w:pPr>
      <w:r w:rsidRPr="0013125F">
        <w:rPr>
          <w:rFonts w:ascii="Arial" w:hAnsi="Arial" w:cs="Arial"/>
          <w:vertAlign w:val="superscript"/>
        </w:rPr>
        <w:t>2</w:t>
      </w:r>
      <w:r w:rsidR="00A05FF8" w:rsidRPr="0013125F">
        <w:rPr>
          <w:rFonts w:ascii="Arial" w:hAnsi="Arial" w:cs="Arial"/>
          <w:vertAlign w:val="superscript"/>
        </w:rPr>
        <w:t xml:space="preserve"> </w:t>
      </w:r>
      <w:r w:rsidR="00A05FF8" w:rsidRPr="0013125F">
        <w:rPr>
          <w:rFonts w:ascii="Arial" w:hAnsi="Arial" w:cs="Arial"/>
        </w:rPr>
        <w:t>Department, Institution, City, Country</w:t>
      </w:r>
    </w:p>
    <w:p w14:paraId="413D2FF3" w14:textId="59DE19F5" w:rsidR="00207B84" w:rsidRPr="0013125F" w:rsidRDefault="00825615" w:rsidP="00995E1A">
      <w:pPr>
        <w:pStyle w:val="IOP-CS-Affiliation"/>
        <w:spacing w:before="200" w:after="200"/>
        <w:ind w:left="1411"/>
        <w:rPr>
          <w:rFonts w:ascii="Arial" w:hAnsi="Arial" w:cs="Arial"/>
        </w:rPr>
      </w:pPr>
      <w:r w:rsidRPr="0013125F">
        <w:rPr>
          <w:rFonts w:ascii="Arial" w:hAnsi="Arial" w:cs="Arial"/>
          <w:vertAlign w:val="superscript"/>
        </w:rPr>
        <w:t>*</w:t>
      </w:r>
      <w:r w:rsidR="004A2048" w:rsidRPr="0013125F">
        <w:rPr>
          <w:rFonts w:ascii="Arial" w:hAnsi="Arial" w:cs="Arial"/>
        </w:rPr>
        <w:t>E-mail: name@institution.edu</w:t>
      </w:r>
      <w:r w:rsidR="0005738C">
        <w:rPr>
          <w:rFonts w:ascii="Arial" w:hAnsi="Arial" w:cs="Arial"/>
        </w:rPr>
        <w:t>.in</w:t>
      </w:r>
    </w:p>
    <w:p w14:paraId="5CC96F8F" w14:textId="224C6320" w:rsidR="005D53A8" w:rsidRDefault="005D53A8" w:rsidP="0013125F">
      <w:pPr>
        <w:pStyle w:val="IOP-CS-Affiliation"/>
        <w:spacing w:after="120"/>
        <w:ind w:left="1411"/>
        <w:jc w:val="both"/>
        <w:rPr>
          <w:rStyle w:val="IOP-CS-AbstractChar"/>
          <w:rFonts w:ascii="Arial" w:hAnsi="Arial" w:cs="Arial"/>
        </w:rPr>
      </w:pPr>
      <w:r w:rsidRPr="0013125F">
        <w:rPr>
          <w:rFonts w:ascii="Arial" w:hAnsi="Arial" w:cs="Arial"/>
          <w:b/>
          <w:bCs/>
        </w:rPr>
        <w:t xml:space="preserve">Abstract. </w:t>
      </w:r>
      <w:r w:rsidR="0013125F" w:rsidRPr="0013125F">
        <w:rPr>
          <w:rStyle w:val="IOP-CS-AbstractChar"/>
          <w:rFonts w:ascii="Arial" w:hAnsi="Arial" w:cs="Arial"/>
        </w:rPr>
        <w:t>The abstract should be concise, usually between 150 and 250 words, written in a single paragraph without references, figures, or equations. It must briefly highlight the purpose, methodology, results, and key conclusions of the study. Following the abstract, authors should provide 4–6 keywords, separated by commas, to facilitate indexing.</w:t>
      </w:r>
    </w:p>
    <w:p w14:paraId="66C667C7" w14:textId="32B93AE4" w:rsidR="0013125F" w:rsidRPr="00B7294E" w:rsidRDefault="0005738C" w:rsidP="00454FA9">
      <w:pPr>
        <w:pStyle w:val="IOP-CS-Affiliation"/>
        <w:spacing w:after="360"/>
        <w:ind w:left="1411"/>
        <w:jc w:val="both"/>
        <w:rPr>
          <w:rStyle w:val="IOP-CS-AbstractChar"/>
          <w:rFonts w:ascii="Arial" w:hAnsi="Arial" w:cs="Arial"/>
        </w:rPr>
      </w:pPr>
      <w:r>
        <w:rPr>
          <w:rFonts w:ascii="Arial" w:hAnsi="Arial" w:cs="Arial"/>
          <w:b/>
          <w:bCs/>
        </w:rPr>
        <w:t>Keywords</w:t>
      </w:r>
      <w:r w:rsidR="0013125F" w:rsidRPr="0013125F">
        <w:rPr>
          <w:rFonts w:ascii="Arial" w:hAnsi="Arial" w:cs="Arial"/>
          <w:b/>
          <w:bCs/>
        </w:rPr>
        <w:t xml:space="preserve">. </w:t>
      </w:r>
      <w:r w:rsidR="00B7294E" w:rsidRPr="00B7294E">
        <w:rPr>
          <w:rFonts w:ascii="Arial" w:hAnsi="Arial" w:cs="Arial"/>
        </w:rPr>
        <w:t>Renewable Energy, Wastewater Treatment, Wind Power,</w:t>
      </w:r>
      <w:r w:rsidR="00B7294E">
        <w:rPr>
          <w:rFonts w:ascii="Arial" w:hAnsi="Arial" w:cs="Arial"/>
        </w:rPr>
        <w:t xml:space="preserve"> </w:t>
      </w:r>
      <w:r w:rsidR="00B7294E" w:rsidRPr="00B7294E">
        <w:rPr>
          <w:rFonts w:ascii="Arial" w:hAnsi="Arial" w:cs="Arial"/>
        </w:rPr>
        <w:t>Green Hydrogen</w:t>
      </w:r>
      <w:r w:rsidR="00B7294E">
        <w:rPr>
          <w:rFonts w:ascii="Arial" w:hAnsi="Arial" w:cs="Arial"/>
        </w:rPr>
        <w:t xml:space="preserve">, </w:t>
      </w:r>
      <w:r w:rsidR="00B7294E" w:rsidRPr="00B7294E">
        <w:rPr>
          <w:rFonts w:ascii="Arial" w:hAnsi="Arial" w:cs="Arial"/>
        </w:rPr>
        <w:t>Climate Change Policy, Carbon Neutrality</w:t>
      </w:r>
    </w:p>
    <w:p w14:paraId="6141501A" w14:textId="1BB2BE25" w:rsidR="001A2DA8" w:rsidRPr="00995E1A" w:rsidRDefault="00E13BB8" w:rsidP="00454FA9">
      <w:pPr>
        <w:pStyle w:val="IOP-CS-SectionHead"/>
        <w:spacing w:before="200"/>
        <w:rPr>
          <w:rFonts w:ascii="Arial" w:hAnsi="Arial" w:cs="Arial"/>
        </w:rPr>
      </w:pPr>
      <w:r w:rsidRPr="00995E1A">
        <w:rPr>
          <w:rFonts w:ascii="Arial" w:hAnsi="Arial" w:cs="Arial"/>
        </w:rPr>
        <w:t xml:space="preserve">1. </w:t>
      </w:r>
      <w:r w:rsidR="0013125F">
        <w:rPr>
          <w:rFonts w:ascii="Arial" w:hAnsi="Arial" w:cs="Arial"/>
        </w:rPr>
        <w:t>Introduction</w:t>
      </w:r>
    </w:p>
    <w:p w14:paraId="0E502193" w14:textId="3CA3E0DD" w:rsidR="00820E84" w:rsidRDefault="00820E84" w:rsidP="00820E84">
      <w:pPr>
        <w:pStyle w:val="IOP-CS-SectionHead"/>
        <w:spacing w:before="0" w:after="0"/>
        <w:jc w:val="both"/>
        <w:rPr>
          <w:rFonts w:ascii="Arial" w:hAnsi="Arial" w:cs="Arial"/>
          <w:b w:val="0"/>
          <w:bCs w:val="0"/>
        </w:rPr>
      </w:pPr>
      <w:r w:rsidRPr="00820E84">
        <w:rPr>
          <w:rFonts w:ascii="Arial" w:hAnsi="Arial" w:cs="Arial"/>
          <w:b w:val="0"/>
          <w:bCs w:val="0"/>
        </w:rPr>
        <w:t xml:space="preserve">When preparing a conference paper, authors should follow the standard formatting rules to ensure consistency across all submissions. The preferred font is Arial, with the title set in 18-point bold, author names in 12-point, and the main text in </w:t>
      </w:r>
      <w:r>
        <w:rPr>
          <w:rFonts w:ascii="Arial" w:hAnsi="Arial" w:cs="Arial"/>
          <w:b w:val="0"/>
          <w:bCs w:val="0"/>
        </w:rPr>
        <w:t>11</w:t>
      </w:r>
      <w:r w:rsidRPr="00820E84">
        <w:rPr>
          <w:rFonts w:ascii="Arial" w:hAnsi="Arial" w:cs="Arial"/>
          <w:b w:val="0"/>
          <w:bCs w:val="0"/>
        </w:rPr>
        <w:t>-point size. The abstract and keywords should also be written in 10-point font. The paper must be typed in single line spacing and formatted according to the margins defined in the official template for each section. Paragraphs should not be indented, and a blank line should be inserted to separate sections. After the first paragraph in each section, all subsequent paragraphs must begin with a 0.3-inch indent on the first line.</w:t>
      </w:r>
    </w:p>
    <w:p w14:paraId="0592417B" w14:textId="1EF923F0" w:rsidR="00820E84" w:rsidRDefault="00820E84" w:rsidP="00820E84">
      <w:pPr>
        <w:pStyle w:val="IOP-CS-SectionHead"/>
        <w:spacing w:before="0" w:after="0"/>
        <w:ind w:firstLine="432"/>
        <w:jc w:val="both"/>
        <w:rPr>
          <w:rFonts w:ascii="Arial" w:hAnsi="Arial" w:cs="Arial"/>
          <w:b w:val="0"/>
          <w:bCs w:val="0"/>
        </w:rPr>
      </w:pPr>
      <w:r w:rsidRPr="00820E84">
        <w:rPr>
          <w:rFonts w:ascii="Arial" w:hAnsi="Arial" w:cs="Arial"/>
          <w:b w:val="0"/>
          <w:bCs w:val="0"/>
        </w:rPr>
        <w:t xml:space="preserve">The expected page limit is </w:t>
      </w:r>
      <w:r>
        <w:rPr>
          <w:rFonts w:ascii="Arial" w:hAnsi="Arial" w:cs="Arial"/>
          <w:b w:val="0"/>
          <w:bCs w:val="0"/>
        </w:rPr>
        <w:t>8</w:t>
      </w:r>
      <w:r w:rsidRPr="00820E84">
        <w:rPr>
          <w:rFonts w:ascii="Arial" w:hAnsi="Arial" w:cs="Arial"/>
          <w:b w:val="0"/>
          <w:bCs w:val="0"/>
        </w:rPr>
        <w:t>–1</w:t>
      </w:r>
      <w:r>
        <w:rPr>
          <w:rFonts w:ascii="Arial" w:hAnsi="Arial" w:cs="Arial"/>
          <w:b w:val="0"/>
          <w:bCs w:val="0"/>
        </w:rPr>
        <w:t>0</w:t>
      </w:r>
      <w:r w:rsidRPr="00820E84">
        <w:rPr>
          <w:rFonts w:ascii="Arial" w:hAnsi="Arial" w:cs="Arial"/>
          <w:b w:val="0"/>
          <w:bCs w:val="0"/>
        </w:rPr>
        <w:t xml:space="preserve"> pages, including figures, tables, references, and appendices. Authors must submit their papers in the specified format; Microsoft Word (.docx) is mandatory, and LaTeX submissions will only be accepted if explicitly approved. The template currently follows a single-column format, but authors should note that the final publication may be converted to double-column layout during the proceedings production stage. Additional formatting requirements are provided in the separate detailed guidelines document</w:t>
      </w:r>
      <w:r>
        <w:rPr>
          <w:rFonts w:ascii="Arial" w:hAnsi="Arial" w:cs="Arial"/>
          <w:b w:val="0"/>
          <w:bCs w:val="0"/>
        </w:rPr>
        <w:t xml:space="preserve"> in section </w:t>
      </w:r>
      <w:r w:rsidR="00BC40C0" w:rsidRPr="00454FA9">
        <w:rPr>
          <w:rFonts w:ascii="Arial" w:hAnsi="Arial" w:cs="Arial"/>
          <w:b w:val="0"/>
          <w:bCs w:val="0"/>
        </w:rPr>
        <w:t>1.1</w:t>
      </w:r>
      <w:r>
        <w:rPr>
          <w:rFonts w:ascii="Arial" w:hAnsi="Arial" w:cs="Arial"/>
          <w:b w:val="0"/>
          <w:bCs w:val="0"/>
        </w:rPr>
        <w:t>.</w:t>
      </w:r>
    </w:p>
    <w:p w14:paraId="2421A98D" w14:textId="0C7BD475" w:rsidR="00454FA9" w:rsidRPr="00820E84" w:rsidRDefault="00BC40C0" w:rsidP="00820E84">
      <w:pPr>
        <w:pStyle w:val="IOP-CS-SectionHead"/>
        <w:spacing w:before="0" w:after="0"/>
        <w:ind w:firstLine="432"/>
        <w:jc w:val="both"/>
        <w:rPr>
          <w:rFonts w:ascii="Arial" w:hAnsi="Arial" w:cs="Arial"/>
          <w:b w:val="0"/>
          <w:bCs w:val="0"/>
        </w:rPr>
      </w:pPr>
      <w:r w:rsidRPr="00820E84">
        <w:rPr>
          <w:rFonts w:ascii="Arial" w:hAnsi="Arial" w:cs="Arial"/>
          <w:b w:val="0"/>
          <w:bCs w:val="0"/>
        </w:rPr>
        <w:t>Please note that the section headings should be numbered (e.g., 1, 2, 3), left-aligned, written in 1</w:t>
      </w:r>
      <w:r w:rsidR="00454FA9" w:rsidRPr="00820E84">
        <w:rPr>
          <w:rFonts w:ascii="Arial" w:hAnsi="Arial" w:cs="Arial"/>
          <w:b w:val="0"/>
          <w:bCs w:val="0"/>
        </w:rPr>
        <w:t>1</w:t>
      </w:r>
      <w:r w:rsidRPr="00820E84">
        <w:rPr>
          <w:rFonts w:ascii="Arial" w:hAnsi="Arial" w:cs="Arial"/>
          <w:b w:val="0"/>
          <w:bCs w:val="0"/>
        </w:rPr>
        <w:t>-</w:t>
      </w:r>
      <w:r w:rsidR="00454FA9" w:rsidRPr="00820E84">
        <w:rPr>
          <w:rFonts w:ascii="Arial" w:hAnsi="Arial" w:cs="Arial"/>
          <w:b w:val="0"/>
          <w:bCs w:val="0"/>
        </w:rPr>
        <w:t>point,</w:t>
      </w:r>
      <w:r w:rsidRPr="00820E84">
        <w:rPr>
          <w:rFonts w:ascii="Arial" w:hAnsi="Arial" w:cs="Arial"/>
          <w:b w:val="0"/>
          <w:bCs w:val="0"/>
        </w:rPr>
        <w:t xml:space="preserve"> and use title case (capitalize the first letter of major words). Subsection headings should be numbered as 1.1, 1.2, 2.1, etc., written in 11-point bold, left-aligned, and in sentence case (capitalize only the first letter of the first word and proper nouns). </w:t>
      </w:r>
    </w:p>
    <w:p w14:paraId="74E8ABAB" w14:textId="559D726F" w:rsidR="00454FA9" w:rsidRPr="00454FA9" w:rsidRDefault="00454FA9" w:rsidP="00272090">
      <w:pPr>
        <w:pStyle w:val="IOP-CS-BodyText"/>
        <w:spacing w:before="60" w:after="60"/>
        <w:ind w:firstLine="0"/>
        <w:rPr>
          <w:rFonts w:ascii="Arial" w:hAnsi="Arial" w:cs="Arial"/>
          <w:i/>
          <w:iCs/>
        </w:rPr>
      </w:pPr>
      <w:r w:rsidRPr="00454FA9">
        <w:rPr>
          <w:rFonts w:ascii="Arial" w:hAnsi="Arial" w:cs="Arial"/>
          <w:i/>
          <w:iCs/>
        </w:rPr>
        <w:t>1. Example Sub-subsection Heading</w:t>
      </w:r>
    </w:p>
    <w:p w14:paraId="45206CD2" w14:textId="58013FBD" w:rsidR="00272090" w:rsidRDefault="00454FA9" w:rsidP="00454FA9">
      <w:pPr>
        <w:pStyle w:val="IOP-CS-BodyText"/>
        <w:ind w:firstLine="0"/>
        <w:rPr>
          <w:rFonts w:ascii="Arial" w:hAnsi="Arial" w:cs="Arial"/>
        </w:rPr>
      </w:pPr>
      <w:r w:rsidRPr="00454FA9">
        <w:rPr>
          <w:rFonts w:ascii="Arial" w:hAnsi="Arial" w:cs="Arial"/>
        </w:rPr>
        <w:t>Sub-subsection headings should be Arial, 10-point, bold italic, left-aligned, and numbered consecutively (e.g., 1.1.1, 1.1.2). These may be used for detailed breakdowns within subsections</w:t>
      </w:r>
    </w:p>
    <w:p w14:paraId="1926C173" w14:textId="59612646" w:rsidR="00820E84" w:rsidRDefault="002D566F" w:rsidP="00820E84">
      <w:pPr>
        <w:pStyle w:val="IOP-CS-BodyText"/>
        <w:spacing w:before="60" w:after="60"/>
        <w:ind w:firstLine="0"/>
        <w:rPr>
          <w:rFonts w:ascii="Arial" w:hAnsi="Arial" w:cs="Arial"/>
          <w:i/>
          <w:iCs/>
        </w:rPr>
      </w:pPr>
      <w:r w:rsidRPr="009E2AE5">
        <w:rPr>
          <w:rFonts w:ascii="Arial" w:hAnsi="Arial" w:cs="Arial"/>
          <w:i/>
          <w:iCs/>
        </w:rPr>
        <w:t>1.1.</w:t>
      </w:r>
      <w:r w:rsidR="008034BD">
        <w:rPr>
          <w:rFonts w:ascii="Arial" w:hAnsi="Arial" w:cs="Arial"/>
          <w:i/>
          <w:iCs/>
        </w:rPr>
        <w:t>1</w:t>
      </w:r>
      <w:r w:rsidRPr="009E2AE5">
        <w:rPr>
          <w:rFonts w:ascii="Arial" w:hAnsi="Arial" w:cs="Arial"/>
          <w:i/>
          <w:iCs/>
        </w:rPr>
        <w:t xml:space="preserve"> </w:t>
      </w:r>
      <w:r w:rsidRPr="002D566F">
        <w:rPr>
          <w:rFonts w:ascii="Arial" w:hAnsi="Arial" w:cs="Arial"/>
          <w:i/>
          <w:iCs/>
        </w:rPr>
        <w:t xml:space="preserve">Figures </w:t>
      </w:r>
      <w:r w:rsidRPr="009E2AE5">
        <w:rPr>
          <w:rFonts w:ascii="Arial" w:hAnsi="Arial" w:cs="Arial"/>
          <w:i/>
          <w:iCs/>
        </w:rPr>
        <w:t xml:space="preserve">Guidelines </w:t>
      </w:r>
    </w:p>
    <w:p w14:paraId="3FEF0E2D" w14:textId="438D273A" w:rsidR="00820E84" w:rsidRPr="00820E84" w:rsidRDefault="00820E84" w:rsidP="00820E84">
      <w:pPr>
        <w:pStyle w:val="IOP-CS-BodyText"/>
        <w:spacing w:before="60" w:after="60"/>
        <w:ind w:firstLine="0"/>
        <w:rPr>
          <w:rFonts w:ascii="Arial" w:hAnsi="Arial" w:cs="Arial"/>
          <w:i/>
          <w:iCs/>
        </w:rPr>
      </w:pPr>
      <w:r w:rsidRPr="00820E84">
        <w:rPr>
          <w:rFonts w:ascii="Arial" w:hAnsi="Arial" w:cs="Arial"/>
          <w:lang w:val="en-IN"/>
        </w:rPr>
        <w:t xml:space="preserve">Figures should be clear, high-quality, and easy to interpret. The minimum resolution must be 300 dpi to ensure readability in both digital and print formats. Acceptable file formats include </w:t>
      </w:r>
      <w:r w:rsidRPr="00820E84">
        <w:rPr>
          <w:rFonts w:ascii="Arial" w:hAnsi="Arial" w:cs="Arial"/>
          <w:lang w:val="en-IN"/>
        </w:rPr>
        <w:lastRenderedPageBreak/>
        <w:t>.jpg, .</w:t>
      </w:r>
      <w:proofErr w:type="spellStart"/>
      <w:r w:rsidRPr="00820E84">
        <w:rPr>
          <w:rFonts w:ascii="Arial" w:hAnsi="Arial" w:cs="Arial"/>
          <w:lang w:val="en-IN"/>
        </w:rPr>
        <w:t>png</w:t>
      </w:r>
      <w:proofErr w:type="spellEnd"/>
      <w:r w:rsidRPr="00820E84">
        <w:rPr>
          <w:rFonts w:ascii="Arial" w:hAnsi="Arial" w:cs="Arial"/>
          <w:lang w:val="en-IN"/>
        </w:rPr>
        <w:t>, and .</w:t>
      </w:r>
      <w:proofErr w:type="spellStart"/>
      <w:r w:rsidRPr="00820E84">
        <w:rPr>
          <w:rFonts w:ascii="Arial" w:hAnsi="Arial" w:cs="Arial"/>
          <w:lang w:val="en-IN"/>
        </w:rPr>
        <w:t>tif</w:t>
      </w:r>
      <w:proofErr w:type="spellEnd"/>
      <w:r w:rsidRPr="00820E84">
        <w:rPr>
          <w:rFonts w:ascii="Arial" w:hAnsi="Arial" w:cs="Arial"/>
          <w:lang w:val="en-IN"/>
        </w:rPr>
        <w:t>; authors are advised to avoid low-resolution or compressed images. Overly complex or low-contrast diagrams should be avoided to maintain clarity when scaled or printed in black and white.</w:t>
      </w:r>
    </w:p>
    <w:p w14:paraId="50FFBA06" w14:textId="77777777" w:rsidR="00820E84" w:rsidRPr="00820E84" w:rsidRDefault="00820E84" w:rsidP="00820E84">
      <w:pPr>
        <w:pStyle w:val="IOP-CS-BodyText"/>
        <w:spacing w:before="60" w:after="60"/>
        <w:rPr>
          <w:rFonts w:ascii="Arial" w:hAnsi="Arial" w:cs="Arial"/>
          <w:lang w:val="en-IN"/>
        </w:rPr>
      </w:pPr>
      <w:r w:rsidRPr="00820E84">
        <w:rPr>
          <w:rFonts w:ascii="Arial" w:hAnsi="Arial" w:cs="Arial"/>
          <w:lang w:val="en-IN"/>
        </w:rPr>
        <w:t xml:space="preserve">All figures must be centered, numbered consecutively as </w:t>
      </w:r>
      <w:r w:rsidRPr="00820E84">
        <w:rPr>
          <w:rFonts w:ascii="Arial" w:hAnsi="Arial" w:cs="Arial"/>
          <w:i/>
          <w:iCs/>
          <w:lang w:val="en-IN"/>
        </w:rPr>
        <w:t>Figure 1, Figure 2,</w:t>
      </w:r>
      <w:r w:rsidRPr="00820E84">
        <w:rPr>
          <w:rFonts w:ascii="Arial" w:hAnsi="Arial" w:cs="Arial"/>
          <w:lang w:val="en-IN"/>
        </w:rPr>
        <w:t xml:space="preserve"> etc., and include a concise caption placed below the figure in Arial 10-point font. Figures should always be cited in the text (e.g., “as shown in Figure 3”), and each figure must be mentioned before it appears. If a figure contains multiple parts (e.g., a, b, c), label them clearly within the figure and describe each part in the caption.</w:t>
      </w:r>
    </w:p>
    <w:p w14:paraId="2248D64F" w14:textId="2A82D1B9" w:rsidR="002D566F" w:rsidRPr="002D566F" w:rsidRDefault="002D566F" w:rsidP="00272090">
      <w:pPr>
        <w:pStyle w:val="IOP-CS-BodyText"/>
        <w:spacing w:before="60" w:after="60"/>
        <w:ind w:firstLine="0"/>
        <w:rPr>
          <w:rFonts w:ascii="Arial" w:hAnsi="Arial" w:cs="Arial"/>
          <w:i/>
          <w:iCs/>
        </w:rPr>
      </w:pPr>
      <w:r w:rsidRPr="009E2AE5">
        <w:rPr>
          <w:rFonts w:ascii="Arial" w:hAnsi="Arial" w:cs="Arial"/>
          <w:i/>
          <w:iCs/>
        </w:rPr>
        <w:t>1.1.</w:t>
      </w:r>
      <w:r w:rsidR="008034BD">
        <w:rPr>
          <w:rFonts w:ascii="Arial" w:hAnsi="Arial" w:cs="Arial"/>
          <w:i/>
          <w:iCs/>
        </w:rPr>
        <w:t>2</w:t>
      </w:r>
      <w:r w:rsidRPr="009E2AE5">
        <w:rPr>
          <w:rFonts w:ascii="Arial" w:hAnsi="Arial" w:cs="Arial"/>
          <w:i/>
          <w:iCs/>
        </w:rPr>
        <w:t xml:space="preserve"> </w:t>
      </w:r>
      <w:r w:rsidR="009E2AE5" w:rsidRPr="009E2AE5">
        <w:rPr>
          <w:rFonts w:ascii="Arial" w:hAnsi="Arial" w:cs="Arial"/>
          <w:i/>
          <w:iCs/>
        </w:rPr>
        <w:t xml:space="preserve">How to </w:t>
      </w:r>
      <w:r w:rsidR="00272090" w:rsidRPr="009E2AE5">
        <w:rPr>
          <w:rFonts w:ascii="Arial" w:hAnsi="Arial" w:cs="Arial"/>
          <w:i/>
          <w:iCs/>
        </w:rPr>
        <w:t>format</w:t>
      </w:r>
      <w:r w:rsidR="00272090" w:rsidRPr="002D566F">
        <w:rPr>
          <w:rFonts w:ascii="Arial" w:hAnsi="Arial" w:cs="Arial"/>
          <w:i/>
          <w:iCs/>
        </w:rPr>
        <w:t xml:space="preserve"> Tables</w:t>
      </w:r>
    </w:p>
    <w:p w14:paraId="5F5253A3" w14:textId="66DB1A31" w:rsidR="002D566F" w:rsidRPr="0010112D" w:rsidRDefault="002D566F" w:rsidP="002D566F">
      <w:pPr>
        <w:pStyle w:val="IOP-CS-BodyText"/>
        <w:ind w:firstLine="0"/>
        <w:rPr>
          <w:rFonts w:ascii="Arial" w:hAnsi="Arial" w:cs="Arial"/>
          <w:lang w:val="en-US"/>
        </w:rPr>
      </w:pPr>
      <w:r w:rsidRPr="0010112D">
        <w:rPr>
          <w:rFonts w:ascii="Arial" w:hAnsi="Arial" w:cs="Arial"/>
          <w:lang w:val="en-US"/>
        </w:rPr>
        <w:t>Tables should also be centered, numbered consecutively as Table 1, Table 2, etc., with captions placed above the table in Arial 10-point font. Avoid vertical lines and keep tables simple.</w:t>
      </w:r>
      <w:r w:rsidR="00B4564C">
        <w:rPr>
          <w:rFonts w:ascii="Arial" w:hAnsi="Arial" w:cs="Arial"/>
          <w:lang w:val="en-US"/>
        </w:rPr>
        <w:t xml:space="preserve"> It is advised to cite the table in the text. </w:t>
      </w:r>
    </w:p>
    <w:p w14:paraId="0F60BA7B" w14:textId="5EC44A85" w:rsidR="002D566F" w:rsidRPr="002D566F" w:rsidRDefault="009E2AE5" w:rsidP="00591353">
      <w:pPr>
        <w:pStyle w:val="IOP-CS-BodyText"/>
        <w:spacing w:before="60" w:after="60"/>
        <w:ind w:firstLine="0"/>
        <w:rPr>
          <w:rFonts w:ascii="Arial" w:hAnsi="Arial" w:cs="Arial"/>
          <w:i/>
          <w:iCs/>
        </w:rPr>
      </w:pPr>
      <w:r w:rsidRPr="009E2AE5">
        <w:rPr>
          <w:rFonts w:ascii="Arial" w:hAnsi="Arial" w:cs="Arial"/>
          <w:i/>
          <w:iCs/>
        </w:rPr>
        <w:t>1.1.</w:t>
      </w:r>
      <w:r w:rsidR="008034BD">
        <w:rPr>
          <w:rFonts w:ascii="Arial" w:hAnsi="Arial" w:cs="Arial"/>
          <w:i/>
          <w:iCs/>
        </w:rPr>
        <w:t>3</w:t>
      </w:r>
      <w:r w:rsidRPr="009E2AE5">
        <w:rPr>
          <w:rFonts w:ascii="Arial" w:hAnsi="Arial" w:cs="Arial"/>
          <w:i/>
          <w:iCs/>
        </w:rPr>
        <w:t xml:space="preserve"> </w:t>
      </w:r>
      <w:r w:rsidR="00DC0894">
        <w:rPr>
          <w:rFonts w:ascii="Arial" w:hAnsi="Arial" w:cs="Arial"/>
          <w:i/>
          <w:iCs/>
        </w:rPr>
        <w:t>A</w:t>
      </w:r>
      <w:r w:rsidRPr="009E2AE5">
        <w:rPr>
          <w:rFonts w:ascii="Arial" w:hAnsi="Arial" w:cs="Arial"/>
          <w:i/>
          <w:iCs/>
        </w:rPr>
        <w:t xml:space="preserve">dding </w:t>
      </w:r>
      <w:r w:rsidR="002D566F" w:rsidRPr="002D566F">
        <w:rPr>
          <w:rFonts w:ascii="Arial" w:hAnsi="Arial" w:cs="Arial"/>
          <w:i/>
          <w:iCs/>
        </w:rPr>
        <w:t>Equations</w:t>
      </w:r>
    </w:p>
    <w:p w14:paraId="07FC49F3" w14:textId="375D58C2" w:rsidR="008034BD" w:rsidRDefault="00DC0894" w:rsidP="008034BD">
      <w:pPr>
        <w:pStyle w:val="IOP-CS-SectionHead"/>
        <w:spacing w:before="0" w:after="0"/>
        <w:jc w:val="both"/>
        <w:rPr>
          <w:rFonts w:ascii="Arial" w:hAnsi="Arial" w:cs="Arial"/>
          <w:b w:val="0"/>
          <w:bCs w:val="0"/>
          <w:lang w:val="en-IN"/>
        </w:rPr>
      </w:pPr>
      <w:r w:rsidRPr="00DC0894">
        <w:rPr>
          <w:rFonts w:ascii="Arial" w:hAnsi="Arial" w:cs="Arial"/>
          <w:b w:val="0"/>
          <w:bCs w:val="0"/>
          <w:lang w:val="en-IN"/>
        </w:rPr>
        <w:t>Equations should be prepared using a standard equation editor such as Microsoft Equation Editor, MathType, or LaTeX, to ensure consistency and compatibility across submissions. All equations must be centered on the page and numbered consecutively throughout the manuscript. Equation numbers should be aligned to the right margin in parentheses (e.g., (1</w:t>
      </w:r>
      <w:r w:rsidR="008034BD">
        <w:rPr>
          <w:rFonts w:ascii="Arial" w:hAnsi="Arial" w:cs="Arial"/>
          <w:b w:val="0"/>
          <w:bCs w:val="0"/>
          <w:lang w:val="en-IN"/>
        </w:rPr>
        <w:t>.1</w:t>
      </w:r>
      <w:r w:rsidRPr="00DC0894">
        <w:rPr>
          <w:rFonts w:ascii="Arial" w:hAnsi="Arial" w:cs="Arial"/>
          <w:b w:val="0"/>
          <w:bCs w:val="0"/>
          <w:lang w:val="en-IN"/>
        </w:rPr>
        <w:t>), (2</w:t>
      </w:r>
      <w:r w:rsidR="008034BD">
        <w:rPr>
          <w:rFonts w:ascii="Arial" w:hAnsi="Arial" w:cs="Arial"/>
          <w:b w:val="0"/>
          <w:bCs w:val="0"/>
          <w:lang w:val="en-IN"/>
        </w:rPr>
        <w:t>.1</w:t>
      </w:r>
      <w:r w:rsidRPr="00DC0894">
        <w:rPr>
          <w:rFonts w:ascii="Arial" w:hAnsi="Arial" w:cs="Arial"/>
          <w:b w:val="0"/>
          <w:bCs w:val="0"/>
          <w:lang w:val="en-IN"/>
        </w:rPr>
        <w:t>), (3</w:t>
      </w:r>
      <w:r w:rsidR="008034BD">
        <w:rPr>
          <w:rFonts w:ascii="Arial" w:hAnsi="Arial" w:cs="Arial"/>
          <w:b w:val="0"/>
          <w:bCs w:val="0"/>
          <w:lang w:val="en-IN"/>
        </w:rPr>
        <w:t>.5</w:t>
      </w:r>
      <w:r w:rsidRPr="00DC0894">
        <w:rPr>
          <w:rFonts w:ascii="Arial" w:hAnsi="Arial" w:cs="Arial"/>
          <w:b w:val="0"/>
          <w:bCs w:val="0"/>
          <w:lang w:val="en-IN"/>
        </w:rPr>
        <w:t>)</w:t>
      </w:r>
      <w:r w:rsidR="008034BD">
        <w:rPr>
          <w:rFonts w:ascii="Arial" w:hAnsi="Arial" w:cs="Arial"/>
          <w:b w:val="0"/>
          <w:bCs w:val="0"/>
          <w:lang w:val="en-IN"/>
        </w:rPr>
        <w:t xml:space="preserve"> etc.</w:t>
      </w:r>
    </w:p>
    <w:p w14:paraId="16211958" w14:textId="3A372B62" w:rsidR="008034BD" w:rsidRDefault="008034BD" w:rsidP="008034BD">
      <w:pPr>
        <w:pStyle w:val="IOP-CS-SectionHead"/>
        <w:spacing w:before="0" w:after="0"/>
        <w:ind w:firstLine="432"/>
        <w:jc w:val="both"/>
        <w:rPr>
          <w:rFonts w:ascii="Arial" w:hAnsi="Arial" w:cs="Arial"/>
          <w:b w:val="0"/>
          <w:bCs w:val="0"/>
          <w:lang w:val="en-IN"/>
        </w:rPr>
      </w:pPr>
      <w:r>
        <w:rPr>
          <w:rFonts w:ascii="Arial" w:hAnsi="Arial" w:cs="Arial"/>
          <w:b w:val="0"/>
          <w:bCs w:val="0"/>
          <w:lang w:val="en-IN"/>
        </w:rPr>
        <w:tab/>
      </w:r>
      <w:r w:rsidR="00DC0894" w:rsidRPr="00DC0894">
        <w:rPr>
          <w:rFonts w:ascii="Arial" w:hAnsi="Arial" w:cs="Arial"/>
          <w:b w:val="0"/>
          <w:bCs w:val="0"/>
          <w:lang w:val="en-IN"/>
        </w:rPr>
        <w:t>Equations must be cited in the text before they appear, and referenced using the format “as shown in Eq. (2)” or “the relationship is expressed in Eq</w:t>
      </w:r>
      <w:r w:rsidR="00DC0894">
        <w:rPr>
          <w:rFonts w:ascii="Arial" w:hAnsi="Arial" w:cs="Arial"/>
          <w:b w:val="0"/>
          <w:bCs w:val="0"/>
          <w:lang w:val="en-IN"/>
        </w:rPr>
        <w:t>uation</w:t>
      </w:r>
      <w:r w:rsidR="00DC0894" w:rsidRPr="00DC0894">
        <w:rPr>
          <w:rFonts w:ascii="Arial" w:hAnsi="Arial" w:cs="Arial"/>
          <w:b w:val="0"/>
          <w:bCs w:val="0"/>
          <w:lang w:val="en-IN"/>
        </w:rPr>
        <w:t xml:space="preserve"> (</w:t>
      </w:r>
      <w:r>
        <w:rPr>
          <w:rFonts w:ascii="Arial" w:hAnsi="Arial" w:cs="Arial"/>
          <w:b w:val="0"/>
          <w:bCs w:val="0"/>
          <w:lang w:val="en-IN"/>
        </w:rPr>
        <w:t>2.1</w:t>
      </w:r>
      <w:r w:rsidRPr="00DC0894">
        <w:rPr>
          <w:rFonts w:ascii="Arial" w:hAnsi="Arial" w:cs="Arial"/>
          <w:b w:val="0"/>
          <w:bCs w:val="0"/>
          <w:lang w:val="en-IN"/>
        </w:rPr>
        <w:t>)</w:t>
      </w:r>
      <w:r>
        <w:rPr>
          <w:rFonts w:ascii="Arial" w:hAnsi="Arial" w:cs="Arial"/>
          <w:b w:val="0"/>
          <w:bCs w:val="0"/>
          <w:lang w:val="en-IN"/>
        </w:rPr>
        <w:t>-(</w:t>
      </w:r>
      <w:r w:rsidR="00DC0894">
        <w:rPr>
          <w:rFonts w:ascii="Arial" w:hAnsi="Arial" w:cs="Arial"/>
          <w:b w:val="0"/>
          <w:bCs w:val="0"/>
          <w:lang w:val="en-IN"/>
        </w:rPr>
        <w:t>2.5</w:t>
      </w:r>
      <w:r w:rsidR="00DC0894" w:rsidRPr="00DC0894">
        <w:rPr>
          <w:rFonts w:ascii="Arial" w:hAnsi="Arial" w:cs="Arial"/>
          <w:b w:val="0"/>
          <w:bCs w:val="0"/>
          <w:lang w:val="en-IN"/>
        </w:rPr>
        <w:t>).” Each symbol and variable used in an equation should be defined in the text immediately after its first appearance to avoid ambiguity.</w:t>
      </w:r>
    </w:p>
    <w:p w14:paraId="04A65527" w14:textId="5C1B15D3" w:rsidR="008034BD" w:rsidRPr="008034BD" w:rsidRDefault="008034BD" w:rsidP="008034BD">
      <w:pPr>
        <w:pStyle w:val="IOP-CS-SectionHead"/>
        <w:spacing w:before="120" w:after="60"/>
        <w:jc w:val="both"/>
        <w:rPr>
          <w:rFonts w:ascii="Arial" w:hAnsi="Arial" w:cs="Arial"/>
          <w:b w:val="0"/>
          <w:bCs w:val="0"/>
          <w:lang w:val="en-IN"/>
        </w:rPr>
      </w:pPr>
      <w:r w:rsidRPr="008034BD">
        <w:rPr>
          <w:rFonts w:ascii="Arial" w:hAnsi="Arial" w:cs="Arial"/>
          <w:b w:val="0"/>
          <w:bCs w:val="0"/>
        </w:rPr>
        <w:t>1.2 Additional Policies and Submission Checklist</w:t>
      </w:r>
    </w:p>
    <w:p w14:paraId="7C1D7BDA" w14:textId="269F82B5" w:rsidR="008034BD" w:rsidRPr="008034BD" w:rsidRDefault="00D44528" w:rsidP="008034BD">
      <w:pPr>
        <w:pStyle w:val="IOP-CS-BodyNoIndent"/>
        <w:rPr>
          <w:rFonts w:ascii="Arial" w:hAnsi="Arial" w:cs="Arial"/>
          <w:lang w:val="en-IN"/>
        </w:rPr>
      </w:pPr>
      <w:r w:rsidRPr="00D44528">
        <w:rPr>
          <w:rFonts w:ascii="Arial" w:hAnsi="Arial" w:cs="Arial"/>
          <w:lang w:val="en-IN"/>
        </w:rPr>
        <w:t>All submitted manuscripts will undergo a strict originality screening process. The conference follows ethical publication practices, and therefore, every manuscript will be checked using Turnitin for plagiarism, including AI-generated content. A similarity index of less than 20% is mandatory for acceptance.</w:t>
      </w:r>
      <w:r>
        <w:rPr>
          <w:rFonts w:ascii="Arial" w:hAnsi="Arial" w:cs="Arial"/>
          <w:lang w:val="en-IN"/>
        </w:rPr>
        <w:t xml:space="preserve"> </w:t>
      </w:r>
      <w:r w:rsidR="008034BD" w:rsidRPr="008034BD">
        <w:rPr>
          <w:rFonts w:ascii="Arial" w:hAnsi="Arial" w:cs="Arial"/>
          <w:lang w:val="en-IN"/>
        </w:rPr>
        <w:t>Authors must ensure that any figures, tables, or text reproduced or adapted from previously published sources are properly cited, and necessary copyright permissions are obtained from the original publisher. To assist authors in preparing their manuscripts, a submission checklist is provided at the end of this template. The checklist covers essential items such as Title, Abstract, Keywords, Formatting, Figures and Tables, Equations, References, and Conflict of Interest declaration, ensuring that papers meet the required standards before submission.</w:t>
      </w:r>
    </w:p>
    <w:p w14:paraId="4D0A1791" w14:textId="61AD7ECD" w:rsidR="00783DE2" w:rsidRDefault="00D25E3D" w:rsidP="00591353">
      <w:pPr>
        <w:pStyle w:val="IOP-CS-SectionHead"/>
        <w:spacing w:before="200"/>
        <w:rPr>
          <w:rFonts w:ascii="Arial" w:hAnsi="Arial" w:cs="Arial"/>
        </w:rPr>
      </w:pPr>
      <w:r w:rsidRPr="00272090">
        <w:rPr>
          <w:rFonts w:ascii="Arial" w:hAnsi="Arial" w:cs="Arial"/>
        </w:rPr>
        <w:t xml:space="preserve">2. </w:t>
      </w:r>
      <w:r w:rsidR="00454FA9" w:rsidRPr="00272090">
        <w:rPr>
          <w:rFonts w:ascii="Arial" w:hAnsi="Arial" w:cs="Arial"/>
        </w:rPr>
        <w:t>Sample paragraph</w:t>
      </w:r>
      <w:r w:rsidR="002D566F" w:rsidRPr="00272090">
        <w:rPr>
          <w:rFonts w:ascii="Arial" w:hAnsi="Arial" w:cs="Arial"/>
        </w:rPr>
        <w:t xml:space="preserve"> and text style</w:t>
      </w:r>
    </w:p>
    <w:p w14:paraId="7C205D33" w14:textId="15184EF8" w:rsidR="00072390" w:rsidRPr="00072390" w:rsidRDefault="00072390" w:rsidP="00072390">
      <w:pPr>
        <w:pStyle w:val="IOP-CS-BodyText"/>
        <w:ind w:firstLine="0"/>
        <w:rPr>
          <w:rFonts w:ascii="Arial" w:hAnsi="Arial" w:cs="Arial"/>
          <w:lang w:val="en-US"/>
        </w:rPr>
      </w:pPr>
      <w:r w:rsidRPr="00072390">
        <w:rPr>
          <w:rFonts w:ascii="Arial" w:hAnsi="Arial" w:cs="Arial"/>
          <w:lang w:val="en-US"/>
        </w:rPr>
        <w:t xml:space="preserve">Research in the field of clean energy and environmental management has expanded significantly over the past two decades. Various studies have focused on improving energy efficiency, developing renewable </w:t>
      </w:r>
      <w:bookmarkStart w:id="0" w:name="_Hlk207744024"/>
      <w:r w:rsidRPr="00072390">
        <w:rPr>
          <w:rFonts w:ascii="Arial" w:hAnsi="Arial" w:cs="Arial"/>
          <w:lang w:val="en-US"/>
        </w:rPr>
        <w:t>energy technologies</w:t>
      </w:r>
      <w:bookmarkEnd w:id="0"/>
      <w:r w:rsidRPr="00072390">
        <w:rPr>
          <w:rFonts w:ascii="Arial" w:hAnsi="Arial" w:cs="Arial"/>
          <w:lang w:val="en-US"/>
        </w:rPr>
        <w:t>, and mitigating pollution. With rising global energy demand and climate concerns, the integration of clean energy solutions into mainstream systems has become a central focus of researchers and policymakers</w:t>
      </w:r>
      <w:r w:rsidR="000A2C0C">
        <w:rPr>
          <w:rFonts w:ascii="Arial" w:hAnsi="Arial" w:cs="Arial"/>
          <w:lang w:val="en-US"/>
        </w:rPr>
        <w:t xml:space="preserve"> </w:t>
      </w:r>
      <w:r w:rsidR="000A2C0C" w:rsidRPr="000A2C0C">
        <w:rPr>
          <w:rFonts w:ascii="Arial" w:hAnsi="Arial" w:cs="Arial"/>
        </w:rPr>
        <w:t>(Smith &amp; Brown, 2020)</w:t>
      </w:r>
      <w:r w:rsidRPr="00072390">
        <w:rPr>
          <w:rFonts w:ascii="Arial" w:hAnsi="Arial" w:cs="Arial"/>
          <w:lang w:val="en-US"/>
        </w:rPr>
        <w:t>. Governments worldwide are setting ambitious targets for carbon neutrality, and industries are increasingly adopting sustainable practices to align with regulatory frameworks and societal expectations.</w:t>
      </w:r>
    </w:p>
    <w:p w14:paraId="00A469D6" w14:textId="1DDCF2C3" w:rsidR="00072390" w:rsidRPr="00072390" w:rsidRDefault="00072390" w:rsidP="00072390">
      <w:pPr>
        <w:pStyle w:val="IOP-CS-BodyText"/>
        <w:rPr>
          <w:rFonts w:ascii="Arial" w:hAnsi="Arial" w:cs="Arial"/>
          <w:lang w:val="en-US"/>
        </w:rPr>
      </w:pPr>
      <w:r w:rsidRPr="00072390">
        <w:rPr>
          <w:rFonts w:ascii="Arial" w:hAnsi="Arial" w:cs="Arial"/>
          <w:lang w:val="en-US"/>
        </w:rPr>
        <w:t xml:space="preserve">In parallel, technological progress has enabled innovative solutions in renewable energy generation and pollution control. For example, improvements in materials science and digital </w:t>
      </w:r>
      <w:r w:rsidRPr="00072390">
        <w:rPr>
          <w:rFonts w:ascii="Arial" w:hAnsi="Arial" w:cs="Arial"/>
          <w:lang w:val="en-US"/>
        </w:rPr>
        <w:lastRenderedPageBreak/>
        <w:t xml:space="preserve">monitoring have enhanced the performance of renewable systems, while data-driven approaches have allowed for better optimization of energy distribution </w:t>
      </w:r>
      <w:r w:rsidR="000A2C0C" w:rsidRPr="000A2C0C">
        <w:rPr>
          <w:rFonts w:ascii="Arial" w:hAnsi="Arial" w:cs="Arial"/>
          <w:lang w:val="en-US"/>
        </w:rPr>
        <w:t>(Patel &amp; Mehra, 2021)</w:t>
      </w:r>
      <w:r w:rsidR="000A2C0C">
        <w:rPr>
          <w:rFonts w:ascii="Arial" w:hAnsi="Arial" w:cs="Arial"/>
          <w:lang w:val="en-US"/>
        </w:rPr>
        <w:t xml:space="preserve">. </w:t>
      </w:r>
      <w:r w:rsidRPr="00072390">
        <w:rPr>
          <w:rFonts w:ascii="Arial" w:hAnsi="Arial" w:cs="Arial"/>
          <w:lang w:val="en-US"/>
        </w:rPr>
        <w:t>Smart grids, artificial intelligence, and predictive analytics are now being deployed to ensure more reliable integration of intermittent sources such as solar and wind power. Similarly, advancements in carbon capture technologies and waste-to-energy systems are opening new pathways for reducing environmental footprints.</w:t>
      </w:r>
    </w:p>
    <w:p w14:paraId="3E7CF768" w14:textId="77777777" w:rsidR="00072390" w:rsidRPr="00072390" w:rsidRDefault="00072390" w:rsidP="00072390">
      <w:pPr>
        <w:pStyle w:val="IOP-CS-BodyText"/>
        <w:rPr>
          <w:rFonts w:ascii="Arial" w:hAnsi="Arial" w:cs="Arial"/>
          <w:lang w:val="en-US"/>
        </w:rPr>
      </w:pPr>
      <w:r w:rsidRPr="00072390">
        <w:rPr>
          <w:rFonts w:ascii="Arial" w:hAnsi="Arial" w:cs="Arial"/>
          <w:lang w:val="en-US"/>
        </w:rPr>
        <w:t>These developments indicate that both technology and governance must work together to achieve long-term sustainability goals. While technology provides the necessary tools and innovations, effective policy frameworks, financial incentives, and public awareness play a crucial role in their successful adoption. Future research must therefore emphasize interdisciplinary collaboration, addressing not only the technical challenges but also the socio-economic and policy dimensions of clean energy and pollution mitigation.</w:t>
      </w:r>
    </w:p>
    <w:p w14:paraId="7BC4EEC5" w14:textId="3D382809" w:rsidR="009C62E6" w:rsidRPr="0010112D" w:rsidRDefault="0010112D" w:rsidP="0010112D">
      <w:pPr>
        <w:pStyle w:val="IOP-CS-SectionHead"/>
        <w:spacing w:before="120" w:after="60"/>
        <w:rPr>
          <w:rFonts w:ascii="Arial" w:hAnsi="Arial" w:cs="Arial"/>
          <w:b w:val="0"/>
          <w:bCs w:val="0"/>
        </w:rPr>
      </w:pPr>
      <w:r>
        <w:rPr>
          <w:rFonts w:ascii="Arial" w:hAnsi="Arial" w:cs="Arial"/>
          <w:b w:val="0"/>
          <w:bCs w:val="0"/>
        </w:rPr>
        <w:t>2</w:t>
      </w:r>
      <w:r w:rsidR="009C62E6" w:rsidRPr="0010112D">
        <w:rPr>
          <w:rFonts w:ascii="Arial" w:hAnsi="Arial" w:cs="Arial"/>
          <w:b w:val="0"/>
          <w:bCs w:val="0"/>
        </w:rPr>
        <w:t>.1 Renewable Energy Technologies</w:t>
      </w:r>
    </w:p>
    <w:p w14:paraId="6B6D502E" w14:textId="341B2D04" w:rsidR="007071D1" w:rsidRDefault="009C62E6" w:rsidP="007071D1">
      <w:pPr>
        <w:pStyle w:val="IOP-CS-BodyNoIndent"/>
        <w:rPr>
          <w:rFonts w:ascii="Arial" w:hAnsi="Arial" w:cs="Arial"/>
          <w:lang w:val="en-US"/>
        </w:rPr>
      </w:pPr>
      <w:r w:rsidRPr="009C62E6">
        <w:rPr>
          <w:rFonts w:ascii="Arial" w:hAnsi="Arial" w:cs="Arial"/>
          <w:lang w:val="en-US"/>
        </w:rPr>
        <w:t>Renewable energy is considered a key solution to reducing global dependence on fossil fuels. Solar, wind, and biomass are among the most widely studied sources. The adoption of renewable energy systems has been supported by both policy initiatives and technological advancements [3].</w:t>
      </w:r>
      <w:r w:rsidR="007071D1">
        <w:rPr>
          <w:rFonts w:ascii="Arial" w:hAnsi="Arial" w:cs="Arial"/>
          <w:lang w:val="en-US"/>
        </w:rPr>
        <w:t xml:space="preserve"> </w:t>
      </w:r>
      <w:r w:rsidRPr="009C62E6">
        <w:rPr>
          <w:rFonts w:ascii="Arial" w:hAnsi="Arial" w:cs="Arial"/>
          <w:lang w:val="en-US"/>
        </w:rPr>
        <w:t xml:space="preserve">Despite the progress, challenges remain in integrating renewable sources with existing grids. Issues such as intermittency, storage capacity, and transmission losses continue to affect system reliability. Researchers are exploring hybrid systems and smart grid technologies to address these challenges, making renewable energy a more dependable option for large-scale adoption </w:t>
      </w:r>
      <w:r w:rsidR="000A2C0C" w:rsidRPr="000A2C0C">
        <w:rPr>
          <w:rFonts w:ascii="Arial" w:hAnsi="Arial" w:cs="Arial"/>
        </w:rPr>
        <w:t>(Zhao &amp; Singh, 2022).</w:t>
      </w:r>
    </w:p>
    <w:p w14:paraId="6A7C1FA9" w14:textId="21FF147A" w:rsidR="009C62E6" w:rsidRPr="009C62E6" w:rsidRDefault="00072390" w:rsidP="00072390">
      <w:pPr>
        <w:pStyle w:val="IOP-CS-BodyNoIndent"/>
        <w:ind w:firstLine="432"/>
        <w:rPr>
          <w:rFonts w:ascii="Arial" w:hAnsi="Arial" w:cs="Arial"/>
          <w:lang w:val="en-US"/>
        </w:rPr>
      </w:pPr>
      <w:r w:rsidRPr="00072390">
        <w:rPr>
          <w:rFonts w:ascii="Arial" w:hAnsi="Arial" w:cs="Arial"/>
        </w:rPr>
        <w:t>Furthermore, cross-sectoral integration</w:t>
      </w:r>
      <w:r w:rsidR="00DC0894">
        <w:rPr>
          <w:rFonts w:ascii="Arial" w:hAnsi="Arial" w:cs="Arial"/>
        </w:rPr>
        <w:t>-</w:t>
      </w:r>
      <w:r w:rsidRPr="00072390">
        <w:rPr>
          <w:rFonts w:ascii="Arial" w:hAnsi="Arial" w:cs="Arial"/>
        </w:rPr>
        <w:t>such as coupling renewable energy with transportation and industrial applications</w:t>
      </w:r>
      <w:r w:rsidR="00DC0894">
        <w:rPr>
          <w:rFonts w:ascii="Arial" w:hAnsi="Arial" w:cs="Arial"/>
        </w:rPr>
        <w:t>-</w:t>
      </w:r>
      <w:r w:rsidRPr="00072390">
        <w:rPr>
          <w:rFonts w:ascii="Arial" w:hAnsi="Arial" w:cs="Arial"/>
        </w:rPr>
        <w:t>is gaining attention as a way to maximize efficiency and sustainability. For instance, electric vehicles powered by renewable energy and industrial processes driven by green hydrogen illustrate how renewable systems can transform multiple domains simultaneously. These efforts suggest that the pathway toward a low-carbon future requires not only technological innovation but also coordinated infrastructure planning and global collaboration.</w:t>
      </w:r>
    </w:p>
    <w:p w14:paraId="36D778DA" w14:textId="68B5DAFD" w:rsidR="009C62E6" w:rsidRPr="009C62E6" w:rsidRDefault="0010112D" w:rsidP="0010112D">
      <w:pPr>
        <w:pStyle w:val="IOP-CS-BodyText"/>
        <w:spacing w:before="60" w:after="60"/>
        <w:ind w:firstLine="0"/>
        <w:rPr>
          <w:rFonts w:ascii="Arial" w:hAnsi="Arial" w:cs="Arial"/>
          <w:b/>
          <w:bCs/>
          <w:lang w:val="en-US"/>
        </w:rPr>
      </w:pPr>
      <w:r>
        <w:rPr>
          <w:rFonts w:ascii="Arial" w:hAnsi="Arial" w:cs="Arial"/>
          <w:i/>
          <w:iCs/>
        </w:rPr>
        <w:t>2</w:t>
      </w:r>
      <w:r w:rsidR="009C62E6" w:rsidRPr="0010112D">
        <w:rPr>
          <w:rFonts w:ascii="Arial" w:hAnsi="Arial" w:cs="Arial"/>
          <w:i/>
          <w:iCs/>
        </w:rPr>
        <w:t>.1.1 Solar Energy Systems</w:t>
      </w:r>
    </w:p>
    <w:p w14:paraId="18FB57E8" w14:textId="2B845321" w:rsidR="009C62E6" w:rsidRPr="00DD5014" w:rsidRDefault="009C62E6" w:rsidP="00DD5014">
      <w:pPr>
        <w:pStyle w:val="IOP-CS-BodyNoIndent"/>
        <w:rPr>
          <w:rFonts w:ascii="Arial" w:hAnsi="Arial" w:cs="Arial"/>
          <w:lang w:val="en-US"/>
        </w:rPr>
      </w:pPr>
      <w:r w:rsidRPr="00DD5014">
        <w:rPr>
          <w:rFonts w:ascii="Arial" w:hAnsi="Arial" w:cs="Arial"/>
          <w:lang w:val="en-US"/>
        </w:rPr>
        <w:t>Solar photovoltaic (PV) technology has become increasingly cost-effective due to advances in materials and manufacturing techniques. Studies show that integrating solar systems into urban infrastructure can significantly reduce energy demand from non-renewable sources [</w:t>
      </w:r>
      <w:r w:rsidR="000A2C0C" w:rsidRPr="000A2C0C">
        <w:rPr>
          <w:rFonts w:ascii="Arial" w:hAnsi="Arial" w:cs="Arial"/>
        </w:rPr>
        <w:t>(Chen &amp; Kumar, 2019).</w:t>
      </w:r>
      <w:r w:rsidR="000A2C0C">
        <w:rPr>
          <w:rFonts w:ascii="Arial" w:hAnsi="Arial" w:cs="Arial"/>
        </w:rPr>
        <w:t xml:space="preserve"> </w:t>
      </w:r>
      <w:r w:rsidRPr="00DD5014">
        <w:rPr>
          <w:rFonts w:ascii="Arial" w:hAnsi="Arial" w:cs="Arial"/>
          <w:lang w:val="en-US"/>
        </w:rPr>
        <w:t>The overall power output of a solar PV system can be estimated using Equation (</w:t>
      </w:r>
      <w:r w:rsidR="007071D1">
        <w:rPr>
          <w:rFonts w:ascii="Arial" w:hAnsi="Arial" w:cs="Arial"/>
          <w:lang w:val="en-US"/>
        </w:rPr>
        <w:t>2.1</w:t>
      </w:r>
      <w:r w:rsidRPr="00DD5014">
        <w:rPr>
          <w:rFonts w:ascii="Arial" w:hAnsi="Arial" w:cs="Arial"/>
          <w:lang w:val="en-US"/>
        </w:rPr>
        <w:t>)</w:t>
      </w:r>
      <w:r w:rsidR="00DD5014" w:rsidRPr="00DD5014">
        <w:rPr>
          <w:rFonts w:ascii="Arial" w:hAnsi="Arial" w:cs="Arial"/>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380"/>
        <w:gridCol w:w="741"/>
      </w:tblGrid>
      <w:tr w:rsidR="00DD5014" w:rsidRPr="00DD5014" w14:paraId="01D92A0D" w14:textId="77777777" w:rsidTr="00E22F17">
        <w:trPr>
          <w:jc w:val="center"/>
        </w:trPr>
        <w:tc>
          <w:tcPr>
            <w:tcW w:w="895" w:type="dxa"/>
          </w:tcPr>
          <w:p w14:paraId="656F746A" w14:textId="77777777" w:rsidR="009C62E6" w:rsidRPr="00DD5014" w:rsidRDefault="009C62E6" w:rsidP="00DD5014">
            <w:pPr>
              <w:pStyle w:val="IOP-CS-BodyText"/>
              <w:spacing w:before="60" w:after="60"/>
              <w:ind w:firstLine="0"/>
              <w:rPr>
                <w:rFonts w:asciiTheme="minorBidi" w:hAnsiTheme="minorBidi" w:cstheme="minorBidi"/>
                <w:lang w:val="en-US"/>
              </w:rPr>
            </w:pPr>
          </w:p>
        </w:tc>
        <w:tc>
          <w:tcPr>
            <w:tcW w:w="7380" w:type="dxa"/>
          </w:tcPr>
          <w:p w14:paraId="7FD20116" w14:textId="1F2464FE" w:rsidR="009C62E6" w:rsidRPr="00DD5014" w:rsidRDefault="00DD5014" w:rsidP="00DD5014">
            <w:pPr>
              <w:pStyle w:val="IOP-CS-BodyText"/>
              <w:spacing w:before="60" w:after="60"/>
              <w:ind w:firstLine="0"/>
              <w:rPr>
                <w:rFonts w:asciiTheme="minorBidi" w:hAnsiTheme="minorBidi" w:cstheme="minorBidi"/>
                <w:lang w:val="en-US"/>
              </w:rPr>
            </w:pPr>
            <m:oMathPara>
              <m:oMath>
                <m:r>
                  <w:rPr>
                    <w:rFonts w:ascii="Cambria Math" w:hAnsi="Cambria Math" w:cstheme="minorBidi"/>
                    <w:lang w:val="en-US"/>
                  </w:rPr>
                  <m:t>P=</m:t>
                </m:r>
                <m:r>
                  <m:rPr>
                    <m:sty m:val="p"/>
                  </m:rPr>
                  <w:rPr>
                    <w:rFonts w:ascii="Cambria Math" w:hAnsi="Cambria Math" w:cstheme="minorBidi"/>
                    <w:lang w:val="en-US"/>
                  </w:rPr>
                  <m:t xml:space="preserve">η. </m:t>
                </m:r>
                <m:r>
                  <w:rPr>
                    <w:rFonts w:ascii="Cambria Math" w:hAnsi="Cambria Math" w:cstheme="minorBidi"/>
                    <w:lang w:val="en-US"/>
                  </w:rPr>
                  <m:t>A.G</m:t>
                </m:r>
              </m:oMath>
            </m:oMathPara>
          </w:p>
        </w:tc>
        <w:tc>
          <w:tcPr>
            <w:tcW w:w="741" w:type="dxa"/>
          </w:tcPr>
          <w:p w14:paraId="3680AF7D" w14:textId="2F50C7D8" w:rsidR="009C62E6" w:rsidRPr="00DD5014" w:rsidRDefault="00DD5014" w:rsidP="007071D1">
            <w:pPr>
              <w:pStyle w:val="IOP-CS-BodyText"/>
              <w:spacing w:before="60" w:after="60"/>
              <w:ind w:firstLine="0"/>
              <w:jc w:val="right"/>
              <w:rPr>
                <w:rFonts w:asciiTheme="minorBidi" w:hAnsiTheme="minorBidi" w:cstheme="minorBidi"/>
                <w:lang w:val="en-US"/>
              </w:rPr>
            </w:pPr>
            <w:r w:rsidRPr="00DD5014">
              <w:rPr>
                <w:rFonts w:asciiTheme="minorBidi" w:hAnsiTheme="minorBidi" w:cstheme="minorBidi"/>
                <w:lang w:val="en-US"/>
              </w:rPr>
              <w:t>(</w:t>
            </w:r>
            <w:r w:rsidR="007071D1">
              <w:rPr>
                <w:rFonts w:asciiTheme="minorBidi" w:hAnsiTheme="minorBidi" w:cstheme="minorBidi"/>
                <w:lang w:val="en-US"/>
              </w:rPr>
              <w:t>2</w:t>
            </w:r>
            <w:r w:rsidR="009C62E6" w:rsidRPr="00DD5014">
              <w:rPr>
                <w:rFonts w:asciiTheme="minorBidi" w:hAnsiTheme="minorBidi" w:cstheme="minorBidi"/>
                <w:lang w:val="en-US"/>
              </w:rPr>
              <w:t>.1</w:t>
            </w:r>
            <w:r w:rsidRPr="00DD5014">
              <w:rPr>
                <w:rFonts w:asciiTheme="minorBidi" w:hAnsiTheme="minorBidi" w:cstheme="minorBidi"/>
                <w:lang w:val="en-US"/>
              </w:rPr>
              <w:t>)</w:t>
            </w:r>
          </w:p>
        </w:tc>
      </w:tr>
    </w:tbl>
    <w:p w14:paraId="091B8F3C" w14:textId="00772E9D" w:rsidR="009C62E6" w:rsidRDefault="00DD5014" w:rsidP="009C62E6">
      <w:pPr>
        <w:pStyle w:val="IOP-CS-BodyNoIndent"/>
        <w:rPr>
          <w:rFonts w:ascii="Arial" w:hAnsi="Arial" w:cs="Arial"/>
          <w:lang w:val="en-US"/>
        </w:rPr>
      </w:pPr>
      <w:r w:rsidRPr="00DD5014">
        <w:rPr>
          <w:rFonts w:ascii="Arial" w:hAnsi="Arial" w:cs="Arial"/>
          <w:lang w:val="en-US"/>
        </w:rPr>
        <w:t>W</w:t>
      </w:r>
      <w:r w:rsidR="009C62E6" w:rsidRPr="00DD5014">
        <w:rPr>
          <w:rFonts w:ascii="Arial" w:hAnsi="Arial" w:cs="Arial"/>
          <w:lang w:val="en-US"/>
        </w:rPr>
        <w:t>here</w:t>
      </w:r>
      <w:r w:rsidRPr="00DD5014">
        <w:rPr>
          <w:rFonts w:ascii="Arial" w:hAnsi="Arial" w:cs="Arial"/>
          <w:lang w:val="en-US"/>
        </w:rPr>
        <w:t xml:space="preserve"> </w:t>
      </w:r>
      <m:oMath>
        <m:r>
          <w:rPr>
            <w:rFonts w:ascii="Cambria Math" w:hAnsi="Cambria Math"/>
            <w:lang w:val="en-US"/>
          </w:rPr>
          <m:t>P</m:t>
        </m:r>
      </m:oMath>
      <w:r w:rsidRPr="00DD5014">
        <w:rPr>
          <w:rFonts w:ascii="Arial" w:eastAsiaTheme="minorEastAsia" w:hAnsi="Arial" w:cs="Arial"/>
          <w:lang w:val="en-US"/>
        </w:rPr>
        <w:t xml:space="preserve"> </w:t>
      </w:r>
      <w:r w:rsidR="009C62E6" w:rsidRPr="00DD5014">
        <w:rPr>
          <w:rFonts w:ascii="Arial" w:hAnsi="Arial" w:cs="Arial"/>
          <w:lang w:val="en-US"/>
        </w:rPr>
        <w:t>is the power generated (W),</w:t>
      </w:r>
      <w:r w:rsidRPr="00DD5014">
        <w:rPr>
          <w:rFonts w:ascii="Arial" w:hAnsi="Arial" w:cs="Arial"/>
          <w:lang w:val="en-US"/>
        </w:rPr>
        <w:t xml:space="preserve"> </w:t>
      </w:r>
      <m:oMath>
        <m:r>
          <m:rPr>
            <m:sty m:val="p"/>
          </m:rPr>
          <w:rPr>
            <w:rFonts w:ascii="Cambria Math" w:hAnsi="Cambria Math"/>
            <w:lang w:val="en-US"/>
          </w:rPr>
          <m:t>η</m:t>
        </m:r>
      </m:oMath>
      <w:r w:rsidRPr="00DD5014">
        <w:rPr>
          <w:rFonts w:ascii="Arial" w:hAnsi="Arial" w:cs="Arial"/>
          <w:lang w:val="en-US"/>
        </w:rPr>
        <w:t xml:space="preserve"> </w:t>
      </w:r>
      <w:r w:rsidR="009C62E6" w:rsidRPr="00DD5014">
        <w:rPr>
          <w:rFonts w:ascii="Arial" w:hAnsi="Arial" w:cs="Arial"/>
          <w:lang w:val="en-US"/>
        </w:rPr>
        <w:t xml:space="preserve">is the panel efficiency, </w:t>
      </w:r>
      <m:oMath>
        <m:r>
          <w:rPr>
            <w:rFonts w:ascii="Cambria Math" w:hAnsi="Cambria Math"/>
            <w:lang w:val="en-US"/>
          </w:rPr>
          <m:t xml:space="preserve">A </m:t>
        </m:r>
      </m:oMath>
      <w:r w:rsidR="009C62E6" w:rsidRPr="00DD5014">
        <w:rPr>
          <w:rFonts w:ascii="Arial" w:hAnsi="Arial" w:cs="Arial"/>
          <w:lang w:val="en-US"/>
        </w:rPr>
        <w:t>is the panel area</w:t>
      </w:r>
      <m:oMath>
        <m:r>
          <w:rPr>
            <w:rFonts w:ascii="Cambria Math" w:hAnsi="Cambria Math" w:cs="Arial"/>
            <w:lang w:val="en-US"/>
          </w:rPr>
          <m:t xml:space="preserve"> </m:t>
        </m:r>
        <m:sSup>
          <m:sSupPr>
            <m:ctrlPr>
              <w:rPr>
                <w:rFonts w:ascii="Cambria Math" w:hAnsi="Cambria Math" w:cs="Arial"/>
                <w:i/>
                <w:lang w:val="en-US"/>
              </w:rPr>
            </m:ctrlPr>
          </m:sSupPr>
          <m:e>
            <m:r>
              <w:rPr>
                <w:rFonts w:ascii="Cambria Math" w:hAnsi="Cambria Math" w:cs="Arial"/>
                <w:lang w:val="en-US"/>
              </w:rPr>
              <m:t>m</m:t>
            </m:r>
          </m:e>
          <m:sup>
            <m:r>
              <w:rPr>
                <w:rFonts w:ascii="Cambria Math" w:hAnsi="Cambria Math" w:cs="Arial"/>
                <w:lang w:val="en-US"/>
              </w:rPr>
              <m:t>2</m:t>
            </m:r>
          </m:sup>
        </m:sSup>
      </m:oMath>
      <w:r w:rsidR="009C62E6" w:rsidRPr="00DD5014">
        <w:rPr>
          <w:rFonts w:ascii="Arial" w:hAnsi="Arial" w:cs="Arial"/>
          <w:lang w:val="en-US"/>
        </w:rPr>
        <w:t xml:space="preserve"> , and </w:t>
      </w:r>
      <m:oMath>
        <m:r>
          <w:rPr>
            <w:rFonts w:ascii="Cambria Math" w:hAnsi="Cambria Math"/>
            <w:lang w:val="en-US"/>
          </w:rPr>
          <m:t>G</m:t>
        </m:r>
      </m:oMath>
      <w:r w:rsidRPr="00DD5014">
        <w:rPr>
          <w:rFonts w:ascii="Arial" w:hAnsi="Arial" w:cs="Arial"/>
          <w:lang w:val="en-US"/>
        </w:rPr>
        <w:t xml:space="preserve"> </w:t>
      </w:r>
      <w:r w:rsidR="009C62E6" w:rsidRPr="00DD5014">
        <w:rPr>
          <w:rFonts w:ascii="Arial" w:hAnsi="Arial" w:cs="Arial"/>
          <w:lang w:val="en-US"/>
        </w:rPr>
        <w:t>is the solar irradiance (</w:t>
      </w:r>
      <w:r w:rsidRPr="00DD5014">
        <w:rPr>
          <w:rFonts w:ascii="Arial" w:hAnsi="Arial" w:cs="Arial"/>
          <w:lang w:val="en-US"/>
        </w:rPr>
        <w:t xml:space="preserve"> </w:t>
      </w:r>
      <m:oMath>
        <m:sSup>
          <m:sSupPr>
            <m:ctrlPr>
              <w:rPr>
                <w:rFonts w:ascii="Cambria Math" w:hAnsi="Cambria Math" w:cs="Arial"/>
                <w:i/>
                <w:lang w:val="en-US"/>
              </w:rPr>
            </m:ctrlPr>
          </m:sSupPr>
          <m:e>
            <m:r>
              <w:rPr>
                <w:rFonts w:ascii="Cambria Math" w:hAnsi="Cambria Math" w:cs="Arial"/>
                <w:lang w:val="en-US"/>
              </w:rPr>
              <m:t>W/m</m:t>
            </m:r>
          </m:e>
          <m:sup>
            <m:r>
              <w:rPr>
                <w:rFonts w:ascii="Cambria Math" w:hAnsi="Cambria Math" w:cs="Arial"/>
                <w:lang w:val="en-US"/>
              </w:rPr>
              <m:t>2</m:t>
            </m:r>
          </m:sup>
        </m:sSup>
      </m:oMath>
      <w:r w:rsidRPr="00DD5014">
        <w:rPr>
          <w:rFonts w:ascii="Arial" w:hAnsi="Arial" w:cs="Arial"/>
          <w:lang w:val="en-US"/>
        </w:rPr>
        <w:t xml:space="preserve"> </w:t>
      </w:r>
      <w:r w:rsidR="009C62E6" w:rsidRPr="00DD5014">
        <w:rPr>
          <w:rFonts w:ascii="Arial" w:hAnsi="Arial" w:cs="Arial"/>
          <w:lang w:val="en-US"/>
        </w:rPr>
        <w:t>).</w:t>
      </w:r>
    </w:p>
    <w:p w14:paraId="50E77AD4" w14:textId="0D696D42" w:rsidR="00072390" w:rsidRDefault="00072390" w:rsidP="00072390">
      <w:pPr>
        <w:pStyle w:val="IOP-CS-BodyText"/>
        <w:rPr>
          <w:rFonts w:ascii="Arial" w:hAnsi="Arial" w:cs="Arial"/>
          <w:lang w:val="en-US"/>
        </w:rPr>
      </w:pPr>
      <w:r w:rsidRPr="00072390">
        <w:rPr>
          <w:rFonts w:ascii="Arial" w:hAnsi="Arial" w:cs="Arial"/>
          <w:lang w:val="en-US"/>
        </w:rPr>
        <w:t xml:space="preserve">In addition to the basic power equation, the energy yield of a PV system over a given time period </w:t>
      </w:r>
      <w:proofErr w:type="spellStart"/>
      <w:r w:rsidRPr="00072390">
        <w:rPr>
          <w:rFonts w:ascii="Arial" w:hAnsi="Arial" w:cs="Arial"/>
          <w:lang w:val="en-US"/>
        </w:rPr>
        <w:t>ttt</w:t>
      </w:r>
      <w:proofErr w:type="spellEnd"/>
      <w:r w:rsidRPr="00072390">
        <w:rPr>
          <w:rFonts w:ascii="Arial" w:hAnsi="Arial" w:cs="Arial"/>
          <w:lang w:val="en-US"/>
        </w:rPr>
        <w:t xml:space="preserve"> can be calculated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380"/>
        <w:gridCol w:w="741"/>
      </w:tblGrid>
      <w:tr w:rsidR="00072390" w:rsidRPr="00DD5014" w14:paraId="5FFD4982" w14:textId="77777777" w:rsidTr="001D141E">
        <w:trPr>
          <w:jc w:val="center"/>
        </w:trPr>
        <w:tc>
          <w:tcPr>
            <w:tcW w:w="895" w:type="dxa"/>
          </w:tcPr>
          <w:p w14:paraId="06BCA8DE" w14:textId="77777777" w:rsidR="00072390" w:rsidRPr="00DD5014" w:rsidRDefault="00072390" w:rsidP="001D141E">
            <w:pPr>
              <w:pStyle w:val="IOP-CS-BodyText"/>
              <w:spacing w:before="60" w:after="60"/>
              <w:ind w:firstLine="0"/>
              <w:rPr>
                <w:rFonts w:asciiTheme="minorBidi" w:hAnsiTheme="minorBidi" w:cstheme="minorBidi"/>
                <w:lang w:val="en-US"/>
              </w:rPr>
            </w:pPr>
          </w:p>
        </w:tc>
        <w:tc>
          <w:tcPr>
            <w:tcW w:w="7380" w:type="dxa"/>
          </w:tcPr>
          <w:p w14:paraId="0EA6F99C" w14:textId="4483F188" w:rsidR="00072390" w:rsidRPr="00DD5014" w:rsidRDefault="00072390" w:rsidP="001D141E">
            <w:pPr>
              <w:pStyle w:val="IOP-CS-BodyText"/>
              <w:spacing w:before="60" w:after="60"/>
              <w:ind w:firstLine="0"/>
              <w:rPr>
                <w:rFonts w:asciiTheme="minorBidi" w:hAnsiTheme="minorBidi" w:cstheme="minorBidi"/>
                <w:lang w:val="en-US"/>
              </w:rPr>
            </w:pPr>
            <m:oMathPara>
              <m:oMath>
                <m:r>
                  <w:rPr>
                    <w:rFonts w:ascii="Cambria Math" w:hAnsi="Cambria Math" w:cstheme="minorBidi"/>
                    <w:lang w:val="en-US"/>
                  </w:rPr>
                  <m:t>E=P.t</m:t>
                </m:r>
              </m:oMath>
            </m:oMathPara>
          </w:p>
        </w:tc>
        <w:tc>
          <w:tcPr>
            <w:tcW w:w="741" w:type="dxa"/>
          </w:tcPr>
          <w:p w14:paraId="36C2888D" w14:textId="1D9F9A1A" w:rsidR="00072390" w:rsidRPr="00DD5014" w:rsidRDefault="00072390" w:rsidP="007071D1">
            <w:pPr>
              <w:pStyle w:val="IOP-CS-BodyText"/>
              <w:spacing w:before="60" w:after="60"/>
              <w:ind w:firstLine="0"/>
              <w:jc w:val="right"/>
              <w:rPr>
                <w:rFonts w:asciiTheme="minorBidi" w:hAnsiTheme="minorBidi" w:cstheme="minorBidi"/>
                <w:lang w:val="en-US"/>
              </w:rPr>
            </w:pPr>
            <w:r w:rsidRPr="00DD5014">
              <w:rPr>
                <w:rFonts w:asciiTheme="minorBidi" w:hAnsiTheme="minorBidi" w:cstheme="minorBidi"/>
                <w:lang w:val="en-US"/>
              </w:rPr>
              <w:t>(</w:t>
            </w:r>
            <w:r w:rsidR="007071D1">
              <w:rPr>
                <w:rFonts w:asciiTheme="minorBidi" w:hAnsiTheme="minorBidi" w:cstheme="minorBidi"/>
                <w:lang w:val="en-US"/>
              </w:rPr>
              <w:t>2</w:t>
            </w:r>
            <w:r w:rsidRPr="00DD5014">
              <w:rPr>
                <w:rFonts w:asciiTheme="minorBidi" w:hAnsiTheme="minorBidi" w:cstheme="minorBidi"/>
                <w:lang w:val="en-US"/>
              </w:rPr>
              <w:t>.</w:t>
            </w:r>
            <w:r w:rsidR="007071D1">
              <w:rPr>
                <w:rFonts w:asciiTheme="minorBidi" w:hAnsiTheme="minorBidi" w:cstheme="minorBidi"/>
                <w:lang w:val="en-US"/>
              </w:rPr>
              <w:t>2</w:t>
            </w:r>
            <w:r w:rsidRPr="00DD5014">
              <w:rPr>
                <w:rFonts w:asciiTheme="minorBidi" w:hAnsiTheme="minorBidi" w:cstheme="minorBidi"/>
                <w:lang w:val="en-US"/>
              </w:rPr>
              <w:t>)</w:t>
            </w:r>
          </w:p>
        </w:tc>
      </w:tr>
    </w:tbl>
    <w:p w14:paraId="40DA0348" w14:textId="47805829" w:rsidR="00072390" w:rsidRPr="00072390" w:rsidRDefault="00072390" w:rsidP="00072390">
      <w:pPr>
        <w:pStyle w:val="IOP-CS-BodyText"/>
        <w:rPr>
          <w:rFonts w:ascii="Arial" w:hAnsi="Arial" w:cs="Arial"/>
          <w:lang w:val="en-US"/>
        </w:rPr>
      </w:pPr>
      <w:r w:rsidRPr="00072390">
        <w:rPr>
          <w:rFonts w:ascii="Arial" w:hAnsi="Arial" w:cs="Arial"/>
        </w:rPr>
        <w:t xml:space="preserve">where </w:t>
      </w:r>
      <m:oMath>
        <m:r>
          <w:rPr>
            <w:rFonts w:ascii="Cambria Math" w:hAnsi="Cambria Math"/>
            <w:lang w:val="en-US"/>
          </w:rPr>
          <m:t>E</m:t>
        </m:r>
      </m:oMath>
      <w:r w:rsidRPr="00072390">
        <w:rPr>
          <w:rFonts w:ascii="Arial" w:hAnsi="Arial" w:cs="Arial"/>
        </w:rPr>
        <w:t xml:space="preserve"> is the total energy generated (</w:t>
      </w:r>
      <m:oMath>
        <m:r>
          <w:rPr>
            <w:rFonts w:ascii="Cambria Math" w:hAnsi="Cambria Math" w:cs="Arial"/>
          </w:rPr>
          <m:t>Wh</m:t>
        </m:r>
      </m:oMath>
      <w:r w:rsidRPr="00072390">
        <w:rPr>
          <w:rFonts w:ascii="Arial" w:hAnsi="Arial" w:cs="Arial"/>
        </w:rPr>
        <w:t>).</w:t>
      </w:r>
    </w:p>
    <w:p w14:paraId="523ADC8B" w14:textId="6C17320C" w:rsidR="004D1AAD" w:rsidRDefault="004D1AAD" w:rsidP="004D1AAD">
      <w:pPr>
        <w:pStyle w:val="IOP-CS-BodyText"/>
        <w:spacing w:before="60" w:after="60"/>
        <w:ind w:firstLine="432"/>
        <w:rPr>
          <w:rFonts w:ascii="Arial" w:hAnsi="Arial" w:cs="Arial"/>
          <w:lang w:val="en-US"/>
        </w:rPr>
      </w:pPr>
      <w:r w:rsidRPr="004D1AAD">
        <w:rPr>
          <w:rFonts w:ascii="Arial" w:hAnsi="Arial" w:cs="Arial"/>
          <w:lang w:val="en-US"/>
        </w:rPr>
        <w:t>Furthermore, the performance ratio (PR), which indicates the overall quality of a PV system, can be expressed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380"/>
        <w:gridCol w:w="741"/>
      </w:tblGrid>
      <w:tr w:rsidR="004D1AAD" w:rsidRPr="00DD5014" w14:paraId="163A22BF" w14:textId="77777777" w:rsidTr="001D141E">
        <w:trPr>
          <w:jc w:val="center"/>
        </w:trPr>
        <w:tc>
          <w:tcPr>
            <w:tcW w:w="895" w:type="dxa"/>
          </w:tcPr>
          <w:p w14:paraId="4E984A8D" w14:textId="77777777" w:rsidR="004D1AAD" w:rsidRPr="00DD5014" w:rsidRDefault="004D1AAD" w:rsidP="001D141E">
            <w:pPr>
              <w:pStyle w:val="IOP-CS-BodyText"/>
              <w:spacing w:before="60" w:after="60"/>
              <w:ind w:firstLine="0"/>
              <w:rPr>
                <w:rFonts w:asciiTheme="minorBidi" w:hAnsiTheme="minorBidi" w:cstheme="minorBidi"/>
                <w:lang w:val="en-US"/>
              </w:rPr>
            </w:pPr>
          </w:p>
        </w:tc>
        <w:tc>
          <w:tcPr>
            <w:tcW w:w="7380" w:type="dxa"/>
          </w:tcPr>
          <w:p w14:paraId="4370EEAC" w14:textId="17178F54" w:rsidR="004D1AAD" w:rsidRPr="00DD5014" w:rsidRDefault="004D1AAD" w:rsidP="001D141E">
            <w:pPr>
              <w:pStyle w:val="IOP-CS-BodyText"/>
              <w:spacing w:before="60" w:after="60"/>
              <w:ind w:firstLine="0"/>
              <w:rPr>
                <w:rFonts w:asciiTheme="minorBidi" w:hAnsiTheme="minorBidi" w:cstheme="minorBidi"/>
                <w:lang w:val="en-US"/>
              </w:rPr>
            </w:pPr>
            <m:oMathPara>
              <m:oMath>
                <m:r>
                  <w:rPr>
                    <w:rFonts w:ascii="Cambria Math" w:hAnsi="Cambria Math" w:cstheme="minorBidi"/>
                    <w:lang w:val="en-US"/>
                  </w:rPr>
                  <m:t>PR=</m:t>
                </m:r>
                <m:f>
                  <m:fPr>
                    <m:ctrlPr>
                      <w:rPr>
                        <w:rFonts w:ascii="Cambria Math" w:hAnsi="Cambria Math" w:cstheme="minorBidi"/>
                        <w:i/>
                        <w:lang w:val="en-US"/>
                      </w:rPr>
                    </m:ctrlPr>
                  </m:fPr>
                  <m:num>
                    <m:sSub>
                      <m:sSubPr>
                        <m:ctrlPr>
                          <w:rPr>
                            <w:rFonts w:ascii="Cambria Math" w:hAnsi="Cambria Math" w:cstheme="minorBidi"/>
                            <w:i/>
                            <w:lang w:val="en-US"/>
                          </w:rPr>
                        </m:ctrlPr>
                      </m:sSubPr>
                      <m:e>
                        <m:r>
                          <w:rPr>
                            <w:rFonts w:ascii="Cambria Math" w:hAnsi="Cambria Math" w:cstheme="minorBidi"/>
                            <w:lang w:val="en-US"/>
                          </w:rPr>
                          <m:t>E</m:t>
                        </m:r>
                      </m:e>
                      <m:sub>
                        <m:r>
                          <w:rPr>
                            <w:rFonts w:ascii="Cambria Math" w:hAnsi="Cambria Math" w:cstheme="minorBidi"/>
                            <w:lang w:val="en-US"/>
                          </w:rPr>
                          <m:t>actual</m:t>
                        </m:r>
                      </m:sub>
                    </m:sSub>
                  </m:num>
                  <m:den>
                    <m:sSub>
                      <m:sSubPr>
                        <m:ctrlPr>
                          <w:rPr>
                            <w:rFonts w:ascii="Cambria Math" w:hAnsi="Cambria Math" w:cstheme="minorBidi"/>
                            <w:i/>
                            <w:lang w:val="en-US"/>
                          </w:rPr>
                        </m:ctrlPr>
                      </m:sSubPr>
                      <m:e>
                        <m:r>
                          <w:rPr>
                            <w:rFonts w:ascii="Cambria Math" w:hAnsi="Cambria Math" w:cstheme="minorBidi"/>
                            <w:lang w:val="en-US"/>
                          </w:rPr>
                          <m:t>E</m:t>
                        </m:r>
                      </m:e>
                      <m:sub>
                        <m:r>
                          <w:rPr>
                            <w:rFonts w:ascii="Cambria Math" w:hAnsi="Cambria Math" w:cstheme="minorBidi"/>
                            <w:lang w:val="en-US"/>
                          </w:rPr>
                          <m:t>Theorectical</m:t>
                        </m:r>
                      </m:sub>
                    </m:sSub>
                  </m:den>
                </m:f>
              </m:oMath>
            </m:oMathPara>
          </w:p>
        </w:tc>
        <w:tc>
          <w:tcPr>
            <w:tcW w:w="741" w:type="dxa"/>
          </w:tcPr>
          <w:p w14:paraId="5E810217" w14:textId="56EA25B1" w:rsidR="004D1AAD" w:rsidRPr="00DD5014" w:rsidRDefault="004D1AAD" w:rsidP="007071D1">
            <w:pPr>
              <w:pStyle w:val="IOP-CS-BodyText"/>
              <w:spacing w:before="60" w:after="60"/>
              <w:ind w:firstLine="0"/>
              <w:jc w:val="right"/>
              <w:rPr>
                <w:rFonts w:asciiTheme="minorBidi" w:hAnsiTheme="minorBidi" w:cstheme="minorBidi"/>
                <w:lang w:val="en-US"/>
              </w:rPr>
            </w:pPr>
            <w:r w:rsidRPr="00DD5014">
              <w:rPr>
                <w:rFonts w:asciiTheme="minorBidi" w:hAnsiTheme="minorBidi" w:cstheme="minorBidi"/>
                <w:lang w:val="en-US"/>
              </w:rPr>
              <w:t>(</w:t>
            </w:r>
            <w:r w:rsidR="007071D1">
              <w:rPr>
                <w:rFonts w:asciiTheme="minorBidi" w:hAnsiTheme="minorBidi" w:cstheme="minorBidi"/>
                <w:lang w:val="en-US"/>
              </w:rPr>
              <w:t>2</w:t>
            </w:r>
            <w:r w:rsidRPr="00DD5014">
              <w:rPr>
                <w:rFonts w:asciiTheme="minorBidi" w:hAnsiTheme="minorBidi" w:cstheme="minorBidi"/>
                <w:lang w:val="en-US"/>
              </w:rPr>
              <w:t>.</w:t>
            </w:r>
            <w:r w:rsidR="007071D1">
              <w:rPr>
                <w:rFonts w:asciiTheme="minorBidi" w:hAnsiTheme="minorBidi" w:cstheme="minorBidi"/>
                <w:lang w:val="en-US"/>
              </w:rPr>
              <w:t>3</w:t>
            </w:r>
            <w:r w:rsidRPr="00DD5014">
              <w:rPr>
                <w:rFonts w:asciiTheme="minorBidi" w:hAnsiTheme="minorBidi" w:cstheme="minorBidi"/>
                <w:lang w:val="en-US"/>
              </w:rPr>
              <w:t>)</w:t>
            </w:r>
          </w:p>
        </w:tc>
      </w:tr>
    </w:tbl>
    <w:p w14:paraId="5833D134" w14:textId="4AC4BB0F" w:rsidR="004D1AAD" w:rsidRDefault="004D1AAD" w:rsidP="004D1AAD">
      <w:pPr>
        <w:pStyle w:val="IOP-CS-BodyText"/>
        <w:spacing w:before="60" w:after="60"/>
        <w:rPr>
          <w:rFonts w:ascii="Arial" w:hAnsi="Arial" w:cs="Arial"/>
          <w:lang w:val="en-US"/>
        </w:rPr>
      </w:pPr>
      <w:r w:rsidRPr="004D1AAD">
        <w:rPr>
          <w:rFonts w:ascii="Arial" w:hAnsi="Arial" w:cs="Arial"/>
        </w:rPr>
        <w:t xml:space="preserve">where </w:t>
      </w:r>
      <m:oMath>
        <m:sSub>
          <m:sSubPr>
            <m:ctrlPr>
              <w:rPr>
                <w:rFonts w:ascii="Cambria Math" w:eastAsia="Times New Roman" w:hAnsi="Cambria Math"/>
                <w:i/>
                <w:kern w:val="0"/>
                <w:lang w:val="en-US"/>
                <w14:ligatures w14:val="none"/>
              </w:rPr>
            </m:ctrlPr>
          </m:sSubPr>
          <m:e>
            <m:r>
              <w:rPr>
                <w:rFonts w:ascii="Cambria Math" w:hAnsi="Cambria Math"/>
                <w:lang w:val="en-US"/>
              </w:rPr>
              <m:t>E</m:t>
            </m:r>
          </m:e>
          <m:sub>
            <m:r>
              <w:rPr>
                <w:rFonts w:ascii="Cambria Math" w:hAnsi="Cambria Math"/>
                <w:lang w:val="en-US"/>
              </w:rPr>
              <m:t>actual</m:t>
            </m:r>
          </m:sub>
        </m:sSub>
      </m:oMath>
      <w:r w:rsidRPr="004D1AAD">
        <w:rPr>
          <w:rFonts w:ascii="Arial" w:hAnsi="Arial" w:cs="Arial"/>
        </w:rPr>
        <w:t xml:space="preserve"> is the measured energy output, and </w:t>
      </w:r>
      <m:oMath>
        <m:sSub>
          <m:sSubPr>
            <m:ctrlPr>
              <w:rPr>
                <w:rFonts w:ascii="Cambria Math" w:eastAsia="Times New Roman" w:hAnsi="Cambria Math"/>
                <w:i/>
                <w:kern w:val="0"/>
                <w:lang w:val="en-US"/>
                <w14:ligatures w14:val="none"/>
              </w:rPr>
            </m:ctrlPr>
          </m:sSubPr>
          <m:e>
            <m:r>
              <w:rPr>
                <w:rFonts w:ascii="Cambria Math" w:hAnsi="Cambria Math"/>
                <w:lang w:val="en-US"/>
              </w:rPr>
              <m:t>E</m:t>
            </m:r>
          </m:e>
          <m:sub>
            <m:r>
              <w:rPr>
                <w:rFonts w:ascii="Cambria Math" w:hAnsi="Cambria Math"/>
                <w:lang w:val="en-US"/>
              </w:rPr>
              <m:t>Theorectical</m:t>
            </m:r>
          </m:sub>
        </m:sSub>
      </m:oMath>
      <w:r>
        <w:rPr>
          <w:rFonts w:ascii="Arial" w:eastAsiaTheme="minorEastAsia" w:hAnsi="Arial" w:cs="Arial"/>
          <w:kern w:val="0"/>
          <w:lang w:val="en-US"/>
          <w14:ligatures w14:val="none"/>
        </w:rPr>
        <w:t xml:space="preserve"> </w:t>
      </w:r>
      <w:r w:rsidRPr="004D1AAD">
        <w:rPr>
          <w:rFonts w:ascii="Arial" w:hAnsi="Arial" w:cs="Arial"/>
        </w:rPr>
        <w:t>is the expected energy based on ideal conditions.</w:t>
      </w:r>
    </w:p>
    <w:p w14:paraId="5F4760C1" w14:textId="567FAF3A" w:rsidR="004D1AAD" w:rsidRDefault="004D1AAD" w:rsidP="004D1AAD">
      <w:pPr>
        <w:pStyle w:val="IOP-CS-BodyText"/>
        <w:spacing w:before="60" w:after="60"/>
        <w:rPr>
          <w:rFonts w:ascii="Arial" w:hAnsi="Arial" w:cs="Arial"/>
        </w:rPr>
      </w:pPr>
      <w:r w:rsidRPr="004D1AAD">
        <w:rPr>
          <w:rFonts w:ascii="Arial" w:hAnsi="Arial" w:cs="Arial"/>
        </w:rPr>
        <w:t xml:space="preserve">To account for temperature effects on PV efficiency, the temperature-corrected efficiency </w:t>
      </w:r>
      <m:oMath>
        <m:sSub>
          <m:sSubPr>
            <m:ctrlPr>
              <w:rPr>
                <w:rFonts w:ascii="Cambria Math" w:hAnsi="Cambria Math" w:cs="Arial"/>
                <w:i/>
              </w:rPr>
            </m:ctrlPr>
          </m:sSubPr>
          <m:e>
            <m:r>
              <w:rPr>
                <w:rFonts w:ascii="Cambria Math" w:hAnsi="Cambria Math" w:cs="Arial"/>
              </w:rPr>
              <m:t>η</m:t>
            </m:r>
          </m:e>
          <m:sub>
            <m:r>
              <w:rPr>
                <w:rFonts w:ascii="Cambria Math" w:hAnsi="Cambria Math" w:cs="Arial"/>
              </w:rPr>
              <m:t>T</m:t>
            </m:r>
          </m:sub>
        </m:sSub>
      </m:oMath>
      <w:r w:rsidRPr="004D1AAD">
        <w:rPr>
          <w:rFonts w:ascii="Arial" w:hAnsi="Arial" w:cs="Arial"/>
        </w:rPr>
        <w:t>​ can be estimated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380"/>
        <w:gridCol w:w="741"/>
      </w:tblGrid>
      <w:tr w:rsidR="004D1AAD" w:rsidRPr="00DD5014" w14:paraId="31A38AD7" w14:textId="77777777" w:rsidTr="001D141E">
        <w:trPr>
          <w:jc w:val="center"/>
        </w:trPr>
        <w:tc>
          <w:tcPr>
            <w:tcW w:w="895" w:type="dxa"/>
          </w:tcPr>
          <w:p w14:paraId="4D573C72" w14:textId="77777777" w:rsidR="004D1AAD" w:rsidRPr="00DD5014" w:rsidRDefault="004D1AAD" w:rsidP="001D141E">
            <w:pPr>
              <w:pStyle w:val="IOP-CS-BodyText"/>
              <w:spacing w:before="60" w:after="60"/>
              <w:ind w:firstLine="0"/>
              <w:rPr>
                <w:rFonts w:asciiTheme="minorBidi" w:hAnsiTheme="minorBidi" w:cstheme="minorBidi"/>
                <w:lang w:val="en-US"/>
              </w:rPr>
            </w:pPr>
          </w:p>
        </w:tc>
        <w:tc>
          <w:tcPr>
            <w:tcW w:w="7380" w:type="dxa"/>
          </w:tcPr>
          <w:p w14:paraId="26B6BF18" w14:textId="5DFB9436" w:rsidR="004D1AAD" w:rsidRPr="00DD5014" w:rsidRDefault="00ED4766" w:rsidP="001D141E">
            <w:pPr>
              <w:pStyle w:val="IOP-CS-BodyText"/>
              <w:spacing w:before="60" w:after="60"/>
              <w:ind w:firstLine="0"/>
              <w:rPr>
                <w:rFonts w:asciiTheme="minorBidi" w:hAnsiTheme="minorBidi" w:cstheme="minorBidi"/>
                <w:lang w:val="en-US"/>
              </w:rPr>
            </w:pPr>
            <m:oMathPara>
              <m:oMath>
                <m:sSub>
                  <m:sSubPr>
                    <m:ctrlPr>
                      <w:rPr>
                        <w:rFonts w:ascii="Cambria Math" w:eastAsiaTheme="minorHAnsi" w:hAnsi="Cambria Math"/>
                        <w:i/>
                        <w:kern w:val="2"/>
                        <w14:ligatures w14:val="standardContextual"/>
                      </w:rPr>
                    </m:ctrlPr>
                  </m:sSubPr>
                  <m:e>
                    <m:r>
                      <w:rPr>
                        <w:rFonts w:ascii="Cambria Math" w:hAnsi="Cambria Math"/>
                      </w:rPr>
                      <m:t>η</m:t>
                    </m:r>
                  </m:e>
                  <m:sub>
                    <m:r>
                      <w:rPr>
                        <w:rFonts w:ascii="Cambria Math" w:hAnsi="Cambria Math"/>
                      </w:rPr>
                      <m:t>T</m:t>
                    </m:r>
                  </m:sub>
                </m:sSub>
                <m:r>
                  <w:rPr>
                    <w:rFonts w:ascii="Cambria Math" w:eastAsiaTheme="minorHAnsi" w:hAnsi="Cambria Math"/>
                    <w:kern w:val="2"/>
                    <w14:ligatures w14:val="standardContextual"/>
                  </w:rPr>
                  <m:t>=</m:t>
                </m:r>
                <m:sSub>
                  <m:sSubPr>
                    <m:ctrlPr>
                      <w:rPr>
                        <w:rFonts w:ascii="Cambria Math" w:eastAsiaTheme="minorHAnsi" w:hAnsi="Cambria Math"/>
                        <w:i/>
                        <w:kern w:val="2"/>
                        <w14:ligatures w14:val="standardContextual"/>
                      </w:rPr>
                    </m:ctrlPr>
                  </m:sSubPr>
                  <m:e>
                    <m:r>
                      <w:rPr>
                        <w:rFonts w:ascii="Cambria Math" w:hAnsi="Cambria Math"/>
                      </w:rPr>
                      <m:t>η</m:t>
                    </m:r>
                  </m:e>
                  <m:sub>
                    <m:r>
                      <w:rPr>
                        <w:rFonts w:ascii="Cambria Math" w:hAnsi="Cambria Math"/>
                      </w:rPr>
                      <m:t>ref</m:t>
                    </m:r>
                  </m:sub>
                </m:sSub>
                <m:r>
                  <w:rPr>
                    <w:rFonts w:ascii="Cambria Math" w:eastAsiaTheme="minorHAnsi" w:hAnsi="Cambria Math"/>
                    <w:kern w:val="2"/>
                    <w14:ligatures w14:val="standardContextual"/>
                  </w:rPr>
                  <m:t>.(1-β(</m:t>
                </m:r>
                <m:sSub>
                  <m:sSubPr>
                    <m:ctrlPr>
                      <w:rPr>
                        <w:rFonts w:ascii="Cambria Math" w:eastAsiaTheme="minorHAnsi" w:hAnsi="Cambria Math"/>
                        <w:i/>
                        <w:kern w:val="2"/>
                        <w14:ligatures w14:val="standardContextual"/>
                      </w:rPr>
                    </m:ctrlPr>
                  </m:sSubPr>
                  <m:e>
                    <m:r>
                      <w:rPr>
                        <w:rFonts w:ascii="Cambria Math" w:eastAsiaTheme="minorHAnsi" w:hAnsi="Cambria Math"/>
                        <w:kern w:val="2"/>
                        <w14:ligatures w14:val="standardContextual"/>
                      </w:rPr>
                      <m:t>T</m:t>
                    </m:r>
                  </m:e>
                  <m:sub>
                    <m:r>
                      <w:rPr>
                        <w:rFonts w:ascii="Cambria Math" w:eastAsiaTheme="minorHAnsi" w:hAnsi="Cambria Math"/>
                        <w:kern w:val="2"/>
                        <w14:ligatures w14:val="standardContextual"/>
                      </w:rPr>
                      <m:t>cell</m:t>
                    </m:r>
                  </m:sub>
                </m:sSub>
                <m:r>
                  <w:rPr>
                    <w:rFonts w:ascii="Cambria Math" w:eastAsiaTheme="minorHAnsi" w:hAnsi="Cambria Math"/>
                    <w:kern w:val="2"/>
                    <w14:ligatures w14:val="standardContextual"/>
                  </w:rPr>
                  <m:t>-</m:t>
                </m:r>
                <m:sSub>
                  <m:sSubPr>
                    <m:ctrlPr>
                      <w:rPr>
                        <w:rFonts w:ascii="Cambria Math" w:eastAsiaTheme="minorHAnsi" w:hAnsi="Cambria Math"/>
                        <w:i/>
                        <w:kern w:val="2"/>
                        <w14:ligatures w14:val="standardContextual"/>
                      </w:rPr>
                    </m:ctrlPr>
                  </m:sSubPr>
                  <m:e>
                    <m:r>
                      <w:rPr>
                        <w:rFonts w:ascii="Cambria Math" w:eastAsiaTheme="minorHAnsi" w:hAnsi="Cambria Math"/>
                        <w:kern w:val="2"/>
                        <w14:ligatures w14:val="standardContextual"/>
                      </w:rPr>
                      <m:t>T</m:t>
                    </m:r>
                  </m:e>
                  <m:sub>
                    <m:r>
                      <w:rPr>
                        <w:rFonts w:ascii="Cambria Math" w:eastAsiaTheme="minorHAnsi" w:hAnsi="Cambria Math"/>
                        <w:kern w:val="2"/>
                        <w14:ligatures w14:val="standardContextual"/>
                      </w:rPr>
                      <m:t>ref</m:t>
                    </m:r>
                  </m:sub>
                </m:sSub>
                <m:r>
                  <w:rPr>
                    <w:rFonts w:ascii="Cambria Math" w:eastAsiaTheme="minorHAnsi" w:hAnsi="Cambria Math"/>
                    <w:kern w:val="2"/>
                    <w14:ligatures w14:val="standardContextual"/>
                  </w:rPr>
                  <m:t>)</m:t>
                </m:r>
              </m:oMath>
            </m:oMathPara>
          </w:p>
        </w:tc>
        <w:tc>
          <w:tcPr>
            <w:tcW w:w="741" w:type="dxa"/>
          </w:tcPr>
          <w:p w14:paraId="4BCDCFA3" w14:textId="2B5A6150" w:rsidR="004D1AAD" w:rsidRPr="00DD5014" w:rsidRDefault="004D1AAD" w:rsidP="007071D1">
            <w:pPr>
              <w:pStyle w:val="IOP-CS-BodyText"/>
              <w:spacing w:before="60" w:after="60"/>
              <w:ind w:firstLine="0"/>
              <w:jc w:val="right"/>
              <w:rPr>
                <w:rFonts w:asciiTheme="minorBidi" w:hAnsiTheme="minorBidi" w:cstheme="minorBidi"/>
                <w:lang w:val="en-US"/>
              </w:rPr>
            </w:pPr>
            <w:r w:rsidRPr="00DD5014">
              <w:rPr>
                <w:rFonts w:asciiTheme="minorBidi" w:hAnsiTheme="minorBidi" w:cstheme="minorBidi"/>
                <w:lang w:val="en-US"/>
              </w:rPr>
              <w:t>(</w:t>
            </w:r>
            <w:r w:rsidR="007071D1">
              <w:rPr>
                <w:rFonts w:asciiTheme="minorBidi" w:hAnsiTheme="minorBidi" w:cstheme="minorBidi"/>
                <w:lang w:val="en-US"/>
              </w:rPr>
              <w:t>2</w:t>
            </w:r>
            <w:r w:rsidRPr="00DD5014">
              <w:rPr>
                <w:rFonts w:asciiTheme="minorBidi" w:hAnsiTheme="minorBidi" w:cstheme="minorBidi"/>
                <w:lang w:val="en-US"/>
              </w:rPr>
              <w:t>.</w:t>
            </w:r>
            <w:r w:rsidR="007071D1">
              <w:rPr>
                <w:rFonts w:asciiTheme="minorBidi" w:hAnsiTheme="minorBidi" w:cstheme="minorBidi"/>
                <w:lang w:val="en-US"/>
              </w:rPr>
              <w:t>4</w:t>
            </w:r>
            <w:r w:rsidRPr="00DD5014">
              <w:rPr>
                <w:rFonts w:asciiTheme="minorBidi" w:hAnsiTheme="minorBidi" w:cstheme="minorBidi"/>
                <w:lang w:val="en-US"/>
              </w:rPr>
              <w:t>)</w:t>
            </w:r>
          </w:p>
        </w:tc>
      </w:tr>
    </w:tbl>
    <w:p w14:paraId="57EF578B" w14:textId="03EF8E42" w:rsidR="004D1AAD" w:rsidRDefault="007071D1" w:rsidP="004D1AAD">
      <w:pPr>
        <w:pStyle w:val="IOP-CS-BodyText"/>
        <w:spacing w:before="60" w:after="60"/>
        <w:rPr>
          <w:rFonts w:ascii="Arial" w:hAnsi="Arial" w:cs="Arial"/>
          <w:lang w:val="en-US"/>
        </w:rPr>
      </w:pPr>
      <w:r w:rsidRPr="007071D1">
        <w:rPr>
          <w:rFonts w:ascii="Arial" w:hAnsi="Arial" w:cs="Arial"/>
        </w:rPr>
        <w:t xml:space="preserve">where </w:t>
      </w:r>
      <m:oMath>
        <m:sSub>
          <m:sSubPr>
            <m:ctrlPr>
              <w:rPr>
                <w:rFonts w:ascii="Cambria Math" w:hAnsi="Cambria Math" w:cs="Arial"/>
                <w:i/>
              </w:rPr>
            </m:ctrlPr>
          </m:sSubPr>
          <m:e>
            <m:r>
              <w:rPr>
                <w:rFonts w:ascii="Cambria Math" w:hAnsi="Cambria Math" w:cs="Arial"/>
              </w:rPr>
              <m:t>η</m:t>
            </m:r>
          </m:e>
          <m:sub>
            <m:r>
              <w:rPr>
                <w:rFonts w:ascii="Cambria Math" w:hAnsi="Cambria Math"/>
              </w:rPr>
              <m:t>ref</m:t>
            </m:r>
          </m:sub>
        </m:sSub>
        <m:r>
          <w:rPr>
            <w:rFonts w:ascii="Cambria Math" w:hAnsi="Cambria Math"/>
          </w:rPr>
          <m:t>.</m:t>
        </m:r>
      </m:oMath>
      <w:r w:rsidRPr="007071D1">
        <w:rPr>
          <w:rFonts w:ascii="Arial" w:hAnsi="Arial" w:cs="Arial"/>
        </w:rPr>
        <w:t xml:space="preserve">​ is the reference efficiency, </w:t>
      </w:r>
      <m:oMath>
        <m:r>
          <w:rPr>
            <w:rFonts w:ascii="Cambria Math" w:hAnsi="Cambria Math"/>
          </w:rPr>
          <m:t>β</m:t>
        </m:r>
      </m:oMath>
      <w:r w:rsidRPr="007071D1">
        <w:rPr>
          <w:rFonts w:ascii="Arial" w:hAnsi="Arial" w:cs="Arial"/>
        </w:rPr>
        <w:t xml:space="preserve"> is the temperature coefficient, </w:t>
      </w:r>
      <m:oMath>
        <m:sSub>
          <m:sSubPr>
            <m:ctrlPr>
              <w:rPr>
                <w:rFonts w:ascii="Cambria Math" w:hAnsi="Cambria Math" w:cs="Arial"/>
                <w:i/>
              </w:rPr>
            </m:ctrlPr>
          </m:sSubPr>
          <m:e>
            <m:r>
              <w:rPr>
                <w:rFonts w:ascii="Cambria Math" w:hAnsi="Cambria Math"/>
              </w:rPr>
              <m:t>T</m:t>
            </m:r>
          </m:e>
          <m:sub>
            <m:r>
              <w:rPr>
                <w:rFonts w:ascii="Cambria Math" w:hAnsi="Cambria Math"/>
              </w:rPr>
              <m:t>cell</m:t>
            </m:r>
          </m:sub>
        </m:sSub>
      </m:oMath>
      <w:r w:rsidRPr="007071D1">
        <w:rPr>
          <w:rFonts w:ascii="Arial" w:hAnsi="Arial" w:cs="Arial"/>
        </w:rPr>
        <w:t xml:space="preserve">is the operating cell temperature, and </w:t>
      </w:r>
      <m:oMath>
        <m:sSub>
          <m:sSubPr>
            <m:ctrlPr>
              <w:rPr>
                <w:rFonts w:ascii="Cambria Math" w:hAnsi="Cambria Math" w:cs="Arial"/>
                <w:i/>
              </w:rPr>
            </m:ctrlPr>
          </m:sSubPr>
          <m:e>
            <m:r>
              <w:rPr>
                <w:rFonts w:ascii="Cambria Math" w:hAnsi="Cambria Math"/>
              </w:rPr>
              <m:t>T</m:t>
            </m:r>
          </m:e>
          <m:sub>
            <m:r>
              <w:rPr>
                <w:rFonts w:ascii="Cambria Math" w:hAnsi="Cambria Math"/>
              </w:rPr>
              <m:t>ref</m:t>
            </m:r>
          </m:sub>
        </m:sSub>
      </m:oMath>
      <w:r w:rsidRPr="007071D1">
        <w:rPr>
          <w:rFonts w:ascii="Arial" w:hAnsi="Arial" w:cs="Arial"/>
        </w:rPr>
        <w:t>is the reference temperature (usually 25°C).</w:t>
      </w:r>
    </w:p>
    <w:p w14:paraId="631108D4" w14:textId="250C2DD7" w:rsidR="004D1AAD" w:rsidRPr="004D1AAD" w:rsidRDefault="004D1AAD" w:rsidP="004D1AAD">
      <w:pPr>
        <w:pStyle w:val="IOP-CS-BodyText"/>
        <w:spacing w:before="60" w:after="60"/>
        <w:rPr>
          <w:rFonts w:ascii="Arial" w:hAnsi="Arial" w:cs="Arial"/>
          <w:lang w:val="en-US"/>
        </w:rPr>
      </w:pPr>
      <w:r w:rsidRPr="004D1AAD">
        <w:rPr>
          <w:rFonts w:ascii="Arial" w:hAnsi="Arial" w:cs="Arial"/>
          <w:lang w:val="en-US"/>
        </w:rPr>
        <w:t>These equations collectively allow researchers and engineers to estimate performance, optimize system design, and compare PV installations under different conditions.</w:t>
      </w:r>
    </w:p>
    <w:p w14:paraId="659F365F" w14:textId="4F53AC90" w:rsidR="00584D88" w:rsidRPr="00DD5014" w:rsidRDefault="0010112D" w:rsidP="0010112D">
      <w:pPr>
        <w:pStyle w:val="IOP-CS-BodyText"/>
        <w:spacing w:before="60" w:after="60"/>
        <w:ind w:firstLine="0"/>
        <w:rPr>
          <w:rFonts w:ascii="Arial" w:hAnsi="Arial" w:cs="Arial"/>
          <w:i/>
          <w:iCs/>
        </w:rPr>
      </w:pPr>
      <w:r w:rsidRPr="00DD5014">
        <w:rPr>
          <w:rFonts w:ascii="Arial" w:hAnsi="Arial" w:cs="Arial"/>
          <w:i/>
          <w:iCs/>
        </w:rPr>
        <w:t>2</w:t>
      </w:r>
      <w:r w:rsidR="00584D88" w:rsidRPr="00DD5014">
        <w:rPr>
          <w:rFonts w:ascii="Arial" w:hAnsi="Arial" w:cs="Arial"/>
          <w:i/>
          <w:iCs/>
        </w:rPr>
        <w:t>.1.2 Wind Energy Applications</w:t>
      </w:r>
    </w:p>
    <w:p w14:paraId="1C141B55" w14:textId="160DB6BD" w:rsidR="00584D88" w:rsidRPr="00DD5014" w:rsidRDefault="00584D88" w:rsidP="00584D88">
      <w:pPr>
        <w:pStyle w:val="IOP-CS-BodyText"/>
        <w:ind w:firstLine="0"/>
        <w:rPr>
          <w:rFonts w:ascii="Arial" w:hAnsi="Arial" w:cs="Arial"/>
          <w:lang w:val="en-US"/>
        </w:rPr>
      </w:pPr>
      <w:r w:rsidRPr="00DD5014">
        <w:rPr>
          <w:rFonts w:ascii="Arial" w:hAnsi="Arial" w:cs="Arial"/>
          <w:lang w:val="en-US"/>
        </w:rPr>
        <w:t xml:space="preserve">Wind energy has been successfully implemented in both onshore and offshore environments. Modern wind turbines are designed to optimize performance across a range of wind speeds, making them suitable for diverse geographical regions </w:t>
      </w:r>
      <w:r w:rsidR="000A2C0C" w:rsidRPr="000A2C0C">
        <w:rPr>
          <w:rFonts w:ascii="Arial" w:hAnsi="Arial" w:cs="Arial"/>
        </w:rPr>
        <w:t>(Hernandez &amp; Rao, 2020)</w:t>
      </w:r>
      <w:r w:rsidR="000A2C0C">
        <w:rPr>
          <w:rFonts w:ascii="Arial" w:hAnsi="Arial" w:cs="Arial"/>
        </w:rPr>
        <w:t xml:space="preserve">. </w:t>
      </w:r>
      <w:r w:rsidRPr="00DD5014">
        <w:rPr>
          <w:rFonts w:ascii="Arial" w:hAnsi="Arial" w:cs="Arial"/>
          <w:lang w:val="en-US"/>
        </w:rPr>
        <w:t>Table 1 compares the average capacity factors of solar, wind, and hydropower plants.</w:t>
      </w:r>
      <w:r w:rsidR="00C376CF">
        <w:rPr>
          <w:rFonts w:ascii="Arial" w:hAnsi="Arial" w:cs="Arial"/>
          <w:lang w:val="en-US"/>
        </w:rPr>
        <w:t xml:space="preserve"> </w:t>
      </w:r>
      <w:r w:rsidR="00C376CF" w:rsidRPr="00C376CF">
        <w:rPr>
          <w:rFonts w:ascii="Arial" w:hAnsi="Arial" w:cs="Arial"/>
        </w:rPr>
        <w:t>Offshore wind farms, in particular, often achieve higher capacity factors due to stronger and more consistent wind resources. Continued innovation in turbine design and grid integration is expected to further enhance the role of wind energy in the global renewable mix.</w:t>
      </w:r>
    </w:p>
    <w:p w14:paraId="4A6952E9" w14:textId="77777777" w:rsidR="00584D88" w:rsidRPr="00E22F17" w:rsidRDefault="00584D88" w:rsidP="0010112D">
      <w:pPr>
        <w:pStyle w:val="IOP-CS-BodyText"/>
        <w:spacing w:before="120" w:after="120"/>
        <w:ind w:firstLine="432"/>
        <w:jc w:val="center"/>
        <w:rPr>
          <w:rFonts w:asciiTheme="minorBidi" w:hAnsiTheme="minorBidi"/>
          <w:sz w:val="20"/>
          <w:szCs w:val="20"/>
          <w:lang w:val="en-US"/>
        </w:rPr>
      </w:pPr>
      <w:r w:rsidRPr="00E22F17">
        <w:rPr>
          <w:rFonts w:asciiTheme="minorBidi" w:hAnsiTheme="minorBidi"/>
          <w:b/>
          <w:bCs/>
          <w:sz w:val="20"/>
          <w:szCs w:val="20"/>
          <w:lang w:val="en-US"/>
        </w:rPr>
        <w:t>Table 1</w:t>
      </w:r>
      <w:r w:rsidRPr="00E22F17">
        <w:rPr>
          <w:rFonts w:asciiTheme="minorBidi" w:hAnsiTheme="minorBidi"/>
          <w:sz w:val="20"/>
          <w:szCs w:val="20"/>
          <w:lang w:val="en-US"/>
        </w:rPr>
        <w:t>. Comparison of Average Capacity Factors for Renewable Energy Sources [8].</w:t>
      </w:r>
    </w:p>
    <w:tbl>
      <w:tblPr>
        <w:tblW w:w="4772" w:type="pct"/>
        <w:jc w:val="center"/>
        <w:tblLook w:val="04A0" w:firstRow="1" w:lastRow="0" w:firstColumn="1" w:lastColumn="0" w:noHBand="0" w:noVBand="1"/>
      </w:tblPr>
      <w:tblGrid>
        <w:gridCol w:w="3509"/>
        <w:gridCol w:w="1621"/>
        <w:gridCol w:w="1890"/>
        <w:gridCol w:w="1594"/>
      </w:tblGrid>
      <w:tr w:rsidR="007071D1" w:rsidRPr="007071D1" w14:paraId="59A7977B" w14:textId="77777777" w:rsidTr="00DC0894">
        <w:trPr>
          <w:trHeight w:val="20"/>
          <w:jc w:val="center"/>
        </w:trPr>
        <w:tc>
          <w:tcPr>
            <w:tcW w:w="2037" w:type="pct"/>
            <w:tcBorders>
              <w:top w:val="nil"/>
              <w:left w:val="nil"/>
              <w:bottom w:val="nil"/>
              <w:right w:val="nil"/>
            </w:tcBorders>
            <w:vAlign w:val="center"/>
            <w:hideMark/>
          </w:tcPr>
          <w:p w14:paraId="4DB6A8EF"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Energy Source</w:t>
            </w:r>
          </w:p>
        </w:tc>
        <w:tc>
          <w:tcPr>
            <w:tcW w:w="941" w:type="pct"/>
            <w:tcBorders>
              <w:top w:val="nil"/>
              <w:left w:val="nil"/>
              <w:bottom w:val="nil"/>
              <w:right w:val="nil"/>
            </w:tcBorders>
            <w:vAlign w:val="center"/>
            <w:hideMark/>
          </w:tcPr>
          <w:p w14:paraId="737BAC37"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Capacity Factor (%)</w:t>
            </w:r>
          </w:p>
        </w:tc>
        <w:tc>
          <w:tcPr>
            <w:tcW w:w="1097" w:type="pct"/>
            <w:tcBorders>
              <w:top w:val="nil"/>
              <w:left w:val="nil"/>
              <w:bottom w:val="nil"/>
              <w:right w:val="nil"/>
            </w:tcBorders>
            <w:vAlign w:val="center"/>
            <w:hideMark/>
          </w:tcPr>
          <w:p w14:paraId="6A8AC08D"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Typical Range (%)</w:t>
            </w:r>
          </w:p>
        </w:tc>
        <w:tc>
          <w:tcPr>
            <w:tcW w:w="925" w:type="pct"/>
            <w:tcBorders>
              <w:top w:val="nil"/>
              <w:left w:val="nil"/>
              <w:bottom w:val="nil"/>
              <w:right w:val="nil"/>
            </w:tcBorders>
            <w:vAlign w:val="center"/>
            <w:hideMark/>
          </w:tcPr>
          <w:p w14:paraId="34091D09"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Lifetime</w:t>
            </w:r>
          </w:p>
          <w:p w14:paraId="6809C3C0" w14:textId="78CEE3E1"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 xml:space="preserve"> (Years)</w:t>
            </w:r>
          </w:p>
        </w:tc>
      </w:tr>
      <w:tr w:rsidR="007071D1" w:rsidRPr="007071D1" w14:paraId="717A5EB9" w14:textId="77777777" w:rsidTr="00DC0894">
        <w:trPr>
          <w:trHeight w:val="20"/>
          <w:jc w:val="center"/>
        </w:trPr>
        <w:tc>
          <w:tcPr>
            <w:tcW w:w="2037" w:type="pct"/>
            <w:tcBorders>
              <w:top w:val="nil"/>
              <w:left w:val="nil"/>
              <w:bottom w:val="nil"/>
              <w:right w:val="nil"/>
            </w:tcBorders>
            <w:vAlign w:val="center"/>
            <w:hideMark/>
          </w:tcPr>
          <w:p w14:paraId="0D6B37C2" w14:textId="77777777" w:rsidR="007071D1" w:rsidRPr="007071D1" w:rsidRDefault="007071D1" w:rsidP="007071D1">
            <w:pPr>
              <w:spacing w:after="0" w:line="240" w:lineRule="auto"/>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Solar PV</w:t>
            </w:r>
          </w:p>
        </w:tc>
        <w:tc>
          <w:tcPr>
            <w:tcW w:w="941" w:type="pct"/>
            <w:tcBorders>
              <w:top w:val="nil"/>
              <w:left w:val="nil"/>
              <w:bottom w:val="nil"/>
              <w:right w:val="nil"/>
            </w:tcBorders>
            <w:vAlign w:val="center"/>
            <w:hideMark/>
          </w:tcPr>
          <w:p w14:paraId="6546BA6E"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20</w:t>
            </w:r>
          </w:p>
        </w:tc>
        <w:tc>
          <w:tcPr>
            <w:tcW w:w="1097" w:type="pct"/>
            <w:tcBorders>
              <w:top w:val="nil"/>
              <w:left w:val="nil"/>
              <w:bottom w:val="nil"/>
              <w:right w:val="nil"/>
            </w:tcBorders>
            <w:vAlign w:val="center"/>
            <w:hideMark/>
          </w:tcPr>
          <w:p w14:paraId="656B0D90"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15–25</w:t>
            </w:r>
          </w:p>
        </w:tc>
        <w:tc>
          <w:tcPr>
            <w:tcW w:w="925" w:type="pct"/>
            <w:tcBorders>
              <w:top w:val="nil"/>
              <w:left w:val="nil"/>
              <w:bottom w:val="nil"/>
              <w:right w:val="nil"/>
            </w:tcBorders>
            <w:vAlign w:val="center"/>
            <w:hideMark/>
          </w:tcPr>
          <w:p w14:paraId="56F433F7"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25–30</w:t>
            </w:r>
          </w:p>
        </w:tc>
      </w:tr>
      <w:tr w:rsidR="007071D1" w:rsidRPr="007071D1" w14:paraId="19E04F5C" w14:textId="77777777" w:rsidTr="00DC0894">
        <w:trPr>
          <w:trHeight w:val="20"/>
          <w:jc w:val="center"/>
        </w:trPr>
        <w:tc>
          <w:tcPr>
            <w:tcW w:w="2037" w:type="pct"/>
            <w:tcBorders>
              <w:top w:val="nil"/>
              <w:left w:val="nil"/>
              <w:bottom w:val="nil"/>
              <w:right w:val="nil"/>
            </w:tcBorders>
            <w:vAlign w:val="center"/>
            <w:hideMark/>
          </w:tcPr>
          <w:p w14:paraId="7E90D0CB" w14:textId="77777777" w:rsidR="007071D1" w:rsidRPr="007071D1" w:rsidRDefault="007071D1" w:rsidP="007071D1">
            <w:pPr>
              <w:spacing w:after="0" w:line="240" w:lineRule="auto"/>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Wind</w:t>
            </w:r>
          </w:p>
        </w:tc>
        <w:tc>
          <w:tcPr>
            <w:tcW w:w="941" w:type="pct"/>
            <w:tcBorders>
              <w:top w:val="nil"/>
              <w:left w:val="nil"/>
              <w:bottom w:val="nil"/>
              <w:right w:val="nil"/>
            </w:tcBorders>
            <w:vAlign w:val="center"/>
            <w:hideMark/>
          </w:tcPr>
          <w:p w14:paraId="14A70A0A"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35</w:t>
            </w:r>
          </w:p>
        </w:tc>
        <w:tc>
          <w:tcPr>
            <w:tcW w:w="1097" w:type="pct"/>
            <w:tcBorders>
              <w:top w:val="nil"/>
              <w:left w:val="nil"/>
              <w:bottom w:val="nil"/>
              <w:right w:val="nil"/>
            </w:tcBorders>
            <w:vAlign w:val="center"/>
            <w:hideMark/>
          </w:tcPr>
          <w:p w14:paraId="6738D2B5"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25–45</w:t>
            </w:r>
          </w:p>
        </w:tc>
        <w:tc>
          <w:tcPr>
            <w:tcW w:w="925" w:type="pct"/>
            <w:tcBorders>
              <w:top w:val="nil"/>
              <w:left w:val="nil"/>
              <w:bottom w:val="nil"/>
              <w:right w:val="nil"/>
            </w:tcBorders>
            <w:vAlign w:val="center"/>
            <w:hideMark/>
          </w:tcPr>
          <w:p w14:paraId="09F868FC"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20–25</w:t>
            </w:r>
          </w:p>
        </w:tc>
      </w:tr>
      <w:tr w:rsidR="007071D1" w:rsidRPr="007071D1" w14:paraId="0367AF2B" w14:textId="77777777" w:rsidTr="00DC0894">
        <w:trPr>
          <w:trHeight w:val="20"/>
          <w:jc w:val="center"/>
        </w:trPr>
        <w:tc>
          <w:tcPr>
            <w:tcW w:w="2037" w:type="pct"/>
            <w:tcBorders>
              <w:top w:val="nil"/>
              <w:left w:val="nil"/>
              <w:bottom w:val="nil"/>
              <w:right w:val="nil"/>
            </w:tcBorders>
            <w:vAlign w:val="center"/>
            <w:hideMark/>
          </w:tcPr>
          <w:p w14:paraId="4D513EA8" w14:textId="77777777" w:rsidR="007071D1" w:rsidRPr="007071D1" w:rsidRDefault="007071D1" w:rsidP="007071D1">
            <w:pPr>
              <w:spacing w:after="0" w:line="240" w:lineRule="auto"/>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Hydropower</w:t>
            </w:r>
          </w:p>
        </w:tc>
        <w:tc>
          <w:tcPr>
            <w:tcW w:w="941" w:type="pct"/>
            <w:tcBorders>
              <w:top w:val="nil"/>
              <w:left w:val="nil"/>
              <w:bottom w:val="nil"/>
              <w:right w:val="nil"/>
            </w:tcBorders>
            <w:vAlign w:val="center"/>
            <w:hideMark/>
          </w:tcPr>
          <w:p w14:paraId="40DDA2C0"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50</w:t>
            </w:r>
          </w:p>
        </w:tc>
        <w:tc>
          <w:tcPr>
            <w:tcW w:w="1097" w:type="pct"/>
            <w:tcBorders>
              <w:top w:val="nil"/>
              <w:left w:val="nil"/>
              <w:bottom w:val="nil"/>
              <w:right w:val="nil"/>
            </w:tcBorders>
            <w:vAlign w:val="center"/>
            <w:hideMark/>
          </w:tcPr>
          <w:p w14:paraId="11B972EC"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40–60</w:t>
            </w:r>
          </w:p>
        </w:tc>
        <w:tc>
          <w:tcPr>
            <w:tcW w:w="925" w:type="pct"/>
            <w:tcBorders>
              <w:top w:val="nil"/>
              <w:left w:val="nil"/>
              <w:bottom w:val="nil"/>
              <w:right w:val="nil"/>
            </w:tcBorders>
            <w:vAlign w:val="center"/>
            <w:hideMark/>
          </w:tcPr>
          <w:p w14:paraId="127A930A"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50–100</w:t>
            </w:r>
          </w:p>
        </w:tc>
      </w:tr>
      <w:tr w:rsidR="007071D1" w:rsidRPr="007071D1" w14:paraId="6CB9A1A2" w14:textId="77777777" w:rsidTr="00DC0894">
        <w:trPr>
          <w:trHeight w:val="20"/>
          <w:jc w:val="center"/>
        </w:trPr>
        <w:tc>
          <w:tcPr>
            <w:tcW w:w="2037" w:type="pct"/>
            <w:tcBorders>
              <w:top w:val="nil"/>
              <w:left w:val="nil"/>
              <w:bottom w:val="nil"/>
              <w:right w:val="nil"/>
            </w:tcBorders>
            <w:vAlign w:val="center"/>
            <w:hideMark/>
          </w:tcPr>
          <w:p w14:paraId="3BB7B181" w14:textId="77777777" w:rsidR="007071D1" w:rsidRPr="007071D1" w:rsidRDefault="007071D1" w:rsidP="007071D1">
            <w:pPr>
              <w:spacing w:after="0" w:line="240" w:lineRule="auto"/>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Geothermal</w:t>
            </w:r>
          </w:p>
        </w:tc>
        <w:tc>
          <w:tcPr>
            <w:tcW w:w="941" w:type="pct"/>
            <w:tcBorders>
              <w:top w:val="nil"/>
              <w:left w:val="nil"/>
              <w:bottom w:val="nil"/>
              <w:right w:val="nil"/>
            </w:tcBorders>
            <w:vAlign w:val="center"/>
            <w:hideMark/>
          </w:tcPr>
          <w:p w14:paraId="11217423"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70</w:t>
            </w:r>
          </w:p>
        </w:tc>
        <w:tc>
          <w:tcPr>
            <w:tcW w:w="1097" w:type="pct"/>
            <w:tcBorders>
              <w:top w:val="nil"/>
              <w:left w:val="nil"/>
              <w:bottom w:val="nil"/>
              <w:right w:val="nil"/>
            </w:tcBorders>
            <w:vAlign w:val="center"/>
            <w:hideMark/>
          </w:tcPr>
          <w:p w14:paraId="4B712720"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60–80</w:t>
            </w:r>
          </w:p>
        </w:tc>
        <w:tc>
          <w:tcPr>
            <w:tcW w:w="925" w:type="pct"/>
            <w:tcBorders>
              <w:top w:val="nil"/>
              <w:left w:val="nil"/>
              <w:bottom w:val="nil"/>
              <w:right w:val="nil"/>
            </w:tcBorders>
            <w:vAlign w:val="center"/>
            <w:hideMark/>
          </w:tcPr>
          <w:p w14:paraId="4EF6CA3F"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30–50</w:t>
            </w:r>
          </w:p>
        </w:tc>
      </w:tr>
      <w:tr w:rsidR="007071D1" w:rsidRPr="007071D1" w14:paraId="2BFF6774" w14:textId="77777777" w:rsidTr="00DC0894">
        <w:trPr>
          <w:trHeight w:val="20"/>
          <w:jc w:val="center"/>
        </w:trPr>
        <w:tc>
          <w:tcPr>
            <w:tcW w:w="2037" w:type="pct"/>
            <w:tcBorders>
              <w:top w:val="nil"/>
              <w:left w:val="nil"/>
              <w:bottom w:val="nil"/>
              <w:right w:val="nil"/>
            </w:tcBorders>
            <w:vAlign w:val="center"/>
            <w:hideMark/>
          </w:tcPr>
          <w:p w14:paraId="287AC062" w14:textId="77777777" w:rsidR="007071D1" w:rsidRPr="007071D1" w:rsidRDefault="007071D1" w:rsidP="007071D1">
            <w:pPr>
              <w:spacing w:after="0" w:line="240" w:lineRule="auto"/>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Biomass</w:t>
            </w:r>
          </w:p>
        </w:tc>
        <w:tc>
          <w:tcPr>
            <w:tcW w:w="941" w:type="pct"/>
            <w:tcBorders>
              <w:top w:val="nil"/>
              <w:left w:val="nil"/>
              <w:bottom w:val="nil"/>
              <w:right w:val="nil"/>
            </w:tcBorders>
            <w:vAlign w:val="center"/>
            <w:hideMark/>
          </w:tcPr>
          <w:p w14:paraId="08334540"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55</w:t>
            </w:r>
          </w:p>
        </w:tc>
        <w:tc>
          <w:tcPr>
            <w:tcW w:w="1097" w:type="pct"/>
            <w:tcBorders>
              <w:top w:val="nil"/>
              <w:left w:val="nil"/>
              <w:bottom w:val="nil"/>
              <w:right w:val="nil"/>
            </w:tcBorders>
            <w:vAlign w:val="center"/>
            <w:hideMark/>
          </w:tcPr>
          <w:p w14:paraId="31F44CF7"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50–70</w:t>
            </w:r>
          </w:p>
        </w:tc>
        <w:tc>
          <w:tcPr>
            <w:tcW w:w="925" w:type="pct"/>
            <w:tcBorders>
              <w:top w:val="nil"/>
              <w:left w:val="nil"/>
              <w:bottom w:val="nil"/>
              <w:right w:val="nil"/>
            </w:tcBorders>
            <w:vAlign w:val="center"/>
            <w:hideMark/>
          </w:tcPr>
          <w:p w14:paraId="043979B9"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20–25</w:t>
            </w:r>
          </w:p>
        </w:tc>
      </w:tr>
      <w:tr w:rsidR="007071D1" w:rsidRPr="007071D1" w14:paraId="4161EEFB" w14:textId="77777777" w:rsidTr="00DC0894">
        <w:trPr>
          <w:trHeight w:val="20"/>
          <w:jc w:val="center"/>
        </w:trPr>
        <w:tc>
          <w:tcPr>
            <w:tcW w:w="2037" w:type="pct"/>
            <w:tcBorders>
              <w:top w:val="nil"/>
              <w:left w:val="nil"/>
              <w:bottom w:val="nil"/>
              <w:right w:val="nil"/>
            </w:tcBorders>
            <w:vAlign w:val="center"/>
            <w:hideMark/>
          </w:tcPr>
          <w:p w14:paraId="00309E4B" w14:textId="77777777" w:rsidR="007071D1" w:rsidRPr="007071D1" w:rsidRDefault="007071D1" w:rsidP="007071D1">
            <w:pPr>
              <w:spacing w:after="0" w:line="240" w:lineRule="auto"/>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CSP (Concentrated Solar Power)</w:t>
            </w:r>
          </w:p>
        </w:tc>
        <w:tc>
          <w:tcPr>
            <w:tcW w:w="941" w:type="pct"/>
            <w:tcBorders>
              <w:top w:val="nil"/>
              <w:left w:val="nil"/>
              <w:bottom w:val="nil"/>
              <w:right w:val="nil"/>
            </w:tcBorders>
            <w:vAlign w:val="center"/>
            <w:hideMark/>
          </w:tcPr>
          <w:p w14:paraId="64354BDB"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30</w:t>
            </w:r>
          </w:p>
        </w:tc>
        <w:tc>
          <w:tcPr>
            <w:tcW w:w="1097" w:type="pct"/>
            <w:tcBorders>
              <w:top w:val="nil"/>
              <w:left w:val="nil"/>
              <w:bottom w:val="nil"/>
              <w:right w:val="nil"/>
            </w:tcBorders>
            <w:vAlign w:val="center"/>
            <w:hideMark/>
          </w:tcPr>
          <w:p w14:paraId="6BABFBA1"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25–35</w:t>
            </w:r>
          </w:p>
        </w:tc>
        <w:tc>
          <w:tcPr>
            <w:tcW w:w="925" w:type="pct"/>
            <w:tcBorders>
              <w:top w:val="nil"/>
              <w:left w:val="nil"/>
              <w:bottom w:val="nil"/>
              <w:right w:val="nil"/>
            </w:tcBorders>
            <w:vAlign w:val="center"/>
            <w:hideMark/>
          </w:tcPr>
          <w:p w14:paraId="3FE14D5E"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25–30</w:t>
            </w:r>
          </w:p>
        </w:tc>
      </w:tr>
      <w:tr w:rsidR="007071D1" w:rsidRPr="007071D1" w14:paraId="05055BBF" w14:textId="77777777" w:rsidTr="00DC0894">
        <w:trPr>
          <w:trHeight w:val="20"/>
          <w:jc w:val="center"/>
        </w:trPr>
        <w:tc>
          <w:tcPr>
            <w:tcW w:w="2037" w:type="pct"/>
            <w:tcBorders>
              <w:top w:val="nil"/>
              <w:left w:val="nil"/>
              <w:bottom w:val="nil"/>
              <w:right w:val="nil"/>
            </w:tcBorders>
            <w:vAlign w:val="center"/>
            <w:hideMark/>
          </w:tcPr>
          <w:p w14:paraId="6519F93C" w14:textId="77777777" w:rsidR="007071D1" w:rsidRPr="007071D1" w:rsidRDefault="007071D1" w:rsidP="007071D1">
            <w:pPr>
              <w:spacing w:after="0" w:line="240" w:lineRule="auto"/>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Nuclear (for comparison)</w:t>
            </w:r>
          </w:p>
        </w:tc>
        <w:tc>
          <w:tcPr>
            <w:tcW w:w="941" w:type="pct"/>
            <w:tcBorders>
              <w:top w:val="nil"/>
              <w:left w:val="nil"/>
              <w:bottom w:val="nil"/>
              <w:right w:val="nil"/>
            </w:tcBorders>
            <w:vAlign w:val="center"/>
            <w:hideMark/>
          </w:tcPr>
          <w:p w14:paraId="307B5BC6"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85</w:t>
            </w:r>
          </w:p>
        </w:tc>
        <w:tc>
          <w:tcPr>
            <w:tcW w:w="1097" w:type="pct"/>
            <w:tcBorders>
              <w:top w:val="nil"/>
              <w:left w:val="nil"/>
              <w:bottom w:val="nil"/>
              <w:right w:val="nil"/>
            </w:tcBorders>
            <w:vAlign w:val="center"/>
            <w:hideMark/>
          </w:tcPr>
          <w:p w14:paraId="077C80C4"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80–90</w:t>
            </w:r>
          </w:p>
        </w:tc>
        <w:tc>
          <w:tcPr>
            <w:tcW w:w="925" w:type="pct"/>
            <w:tcBorders>
              <w:top w:val="nil"/>
              <w:left w:val="nil"/>
              <w:bottom w:val="nil"/>
              <w:right w:val="nil"/>
            </w:tcBorders>
            <w:vAlign w:val="center"/>
            <w:hideMark/>
          </w:tcPr>
          <w:p w14:paraId="4E649DC5" w14:textId="77777777" w:rsidR="007071D1" w:rsidRPr="007071D1" w:rsidRDefault="007071D1" w:rsidP="007071D1">
            <w:pPr>
              <w:spacing w:after="0" w:line="240" w:lineRule="auto"/>
              <w:jc w:val="center"/>
              <w:rPr>
                <w:rFonts w:ascii="Arial" w:eastAsia="Times New Roman" w:hAnsi="Arial" w:cs="Arial"/>
                <w:color w:val="000000"/>
                <w:kern w:val="0"/>
                <w:lang w:val="en-IN" w:eastAsia="en-IN" w:bidi="hi-IN"/>
                <w14:ligatures w14:val="none"/>
              </w:rPr>
            </w:pPr>
            <w:r w:rsidRPr="007071D1">
              <w:rPr>
                <w:rFonts w:ascii="Arial" w:eastAsia="Times New Roman" w:hAnsi="Arial" w:cs="Arial"/>
                <w:color w:val="000000"/>
                <w:kern w:val="0"/>
                <w:lang w:val="en-IN" w:eastAsia="en-IN" w:bidi="hi-IN"/>
                <w14:ligatures w14:val="none"/>
              </w:rPr>
              <w:t>40–60</w:t>
            </w:r>
          </w:p>
        </w:tc>
      </w:tr>
    </w:tbl>
    <w:p w14:paraId="48E81B5E" w14:textId="77777777" w:rsidR="00E22F17" w:rsidRPr="00E22F17" w:rsidRDefault="00E22F17" w:rsidP="00E22F17">
      <w:pPr>
        <w:pStyle w:val="IOP-CS-BodyText"/>
        <w:ind w:firstLine="0"/>
        <w:rPr>
          <w:sz w:val="12"/>
          <w:szCs w:val="12"/>
          <w:lang w:val="en-US"/>
        </w:rPr>
      </w:pPr>
    </w:p>
    <w:p w14:paraId="1B1A275E" w14:textId="5753E795" w:rsidR="00584D88" w:rsidRPr="00584D88" w:rsidRDefault="00584D88" w:rsidP="00E22F17">
      <w:pPr>
        <w:pStyle w:val="IOP-CS-BodyText"/>
        <w:ind w:firstLine="0"/>
        <w:rPr>
          <w:lang w:val="en-US"/>
        </w:rPr>
      </w:pPr>
      <w:r w:rsidRPr="00584D88">
        <w:rPr>
          <w:lang w:val="en-US"/>
        </w:rPr>
        <w:t>The power available from wind can be expressed by Eq.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380"/>
        <w:gridCol w:w="741"/>
      </w:tblGrid>
      <w:tr w:rsidR="00584D88" w:rsidRPr="009C62E6" w14:paraId="6F981D11" w14:textId="77777777" w:rsidTr="00DC0894">
        <w:trPr>
          <w:trHeight w:val="567"/>
        </w:trPr>
        <w:tc>
          <w:tcPr>
            <w:tcW w:w="895" w:type="dxa"/>
          </w:tcPr>
          <w:p w14:paraId="74939318" w14:textId="77777777" w:rsidR="00584D88" w:rsidRPr="009C62E6" w:rsidRDefault="00584D88" w:rsidP="008C0766">
            <w:pPr>
              <w:pStyle w:val="IOP-CS-BodyText"/>
              <w:ind w:firstLine="0"/>
              <w:rPr>
                <w:color w:val="EE0000"/>
                <w:lang w:val="en-US"/>
              </w:rPr>
            </w:pPr>
          </w:p>
        </w:tc>
        <w:tc>
          <w:tcPr>
            <w:tcW w:w="7380" w:type="dxa"/>
          </w:tcPr>
          <w:p w14:paraId="5C7EE5C5" w14:textId="6DCC331B" w:rsidR="00584D88" w:rsidRPr="009C62E6" w:rsidRDefault="00E22F17" w:rsidP="008C0766">
            <w:pPr>
              <w:pStyle w:val="IOP-CS-BodyText"/>
              <w:ind w:firstLine="0"/>
              <w:rPr>
                <w:color w:val="EE0000"/>
                <w:lang w:val="en-US"/>
              </w:rPr>
            </w:pPr>
            <m:oMathPara>
              <m:oMath>
                <m:r>
                  <w:rPr>
                    <w:rFonts w:ascii="Cambria Math" w:hAnsi="Cambria Math" w:cstheme="minorBidi"/>
                    <w:lang w:val="en-US"/>
                  </w:rPr>
                  <m:t>P=</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ρ.A.</m:t>
                </m:r>
                <m:sSup>
                  <m:sSupPr>
                    <m:ctrlPr>
                      <w:rPr>
                        <w:rFonts w:ascii="Cambria Math" w:hAnsi="Cambria Math" w:cstheme="minorBidi"/>
                        <w:i/>
                        <w:lang w:val="en-US"/>
                      </w:rPr>
                    </m:ctrlPr>
                  </m:sSupPr>
                  <m:e>
                    <m:r>
                      <w:rPr>
                        <w:rFonts w:ascii="Cambria Math" w:hAnsi="Cambria Math" w:cstheme="minorBidi"/>
                        <w:lang w:val="en-US"/>
                      </w:rPr>
                      <m:t>V</m:t>
                    </m:r>
                  </m:e>
                  <m:sup>
                    <m:r>
                      <w:rPr>
                        <w:rFonts w:ascii="Cambria Math" w:hAnsi="Cambria Math" w:cstheme="minorBidi"/>
                        <w:lang w:val="en-US"/>
                      </w:rPr>
                      <m:t>3</m:t>
                    </m:r>
                  </m:sup>
                </m:sSup>
              </m:oMath>
            </m:oMathPara>
          </w:p>
        </w:tc>
        <w:tc>
          <w:tcPr>
            <w:tcW w:w="741" w:type="dxa"/>
          </w:tcPr>
          <w:p w14:paraId="0B419FB2" w14:textId="3BEAA217" w:rsidR="00584D88" w:rsidRPr="009C62E6" w:rsidRDefault="00584D88" w:rsidP="008C0766">
            <w:pPr>
              <w:pStyle w:val="IOP-CS-BodyText"/>
              <w:ind w:firstLine="0"/>
              <w:rPr>
                <w:color w:val="EE0000"/>
                <w:lang w:val="en-US"/>
              </w:rPr>
            </w:pPr>
            <w:r w:rsidRPr="00C376CF">
              <w:rPr>
                <w:lang w:val="en-US"/>
              </w:rPr>
              <w:t>(2</w:t>
            </w:r>
            <w:r w:rsidR="00C376CF" w:rsidRPr="00C376CF">
              <w:rPr>
                <w:lang w:val="en-US"/>
              </w:rPr>
              <w:t>.5</w:t>
            </w:r>
            <w:r w:rsidRPr="00C376CF">
              <w:rPr>
                <w:lang w:val="en-US"/>
              </w:rPr>
              <w:t>)</w:t>
            </w:r>
          </w:p>
        </w:tc>
      </w:tr>
    </w:tbl>
    <w:p w14:paraId="2BA0DF32" w14:textId="77777777" w:rsidR="00584D88" w:rsidRPr="00E22F17" w:rsidRDefault="00584D88" w:rsidP="00584D88">
      <w:pPr>
        <w:pStyle w:val="IOP-CS-BodyText"/>
        <w:rPr>
          <w:sz w:val="12"/>
          <w:szCs w:val="12"/>
          <w:lang w:val="en-US"/>
        </w:rPr>
      </w:pPr>
    </w:p>
    <w:p w14:paraId="4BE98F9B" w14:textId="27137869" w:rsidR="00E22F17" w:rsidRPr="003C5249" w:rsidRDefault="00584D88" w:rsidP="00584D88">
      <w:pPr>
        <w:pStyle w:val="IOP-CS-BodyText"/>
        <w:rPr>
          <w:rFonts w:asciiTheme="minorBidi" w:hAnsiTheme="minorBidi"/>
          <w:lang w:val="en-US"/>
        </w:rPr>
      </w:pPr>
      <w:r w:rsidRPr="003C5249">
        <w:rPr>
          <w:rFonts w:asciiTheme="minorBidi" w:hAnsiTheme="minorBidi"/>
          <w:lang w:val="en-US"/>
        </w:rPr>
        <w:t xml:space="preserve">where </w:t>
      </w:r>
      <m:oMath>
        <m:r>
          <m:rPr>
            <m:sty m:val="p"/>
          </m:rPr>
          <w:rPr>
            <w:rFonts w:ascii="Cambria Math" w:hAnsi="Cambria Math"/>
            <w:lang w:val="en-US"/>
          </w:rPr>
          <m:t>ρ</m:t>
        </m:r>
      </m:oMath>
      <w:r w:rsidR="00E22F17" w:rsidRPr="003C5249">
        <w:rPr>
          <w:rFonts w:asciiTheme="minorBidi" w:eastAsiaTheme="minorEastAsia" w:hAnsiTheme="minorBidi"/>
          <w:lang w:val="en-US"/>
        </w:rPr>
        <w:t xml:space="preserve"> </w:t>
      </w:r>
      <w:r w:rsidRPr="003C5249">
        <w:rPr>
          <w:rFonts w:asciiTheme="minorBidi" w:hAnsiTheme="minorBidi"/>
          <w:lang w:val="en-US"/>
        </w:rPr>
        <w:t>is the air density (</w:t>
      </w:r>
      <m:oMath>
        <m:r>
          <w:rPr>
            <w:rFonts w:ascii="Cambria Math" w:hAnsi="Cambria Math"/>
            <w:lang w:val="en-US"/>
          </w:rPr>
          <m:t>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oMath>
      <w:r w:rsidR="003C5249" w:rsidRPr="003C5249">
        <w:rPr>
          <w:rFonts w:asciiTheme="minorBidi" w:hAnsiTheme="minorBidi"/>
          <w:lang w:val="en-US"/>
        </w:rPr>
        <w:t xml:space="preserve">),  </w:t>
      </w:r>
      <m:oMath>
        <m:r>
          <w:rPr>
            <w:rFonts w:ascii="Cambria Math" w:hAnsi="Cambria Math"/>
            <w:lang w:val="en-US"/>
          </w:rPr>
          <m:t xml:space="preserve">A </m:t>
        </m:r>
      </m:oMath>
      <w:r w:rsidRPr="003C5249">
        <w:rPr>
          <w:rFonts w:asciiTheme="minorBidi" w:hAnsiTheme="minorBidi"/>
          <w:lang w:val="en-US"/>
        </w:rPr>
        <w:t>is the swept area of the turbine blades (</w:t>
      </w:r>
      <m:oMath>
        <m:sSup>
          <m:sSupPr>
            <m:ctrlPr>
              <w:rPr>
                <w:rFonts w:ascii="Cambria Math" w:hAnsi="Cambria Math"/>
                <w:lang w:val="en-US"/>
              </w:rPr>
            </m:ctrlPr>
          </m:sSupPr>
          <m:e>
            <m:r>
              <w:rPr>
                <w:rFonts w:ascii="Cambria Math" w:hAnsi="Cambria Math"/>
                <w:lang w:val="en-US"/>
              </w:rPr>
              <m:t>m</m:t>
            </m:r>
          </m:e>
          <m:sup>
            <m:r>
              <w:rPr>
                <w:rFonts w:ascii="Cambria Math" w:hAnsi="Cambria Math"/>
                <w:lang w:val="en-US"/>
              </w:rPr>
              <m:t>2</m:t>
            </m:r>
          </m:sup>
        </m:sSup>
      </m:oMath>
      <w:r w:rsidRPr="003C5249">
        <w:rPr>
          <w:rFonts w:asciiTheme="minorBidi" w:hAnsiTheme="minorBidi"/>
          <w:lang w:val="en-US"/>
        </w:rPr>
        <w:t xml:space="preserve">), and </w:t>
      </w:r>
      <m:oMath>
        <m:r>
          <w:rPr>
            <w:rFonts w:ascii="Cambria Math" w:hAnsi="Cambria Math"/>
            <w:lang w:val="en-US"/>
          </w:rPr>
          <m:t>V</m:t>
        </m:r>
      </m:oMath>
      <w:r w:rsidRPr="003C5249">
        <w:rPr>
          <w:rFonts w:asciiTheme="minorBidi" w:hAnsiTheme="minorBidi"/>
          <w:lang w:val="en-US"/>
        </w:rPr>
        <w:t>is the wind velocity (</w:t>
      </w:r>
      <m:oMath>
        <m:r>
          <w:rPr>
            <w:rFonts w:ascii="Cambria Math" w:hAnsi="Cambria Math"/>
            <w:lang w:val="en-US"/>
          </w:rPr>
          <m:t>m/s</m:t>
        </m:r>
      </m:oMath>
      <w:r w:rsidRPr="003C5249">
        <w:rPr>
          <w:rFonts w:asciiTheme="minorBidi" w:hAnsiTheme="minorBidi"/>
          <w:lang w:val="en-US"/>
        </w:rPr>
        <w:t xml:space="preserve">). </w:t>
      </w:r>
    </w:p>
    <w:p w14:paraId="3E570FEC" w14:textId="51A368E0" w:rsidR="00DD5014" w:rsidRDefault="003C5249" w:rsidP="00584D88">
      <w:pPr>
        <w:pStyle w:val="IOP-CS-BodyText"/>
        <w:rPr>
          <w:rFonts w:asciiTheme="minorBidi" w:hAnsiTheme="minorBidi"/>
        </w:rPr>
      </w:pPr>
      <w:r w:rsidRPr="003C5249">
        <w:rPr>
          <w:rFonts w:asciiTheme="minorBidi" w:hAnsiTheme="minorBidi"/>
        </w:rPr>
        <w:t xml:space="preserve">This cubic relation highlights why small increases in wind speed can lead to significant increases in power generation </w:t>
      </w:r>
      <w:r w:rsidR="000A2C0C" w:rsidRPr="000A2C0C">
        <w:rPr>
          <w:rFonts w:asciiTheme="minorBidi" w:hAnsiTheme="minorBidi"/>
        </w:rPr>
        <w:t>(World Health Organization, 2022)</w:t>
      </w:r>
      <w:r w:rsidR="000A2C0C">
        <w:rPr>
          <w:rFonts w:asciiTheme="minorBidi" w:hAnsiTheme="minorBidi"/>
        </w:rPr>
        <w:t xml:space="preserve">. </w:t>
      </w:r>
      <w:r w:rsidRPr="003C5249">
        <w:rPr>
          <w:rFonts w:asciiTheme="minorBidi" w:hAnsiTheme="minorBidi"/>
        </w:rPr>
        <w:t>Figure 1 illustrates the power curve of a typical wind turbine, showing the relationship between wind speed and output power. Figure 2 presents a schematic diagram of a modern horizontal-axis wind turbine, indicating key components such as the rotor, gearbox, and generator. In addition, Figure 3 compares onshore and offshore wind installations, highlighting their respective advantages and challenges. Together, these figures demonstrate the critical technical aspects of wind energy systems and their deployment strategies.</w:t>
      </w:r>
    </w:p>
    <w:p w14:paraId="21DF1E88" w14:textId="77777777" w:rsidR="003C5249" w:rsidRPr="003C5249" w:rsidRDefault="003C5249" w:rsidP="00584D88">
      <w:pPr>
        <w:pStyle w:val="IOP-CS-BodyText"/>
        <w:rPr>
          <w:rFonts w:asciiTheme="minorBidi" w:hAnsiTheme="minorBid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228"/>
      </w:tblGrid>
      <w:tr w:rsidR="003C5249" w:rsidRPr="003C5249" w14:paraId="7677188D" w14:textId="77777777" w:rsidTr="003C5249">
        <w:trPr>
          <w:trHeight w:val="2954"/>
          <w:jc w:val="center"/>
        </w:trPr>
        <w:tc>
          <w:tcPr>
            <w:tcW w:w="3393" w:type="dxa"/>
          </w:tcPr>
          <w:p w14:paraId="05F03537" w14:textId="4C25CB3D" w:rsidR="003C5249" w:rsidRPr="003C5249" w:rsidRDefault="003C5249" w:rsidP="001D141E">
            <w:pPr>
              <w:spacing w:line="259" w:lineRule="auto"/>
              <w:jc w:val="both"/>
              <w:rPr>
                <w:rFonts w:asciiTheme="minorBidi" w:hAnsiTheme="minorBidi" w:cstheme="minorBidi"/>
                <w:color w:val="FF0000"/>
                <w:sz w:val="20"/>
                <w:szCs w:val="20"/>
                <w:lang w:eastAsia="en-IN"/>
              </w:rPr>
            </w:pPr>
            <w:r>
              <w:rPr>
                <w:rFonts w:asciiTheme="minorBidi" w:hAnsiTheme="minorBidi"/>
                <w:noProof/>
                <w:color w:val="FF0000"/>
                <w:sz w:val="20"/>
                <w:szCs w:val="20"/>
                <w:lang w:eastAsia="en-IN"/>
              </w:rPr>
              <w:lastRenderedPageBreak/>
              <w:drawing>
                <wp:inline distT="0" distB="0" distL="0" distR="0" wp14:anchorId="5F9E7A3B" wp14:editId="5D15FF87">
                  <wp:extent cx="2148468" cy="1991687"/>
                  <wp:effectExtent l="0" t="0" r="4445" b="8890"/>
                  <wp:docPr id="1061139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197" cy="2041495"/>
                          </a:xfrm>
                          <a:prstGeom prst="rect">
                            <a:avLst/>
                          </a:prstGeom>
                          <a:noFill/>
                        </pic:spPr>
                      </pic:pic>
                    </a:graphicData>
                  </a:graphic>
                </wp:inline>
              </w:drawing>
            </w:r>
          </w:p>
        </w:tc>
        <w:tc>
          <w:tcPr>
            <w:tcW w:w="5228" w:type="dxa"/>
            <w:vAlign w:val="center"/>
          </w:tcPr>
          <w:p w14:paraId="6B3643C3" w14:textId="758690E9" w:rsidR="003C5249" w:rsidRPr="003C5249" w:rsidRDefault="003C5249" w:rsidP="003C5249">
            <w:pPr>
              <w:jc w:val="center"/>
            </w:pPr>
            <w:r w:rsidRPr="003C5249">
              <w:rPr>
                <w:noProof/>
              </w:rPr>
              <w:drawing>
                <wp:inline distT="0" distB="0" distL="0" distR="0" wp14:anchorId="55B2E1C5" wp14:editId="7333E5B3">
                  <wp:extent cx="2932430" cy="1902150"/>
                  <wp:effectExtent l="0" t="0" r="1270" b="3175"/>
                  <wp:docPr id="2119539265" name="Picture 6" descr="Micro-Small-Scale Horizontal Axis Wind Turbine Design and Performance  Analysis for Micro-Grids Application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cro-Small-Scale Horizontal Axis Wind Turbine Design and Performance  Analysis for Micro-Grids Applications | SpringerLink"/>
                          <pic:cNvPicPr>
                            <a:picLocks noChangeAspect="1" noChangeArrowheads="1"/>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2959332" cy="1919600"/>
                          </a:xfrm>
                          <a:prstGeom prst="rect">
                            <a:avLst/>
                          </a:prstGeom>
                          <a:noFill/>
                          <a:ln>
                            <a:noFill/>
                          </a:ln>
                        </pic:spPr>
                      </pic:pic>
                    </a:graphicData>
                  </a:graphic>
                </wp:inline>
              </w:drawing>
            </w:r>
          </w:p>
        </w:tc>
      </w:tr>
      <w:tr w:rsidR="003C5249" w:rsidRPr="003C5249" w14:paraId="364040B9" w14:textId="77777777" w:rsidTr="003C5249">
        <w:trPr>
          <w:trHeight w:val="638"/>
          <w:jc w:val="center"/>
        </w:trPr>
        <w:tc>
          <w:tcPr>
            <w:tcW w:w="3393" w:type="dxa"/>
          </w:tcPr>
          <w:p w14:paraId="51F5DE98" w14:textId="2626093C" w:rsidR="003C5249" w:rsidRPr="003C5249" w:rsidRDefault="003C5249" w:rsidP="001D141E">
            <w:pPr>
              <w:spacing w:before="60" w:after="60" w:line="259" w:lineRule="auto"/>
              <w:jc w:val="both"/>
              <w:rPr>
                <w:rFonts w:asciiTheme="minorBidi" w:hAnsiTheme="minorBidi" w:cstheme="minorBidi"/>
                <w:color w:val="FF0000"/>
                <w:sz w:val="20"/>
                <w:szCs w:val="20"/>
                <w:lang w:eastAsia="en-IN"/>
              </w:rPr>
            </w:pPr>
            <w:r w:rsidRPr="003C5249">
              <w:rPr>
                <w:rFonts w:asciiTheme="minorBidi" w:hAnsiTheme="minorBidi" w:cstheme="minorBidi"/>
                <w:b/>
                <w:bCs/>
                <w:sz w:val="20"/>
                <w:szCs w:val="20"/>
              </w:rPr>
              <w:t>Figure 1.</w:t>
            </w:r>
            <w:r w:rsidRPr="003C5249">
              <w:rPr>
                <w:rFonts w:asciiTheme="minorBidi" w:hAnsiTheme="minorBidi" w:cstheme="minorBidi"/>
                <w:sz w:val="20"/>
                <w:szCs w:val="20"/>
              </w:rPr>
              <w:t xml:space="preserve"> Power curve of a modern wind turbine.</w:t>
            </w:r>
          </w:p>
        </w:tc>
        <w:tc>
          <w:tcPr>
            <w:tcW w:w="5228" w:type="dxa"/>
          </w:tcPr>
          <w:p w14:paraId="60695358" w14:textId="32CF5D56" w:rsidR="003C5249" w:rsidRPr="003C5249" w:rsidRDefault="003C5249" w:rsidP="001D141E">
            <w:pPr>
              <w:spacing w:before="60" w:after="60" w:line="259" w:lineRule="auto"/>
              <w:jc w:val="both"/>
              <w:rPr>
                <w:rFonts w:asciiTheme="minorBidi" w:hAnsiTheme="minorBidi" w:cstheme="minorBidi"/>
                <w:color w:val="FF0000"/>
                <w:sz w:val="20"/>
                <w:szCs w:val="20"/>
                <w:lang w:eastAsia="en-IN"/>
              </w:rPr>
            </w:pPr>
            <w:r w:rsidRPr="003C5249">
              <w:rPr>
                <w:rFonts w:asciiTheme="minorBidi" w:hAnsiTheme="minorBidi" w:cstheme="minorBidi"/>
                <w:b/>
                <w:bCs/>
                <w:sz w:val="20"/>
                <w:szCs w:val="20"/>
              </w:rPr>
              <w:t xml:space="preserve">Figure 2: </w:t>
            </w:r>
            <w:r w:rsidRPr="003C5249">
              <w:rPr>
                <w:rFonts w:asciiTheme="minorBidi" w:hAnsiTheme="minorBidi" w:cstheme="minorBidi"/>
                <w:sz w:val="20"/>
                <w:szCs w:val="20"/>
              </w:rPr>
              <w:t>Schematic of a horizontal-axis wind turbine showing major components.</w:t>
            </w:r>
          </w:p>
        </w:tc>
      </w:tr>
    </w:tbl>
    <w:p w14:paraId="51D719C8" w14:textId="09829836" w:rsidR="003C5249" w:rsidRDefault="003C5249" w:rsidP="00584D88">
      <w:pPr>
        <w:pStyle w:val="IOP-CS-BodyText"/>
        <w:rPr>
          <w:rFonts w:ascii="Arial" w:hAnsi="Arial" w:cs="Arial"/>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3C5249" w:rsidRPr="003C5249" w14:paraId="1B54155B" w14:textId="77777777" w:rsidTr="003C5249">
        <w:trPr>
          <w:jc w:val="center"/>
        </w:trPr>
        <w:tc>
          <w:tcPr>
            <w:tcW w:w="5000" w:type="pct"/>
            <w:gridSpan w:val="2"/>
          </w:tcPr>
          <w:p w14:paraId="569B352E" w14:textId="7CEF14F5" w:rsidR="003C5249" w:rsidRPr="003C5249" w:rsidRDefault="003C5249" w:rsidP="003C5249">
            <w:pPr>
              <w:spacing w:line="259" w:lineRule="auto"/>
              <w:jc w:val="center"/>
              <w:rPr>
                <w:rFonts w:asciiTheme="minorBidi" w:hAnsiTheme="minorBidi" w:cstheme="minorBidi"/>
                <w:color w:val="FF0000"/>
                <w:sz w:val="20"/>
                <w:szCs w:val="20"/>
                <w:lang w:eastAsia="en-IN"/>
              </w:rPr>
            </w:pPr>
            <w:r>
              <w:rPr>
                <w:rFonts w:asciiTheme="minorBidi" w:hAnsiTheme="minorBidi"/>
                <w:noProof/>
                <w:color w:val="FF0000"/>
                <w:sz w:val="20"/>
                <w:szCs w:val="20"/>
                <w:lang w:eastAsia="en-IN"/>
              </w:rPr>
              <w:drawing>
                <wp:inline distT="0" distB="0" distL="0" distR="0" wp14:anchorId="31DC61D3" wp14:editId="7205CE41">
                  <wp:extent cx="4696949" cy="1930348"/>
                  <wp:effectExtent l="0" t="0" r="0" b="0"/>
                  <wp:docPr id="19837646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172" cy="1949345"/>
                          </a:xfrm>
                          <a:prstGeom prst="rect">
                            <a:avLst/>
                          </a:prstGeom>
                          <a:noFill/>
                        </pic:spPr>
                      </pic:pic>
                    </a:graphicData>
                  </a:graphic>
                </wp:inline>
              </w:drawing>
            </w:r>
          </w:p>
        </w:tc>
      </w:tr>
      <w:tr w:rsidR="003C5249" w:rsidRPr="003C5249" w14:paraId="580A1BDD" w14:textId="77777777" w:rsidTr="003C5249">
        <w:trPr>
          <w:jc w:val="center"/>
        </w:trPr>
        <w:tc>
          <w:tcPr>
            <w:tcW w:w="2500" w:type="pct"/>
          </w:tcPr>
          <w:p w14:paraId="0D7EB96D" w14:textId="05A6568B" w:rsidR="003C5249" w:rsidRDefault="003C5249" w:rsidP="003C5249">
            <w:pPr>
              <w:jc w:val="center"/>
              <w:rPr>
                <w:rFonts w:asciiTheme="minorBidi" w:hAnsiTheme="minorBidi"/>
                <w:noProof/>
                <w:color w:val="FF0000"/>
                <w:sz w:val="20"/>
                <w:szCs w:val="20"/>
                <w:lang w:eastAsia="en-IN"/>
              </w:rPr>
            </w:pPr>
            <w:r>
              <w:rPr>
                <w:rFonts w:asciiTheme="minorBidi" w:hAnsiTheme="minorBidi"/>
                <w:noProof/>
                <w:color w:val="FF0000"/>
                <w:sz w:val="20"/>
                <w:szCs w:val="20"/>
                <w:lang w:eastAsia="en-IN"/>
              </w:rPr>
              <w:t>(a)</w:t>
            </w:r>
          </w:p>
        </w:tc>
        <w:tc>
          <w:tcPr>
            <w:tcW w:w="2500" w:type="pct"/>
          </w:tcPr>
          <w:p w14:paraId="74F0E18F" w14:textId="1A5879FF" w:rsidR="003C5249" w:rsidRDefault="003C5249" w:rsidP="003C5249">
            <w:pPr>
              <w:jc w:val="center"/>
              <w:rPr>
                <w:rFonts w:asciiTheme="minorBidi" w:hAnsiTheme="minorBidi"/>
                <w:noProof/>
                <w:color w:val="FF0000"/>
                <w:sz w:val="20"/>
                <w:szCs w:val="20"/>
                <w:lang w:eastAsia="en-IN"/>
              </w:rPr>
            </w:pPr>
            <w:r>
              <w:rPr>
                <w:rFonts w:asciiTheme="minorBidi" w:hAnsiTheme="minorBidi"/>
                <w:noProof/>
                <w:color w:val="FF0000"/>
                <w:sz w:val="20"/>
                <w:szCs w:val="20"/>
                <w:lang w:eastAsia="en-IN"/>
              </w:rPr>
              <w:t>(b)</w:t>
            </w:r>
          </w:p>
        </w:tc>
      </w:tr>
      <w:tr w:rsidR="003C5249" w:rsidRPr="003C5249" w14:paraId="13B0A9C4" w14:textId="77777777" w:rsidTr="003C5249">
        <w:trPr>
          <w:jc w:val="center"/>
        </w:trPr>
        <w:tc>
          <w:tcPr>
            <w:tcW w:w="5000" w:type="pct"/>
            <w:gridSpan w:val="2"/>
          </w:tcPr>
          <w:p w14:paraId="03C41044" w14:textId="77777777" w:rsidR="003C5249" w:rsidRPr="003C5249" w:rsidRDefault="003C5249" w:rsidP="003C5249">
            <w:pPr>
              <w:spacing w:before="60" w:after="60" w:line="259" w:lineRule="auto"/>
              <w:jc w:val="center"/>
              <w:rPr>
                <w:rFonts w:asciiTheme="minorBidi" w:hAnsiTheme="minorBidi" w:cstheme="minorBidi"/>
                <w:color w:val="FF0000"/>
                <w:sz w:val="20"/>
                <w:szCs w:val="20"/>
                <w:lang w:eastAsia="en-IN"/>
              </w:rPr>
            </w:pPr>
            <w:r w:rsidRPr="003C5249">
              <w:rPr>
                <w:rFonts w:asciiTheme="minorBidi" w:hAnsiTheme="minorBidi" w:cstheme="minorBidi"/>
                <w:b/>
                <w:bCs/>
                <w:sz w:val="20"/>
                <w:szCs w:val="20"/>
              </w:rPr>
              <w:t>Figure 3</w:t>
            </w:r>
            <w:r w:rsidRPr="003C5249">
              <w:rPr>
                <w:rFonts w:asciiTheme="minorBidi" w:hAnsiTheme="minorBidi" w:cstheme="minorBidi"/>
                <w:sz w:val="20"/>
                <w:szCs w:val="20"/>
              </w:rPr>
              <w:t>. Comparison between onshore and offshore wind installations.</w:t>
            </w:r>
          </w:p>
        </w:tc>
      </w:tr>
    </w:tbl>
    <w:p w14:paraId="7EED0443" w14:textId="77777777" w:rsidR="003C5249" w:rsidRDefault="003C5249" w:rsidP="00584D88">
      <w:pPr>
        <w:pStyle w:val="IOP-CS-BodyText"/>
        <w:rPr>
          <w:rFonts w:ascii="Arial" w:hAnsi="Arial" w:cs="Arial"/>
        </w:rPr>
      </w:pPr>
    </w:p>
    <w:p w14:paraId="5216FAAA" w14:textId="374D3167" w:rsidR="003C5249" w:rsidRDefault="003C5249" w:rsidP="003C5249">
      <w:pPr>
        <w:pStyle w:val="IOP-CS-BodyText"/>
        <w:ind w:firstLine="0"/>
        <w:rPr>
          <w:rFonts w:ascii="Arial" w:hAnsi="Arial" w:cs="Arial"/>
        </w:rPr>
      </w:pPr>
      <w:r w:rsidRPr="003C5249">
        <w:rPr>
          <w:rFonts w:ascii="Arial" w:hAnsi="Arial" w:cs="Arial"/>
        </w:rPr>
        <w:t>2.2 Pollution Mitigation Approaches</w:t>
      </w:r>
    </w:p>
    <w:p w14:paraId="1AE562BA" w14:textId="20AB6312" w:rsidR="003C5249" w:rsidRDefault="003C5249" w:rsidP="003C5249">
      <w:pPr>
        <w:pStyle w:val="IOP-CS-BodyText"/>
        <w:ind w:firstLine="0"/>
        <w:rPr>
          <w:rFonts w:ascii="Arial" w:hAnsi="Arial" w:cs="Arial"/>
        </w:rPr>
      </w:pPr>
      <w:r w:rsidRPr="003C5249">
        <w:rPr>
          <w:rFonts w:ascii="Arial" w:hAnsi="Arial" w:cs="Arial"/>
        </w:rPr>
        <w:t xml:space="preserve">Pollution mitigation has become an equally important area of research, particularly in the context of urbanization and industrialization. Strategies range from technological interventions to policy-based initiatives aimed at reducing emissions and waste </w:t>
      </w:r>
      <w:r w:rsidR="000A2C0C" w:rsidRPr="000A2C0C">
        <w:rPr>
          <w:rFonts w:ascii="Arial" w:hAnsi="Arial" w:cs="Arial"/>
        </w:rPr>
        <w:t>(Khan, 2018</w:t>
      </w:r>
      <w:r w:rsidR="000A2C0C">
        <w:rPr>
          <w:rFonts w:ascii="Arial" w:hAnsi="Arial" w:cs="Arial"/>
        </w:rPr>
        <w:t xml:space="preserve">). </w:t>
      </w:r>
      <w:r w:rsidRPr="003C5249">
        <w:rPr>
          <w:rFonts w:ascii="Arial" w:hAnsi="Arial" w:cs="Arial"/>
        </w:rPr>
        <w:t xml:space="preserve">A common model for estimating pollutant dispersion is the Gaussian plume equation (Eq. </w:t>
      </w:r>
      <w:r>
        <w:rPr>
          <w:rFonts w:ascii="Arial" w:hAnsi="Arial" w:cs="Arial"/>
        </w:rPr>
        <w:t>2.5</w:t>
      </w:r>
      <w:r w:rsidRPr="003C5249">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380"/>
        <w:gridCol w:w="741"/>
      </w:tblGrid>
      <w:tr w:rsidR="00247A7E" w:rsidRPr="00247A7E" w14:paraId="2EEA8560" w14:textId="77777777" w:rsidTr="00DC0894">
        <w:trPr>
          <w:trHeight w:val="738"/>
        </w:trPr>
        <w:tc>
          <w:tcPr>
            <w:tcW w:w="895" w:type="dxa"/>
          </w:tcPr>
          <w:p w14:paraId="2CE70657" w14:textId="77777777" w:rsidR="00247A7E" w:rsidRPr="00247A7E" w:rsidRDefault="00247A7E" w:rsidP="001D141E">
            <w:pPr>
              <w:pStyle w:val="IOP-CS-BodyText"/>
              <w:ind w:firstLine="0"/>
              <w:rPr>
                <w:lang w:val="en-US"/>
              </w:rPr>
            </w:pPr>
          </w:p>
        </w:tc>
        <w:tc>
          <w:tcPr>
            <w:tcW w:w="7380" w:type="dxa"/>
          </w:tcPr>
          <w:p w14:paraId="35EAFE44" w14:textId="76C96B8A" w:rsidR="00247A7E" w:rsidRPr="00247A7E" w:rsidRDefault="00247A7E" w:rsidP="001D141E">
            <w:pPr>
              <w:pStyle w:val="IOP-CS-BodyText"/>
              <w:ind w:firstLine="0"/>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x,u,z</m:t>
                    </m:r>
                  </m:e>
                </m:d>
                <m:r>
                  <w:rPr>
                    <w:rFonts w:ascii="Cambria Math" w:hAnsi="Cambria Math"/>
                    <w:lang w:val="en-US"/>
                  </w:rPr>
                  <m:t>=</m:t>
                </m:r>
                <m:f>
                  <m:fPr>
                    <m:ctrlPr>
                      <w:rPr>
                        <w:rFonts w:ascii="Cambria Math" w:hAnsi="Cambria Math"/>
                        <w:i/>
                        <w:lang w:val="en-US"/>
                      </w:rPr>
                    </m:ctrlPr>
                  </m:fPr>
                  <m:num>
                    <m:r>
                      <w:rPr>
                        <w:rFonts w:ascii="Cambria Math" w:hAnsi="Cambria Math"/>
                        <w:lang w:val="en-US"/>
                      </w:rPr>
                      <m:t>Q</m:t>
                    </m:r>
                  </m:num>
                  <m:den>
                    <m:r>
                      <w:rPr>
                        <w:rFonts w:ascii="Cambria Math" w:hAnsi="Cambria Math"/>
                        <w:lang w:val="en-US"/>
                      </w:rPr>
                      <m:t>2π</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uQ</m:t>
                            </m:r>
                          </m:e>
                          <m:sub>
                            <m:r>
                              <w:rPr>
                                <w:rFonts w:ascii="Cambria Math" w:hAnsi="Cambria Math"/>
                                <w:lang w:val="en-US"/>
                              </w:rPr>
                              <m:t>y</m:t>
                            </m:r>
                          </m:sub>
                        </m:sSub>
                        <m:r>
                          <w:rPr>
                            <w:rFonts w:ascii="Cambria Math" w:hAnsi="Cambria Math"/>
                            <w:lang w:val="en-US"/>
                          </w:rPr>
                          <m:t>Q</m:t>
                        </m:r>
                      </m:e>
                      <m:sub>
                        <m:r>
                          <w:rPr>
                            <w:rFonts w:ascii="Cambria Math" w:hAnsi="Cambria Math"/>
                            <w:lang w:val="en-US"/>
                          </w:rPr>
                          <m:t>z</m:t>
                        </m:r>
                      </m:sub>
                    </m:sSub>
                  </m:den>
                </m:f>
                <m:r>
                  <m:rPr>
                    <m:sty m:val="p"/>
                  </m:rPr>
                  <w:rPr>
                    <w:rFonts w:ascii="Cambria Math" w:hAnsi="Cambria Math"/>
                    <w:lang w:val="en-US"/>
                  </w:rPr>
                  <m:t>exp⁡</m:t>
                </m:r>
                <m:d>
                  <m:dPr>
                    <m:ctrlPr>
                      <w:rPr>
                        <w:rFonts w:ascii="Cambria Math" w:hAnsi="Cambria Math"/>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num>
                      <m:den>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y</m:t>
                            </m:r>
                          </m:sub>
                          <m:sup>
                            <m:r>
                              <w:rPr>
                                <w:rFonts w:ascii="Cambria Math" w:hAnsi="Cambria Math"/>
                                <w:lang w:val="en-US"/>
                              </w:rPr>
                              <m:t>2</m:t>
                            </m:r>
                          </m:sup>
                        </m:sSubSup>
                      </m:den>
                    </m:f>
                  </m:e>
                </m:d>
                <m:d>
                  <m:dPr>
                    <m:begChr m:val="⌈"/>
                    <m:endChr m:val="⌉"/>
                    <m:ctrlPr>
                      <w:rPr>
                        <w:rFonts w:ascii="Cambria Math" w:hAnsi="Cambria Math"/>
                        <w:i/>
                        <w:lang w:val="en-US"/>
                      </w:rPr>
                    </m:ctrlPr>
                  </m:dPr>
                  <m:e>
                    <m:r>
                      <m:rPr>
                        <m:sty m:val="p"/>
                      </m:rPr>
                      <w:rPr>
                        <w:rFonts w:ascii="Cambria Math" w:hAnsi="Cambria Math"/>
                        <w:lang w:val="en-US"/>
                      </w:rPr>
                      <m:t>exp⁡</m:t>
                    </m:r>
                    <m:d>
                      <m:dPr>
                        <m:ctrlPr>
                          <w:rPr>
                            <w:rFonts w:ascii="Cambria Math" w:hAnsi="Cambria Math"/>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(z-H)</m:t>
                                </m:r>
                              </m:e>
                              <m:sup>
                                <m:r>
                                  <w:rPr>
                                    <w:rFonts w:ascii="Cambria Math" w:hAnsi="Cambria Math"/>
                                    <w:lang w:val="en-US"/>
                                  </w:rPr>
                                  <m:t>2</m:t>
                                </m:r>
                              </m:sup>
                            </m:sSup>
                          </m:num>
                          <m:den>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z</m:t>
                                </m:r>
                              </m:sub>
                              <m:sup>
                                <m:r>
                                  <w:rPr>
                                    <w:rFonts w:ascii="Cambria Math" w:hAnsi="Cambria Math"/>
                                    <w:lang w:val="en-US"/>
                                  </w:rPr>
                                  <m:t>2</m:t>
                                </m:r>
                              </m:sup>
                            </m:sSubSup>
                          </m:den>
                        </m:f>
                      </m:e>
                    </m:d>
                    <m:r>
                      <w:rPr>
                        <w:rFonts w:ascii="Cambria Math" w:hAnsi="Cambria Math"/>
                        <w:lang w:val="en-US"/>
                      </w:rPr>
                      <m:t>+</m:t>
                    </m:r>
                    <m:r>
                      <m:rPr>
                        <m:sty m:val="p"/>
                      </m:rPr>
                      <w:rPr>
                        <w:rFonts w:ascii="Cambria Math" w:hAnsi="Cambria Math"/>
                        <w:lang w:val="en-US"/>
                      </w:rPr>
                      <m:t>exp⁡</m:t>
                    </m:r>
                    <m:d>
                      <m:dPr>
                        <m:ctrlPr>
                          <w:rPr>
                            <w:rFonts w:ascii="Cambria Math" w:hAnsi="Cambria Math"/>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(z-H)</m:t>
                                </m:r>
                              </m:e>
                              <m:sup>
                                <m:r>
                                  <w:rPr>
                                    <w:rFonts w:ascii="Cambria Math" w:hAnsi="Cambria Math"/>
                                    <w:lang w:val="en-US"/>
                                  </w:rPr>
                                  <m:t>2</m:t>
                                </m:r>
                              </m:sup>
                            </m:sSup>
                          </m:num>
                          <m:den>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y</m:t>
                                </m:r>
                              </m:sub>
                              <m:sup>
                                <m:r>
                                  <w:rPr>
                                    <w:rFonts w:ascii="Cambria Math" w:hAnsi="Cambria Math"/>
                                    <w:lang w:val="en-US"/>
                                  </w:rPr>
                                  <m:t>2</m:t>
                                </m:r>
                              </m:sup>
                            </m:sSubSup>
                          </m:den>
                        </m:f>
                      </m:e>
                    </m:d>
                  </m:e>
                </m:d>
              </m:oMath>
            </m:oMathPara>
          </w:p>
        </w:tc>
        <w:tc>
          <w:tcPr>
            <w:tcW w:w="741" w:type="dxa"/>
          </w:tcPr>
          <w:p w14:paraId="13293532" w14:textId="541842F9" w:rsidR="00247A7E" w:rsidRPr="00247A7E" w:rsidRDefault="00247A7E" w:rsidP="00247A7E">
            <w:pPr>
              <w:pStyle w:val="IOP-CS-BodyText"/>
              <w:ind w:firstLine="0"/>
              <w:jc w:val="right"/>
              <w:rPr>
                <w:lang w:val="en-US"/>
              </w:rPr>
            </w:pPr>
            <w:r w:rsidRPr="00247A7E">
              <w:rPr>
                <w:lang w:val="en-US"/>
              </w:rPr>
              <w:t>(2.6)</w:t>
            </w:r>
          </w:p>
        </w:tc>
      </w:tr>
    </w:tbl>
    <w:p w14:paraId="68BEEE83" w14:textId="007D9ADF" w:rsidR="003C5249" w:rsidRPr="00247A7E" w:rsidRDefault="003C5249" w:rsidP="003C5249">
      <w:pPr>
        <w:pStyle w:val="IOP-CS-BodyText"/>
        <w:ind w:firstLine="0"/>
        <w:rPr>
          <w:rFonts w:asciiTheme="minorBidi" w:hAnsiTheme="minorBidi"/>
        </w:rPr>
      </w:pPr>
      <w:r w:rsidRPr="00247A7E">
        <w:rPr>
          <w:rFonts w:asciiTheme="minorBidi" w:hAnsiTheme="minorBidi"/>
        </w:rPr>
        <w:t xml:space="preserve">where </w:t>
      </w:r>
      <m:oMath>
        <m:r>
          <w:rPr>
            <w:rFonts w:ascii="Cambria Math" w:hAnsi="Cambria Math"/>
            <w:lang w:val="en-US"/>
          </w:rPr>
          <m:t>C</m:t>
        </m:r>
      </m:oMath>
      <w:r w:rsidR="00247A7E" w:rsidRPr="00247A7E">
        <w:rPr>
          <w:rFonts w:asciiTheme="minorBidi" w:eastAsiaTheme="minorEastAsia" w:hAnsiTheme="minorBidi"/>
          <w:lang w:val="en-US"/>
        </w:rPr>
        <w:t xml:space="preserve"> </w:t>
      </w:r>
      <w:r w:rsidRPr="00247A7E">
        <w:rPr>
          <w:rFonts w:asciiTheme="minorBidi" w:hAnsiTheme="minorBidi"/>
        </w:rPr>
        <w:t xml:space="preserve">is the pollutant concentration, </w:t>
      </w:r>
      <m:oMath>
        <m:r>
          <w:rPr>
            <w:rFonts w:ascii="Cambria Math" w:hAnsi="Cambria Math"/>
            <w:lang w:val="en-US"/>
          </w:rPr>
          <m:t>Q</m:t>
        </m:r>
      </m:oMath>
      <w:r w:rsidRPr="00247A7E">
        <w:rPr>
          <w:rFonts w:asciiTheme="minorBidi" w:hAnsiTheme="minorBidi"/>
        </w:rPr>
        <w:t xml:space="preserve"> is the emission rate, </w:t>
      </w:r>
      <m:oMath>
        <m:r>
          <w:rPr>
            <w:rFonts w:ascii="Cambria Math" w:hAnsi="Cambria Math"/>
          </w:rPr>
          <m:t xml:space="preserve">u </m:t>
        </m:r>
      </m:oMath>
      <w:r w:rsidRPr="00247A7E">
        <w:rPr>
          <w:rFonts w:asciiTheme="minorBidi" w:hAnsiTheme="minorBidi"/>
        </w:rPr>
        <w:t xml:space="preserve">is wind speed, </w:t>
      </w:r>
      <m:oMath>
        <m:r>
          <w:rPr>
            <w:rFonts w:ascii="Cambria Math" w:hAnsi="Cambria Math"/>
          </w:rPr>
          <m:t>H</m:t>
        </m:r>
      </m:oMath>
      <w:r w:rsidRPr="00247A7E">
        <w:rPr>
          <w:rFonts w:asciiTheme="minorBidi" w:hAnsiTheme="minorBidi"/>
        </w:rPr>
        <w:t xml:space="preserve"> is stack height, and </w:t>
      </w:r>
      <m:oMath>
        <m:sSub>
          <m:sSubPr>
            <m:ctrlPr>
              <w:rPr>
                <w:rFonts w:ascii="Cambria Math" w:eastAsia="Times New Roman" w:hAnsi="Cambria Math"/>
                <w:i/>
                <w:kern w:val="0"/>
                <w:lang w:val="en-US"/>
                <w14:ligatures w14:val="none"/>
              </w:rPr>
            </m:ctrlPr>
          </m:sSubPr>
          <m:e>
            <m:sSub>
              <m:sSubPr>
                <m:ctrlPr>
                  <w:rPr>
                    <w:rFonts w:ascii="Cambria Math" w:eastAsia="Times New Roman" w:hAnsi="Cambria Math"/>
                    <w:i/>
                    <w:kern w:val="0"/>
                    <w:lang w:val="en-US"/>
                    <w14:ligatures w14:val="none"/>
                  </w:rPr>
                </m:ctrlPr>
              </m:sSubPr>
              <m:e>
                <m:r>
                  <w:rPr>
                    <w:rFonts w:ascii="Cambria Math" w:hAnsi="Cambria Math"/>
                    <w:lang w:val="en-US"/>
                  </w:rPr>
                  <m:t>Q</m:t>
                </m:r>
              </m:e>
              <m:sub>
                <m:r>
                  <w:rPr>
                    <w:rFonts w:ascii="Cambria Math" w:hAnsi="Cambria Math"/>
                    <w:lang w:val="en-US"/>
                  </w:rPr>
                  <m:t>y</m:t>
                </m:r>
              </m:sub>
            </m:sSub>
            <m:r>
              <w:rPr>
                <w:rFonts w:ascii="Cambria Math" w:hAnsi="Cambria Math"/>
                <w:lang w:val="en-US"/>
              </w:rPr>
              <m:t>, Q</m:t>
            </m:r>
          </m:e>
          <m:sub>
            <m:r>
              <w:rPr>
                <w:rFonts w:ascii="Cambria Math" w:hAnsi="Cambria Math"/>
                <w:lang w:val="en-US"/>
              </w:rPr>
              <m:t>z</m:t>
            </m:r>
          </m:sub>
        </m:sSub>
      </m:oMath>
      <w:r w:rsidRPr="00247A7E">
        <w:rPr>
          <w:rFonts w:asciiTheme="minorBidi" w:hAnsiTheme="minorBidi"/>
        </w:rPr>
        <w:t>​ are dispersion parameters</w:t>
      </w:r>
      <w:r w:rsidR="000A2C0C">
        <w:rPr>
          <w:rFonts w:asciiTheme="minorBidi" w:hAnsiTheme="minorBidi"/>
        </w:rPr>
        <w:t xml:space="preserve"> </w:t>
      </w:r>
      <w:r w:rsidR="000A2C0C" w:rsidRPr="000A2C0C">
        <w:rPr>
          <w:rFonts w:asciiTheme="minorBidi" w:hAnsiTheme="minorBidi"/>
        </w:rPr>
        <w:t>(Zhao &amp; Li, 2021)</w:t>
      </w:r>
      <w:r w:rsidRPr="00247A7E">
        <w:rPr>
          <w:rFonts w:asciiTheme="minorBidi" w:hAnsiTheme="minorBidi"/>
        </w:rPr>
        <w:t>.</w:t>
      </w:r>
    </w:p>
    <w:p w14:paraId="59E09D37" w14:textId="41E346D2" w:rsidR="00584D88" w:rsidRPr="00591353" w:rsidRDefault="0010112D" w:rsidP="0010112D">
      <w:pPr>
        <w:pStyle w:val="IOP-CS-SectionHead"/>
        <w:spacing w:before="120" w:after="60"/>
        <w:rPr>
          <w:rFonts w:ascii="Arial" w:hAnsi="Arial" w:cs="Arial"/>
          <w:b w:val="0"/>
          <w:bCs w:val="0"/>
          <w:i/>
          <w:iCs/>
        </w:rPr>
      </w:pPr>
      <w:r w:rsidRPr="00591353">
        <w:rPr>
          <w:rFonts w:ascii="Arial" w:hAnsi="Arial" w:cs="Arial"/>
          <w:b w:val="0"/>
          <w:bCs w:val="0"/>
          <w:i/>
          <w:iCs/>
        </w:rPr>
        <w:t>2</w:t>
      </w:r>
      <w:r w:rsidR="00584D88" w:rsidRPr="00591353">
        <w:rPr>
          <w:rFonts w:ascii="Arial" w:hAnsi="Arial" w:cs="Arial"/>
          <w:b w:val="0"/>
          <w:bCs w:val="0"/>
          <w:i/>
          <w:iCs/>
        </w:rPr>
        <w:t>.2.1 Air Pollution Control</w:t>
      </w:r>
    </w:p>
    <w:p w14:paraId="18FC26E4" w14:textId="2E10BEA9" w:rsidR="00584D88" w:rsidRPr="0010112D" w:rsidRDefault="00584D88" w:rsidP="0010112D">
      <w:pPr>
        <w:pStyle w:val="IOP-CS-BodyText"/>
        <w:ind w:firstLine="0"/>
        <w:rPr>
          <w:rFonts w:ascii="Arial" w:hAnsi="Arial" w:cs="Arial"/>
        </w:rPr>
      </w:pPr>
      <w:r w:rsidRPr="0010112D">
        <w:rPr>
          <w:rFonts w:ascii="Arial" w:hAnsi="Arial" w:cs="Arial"/>
        </w:rPr>
        <w:t>Electrostatic precipitators and catalytic converters have been widely deployed in industries and vehicles. Their performance efficiency is summarized in Table 2, which highlights removal rates for common pollutants</w:t>
      </w:r>
      <w:r w:rsidR="000A2C0C">
        <w:rPr>
          <w:rFonts w:ascii="Arial" w:hAnsi="Arial" w:cs="Arial"/>
        </w:rPr>
        <w:t xml:space="preserve"> </w:t>
      </w:r>
      <w:r w:rsidR="000A2C0C" w:rsidRPr="000A2C0C">
        <w:rPr>
          <w:rFonts w:ascii="Arial" w:hAnsi="Arial" w:cs="Arial"/>
        </w:rPr>
        <w:t>(Williams, 2017)</w:t>
      </w:r>
      <w:r w:rsidRPr="0010112D">
        <w:rPr>
          <w:rFonts w:ascii="Arial" w:hAnsi="Arial" w:cs="Arial"/>
        </w:rPr>
        <w:t>.</w:t>
      </w:r>
    </w:p>
    <w:p w14:paraId="1C6CBF7D" w14:textId="77777777" w:rsidR="00584D88" w:rsidRDefault="00584D88" w:rsidP="0010112D">
      <w:pPr>
        <w:pStyle w:val="IOP-CS-BodyText"/>
        <w:spacing w:before="120" w:after="120"/>
        <w:ind w:firstLine="432"/>
        <w:jc w:val="center"/>
        <w:rPr>
          <w:sz w:val="20"/>
          <w:szCs w:val="20"/>
          <w:lang w:val="en-US"/>
        </w:rPr>
      </w:pPr>
      <w:r w:rsidRPr="0010112D">
        <w:rPr>
          <w:b/>
          <w:bCs/>
          <w:sz w:val="20"/>
          <w:szCs w:val="20"/>
          <w:lang w:val="en-US"/>
        </w:rPr>
        <w:t>Table 2.</w:t>
      </w:r>
      <w:r w:rsidRPr="0010112D">
        <w:rPr>
          <w:sz w:val="20"/>
          <w:szCs w:val="20"/>
          <w:lang w:val="en-US"/>
        </w:rPr>
        <w:t xml:space="preserve"> Efficiency of Selected Air Pollution Control Devices [13].</w:t>
      </w:r>
    </w:p>
    <w:tbl>
      <w:tblPr>
        <w:tblW w:w="3689" w:type="pct"/>
        <w:jc w:val="center"/>
        <w:tblLook w:val="04A0" w:firstRow="1" w:lastRow="0" w:firstColumn="1" w:lastColumn="0" w:noHBand="0" w:noVBand="1"/>
      </w:tblPr>
      <w:tblGrid>
        <w:gridCol w:w="2432"/>
        <w:gridCol w:w="2609"/>
        <w:gridCol w:w="1618"/>
      </w:tblGrid>
      <w:tr w:rsidR="00E22F17" w:rsidRPr="00E22F17" w14:paraId="77CB9C50" w14:textId="77777777" w:rsidTr="00072390">
        <w:trPr>
          <w:trHeight w:val="23"/>
          <w:jc w:val="center"/>
        </w:trPr>
        <w:tc>
          <w:tcPr>
            <w:tcW w:w="1825" w:type="pct"/>
            <w:tcBorders>
              <w:top w:val="single" w:sz="4" w:space="0" w:color="auto"/>
              <w:left w:val="nil"/>
              <w:bottom w:val="single" w:sz="4" w:space="0" w:color="auto"/>
              <w:right w:val="nil"/>
            </w:tcBorders>
            <w:vAlign w:val="center"/>
            <w:hideMark/>
          </w:tcPr>
          <w:p w14:paraId="6458766D" w14:textId="77777777" w:rsidR="00E22F17" w:rsidRPr="00E22F17" w:rsidRDefault="00E22F17" w:rsidP="00E22F17">
            <w:pPr>
              <w:spacing w:after="0" w:line="240" w:lineRule="auto"/>
              <w:jc w:val="center"/>
              <w:rPr>
                <w:rFonts w:ascii="Arial" w:eastAsia="Times New Roman" w:hAnsi="Arial" w:cs="Arial"/>
                <w:color w:val="000000"/>
                <w:kern w:val="0"/>
                <w:sz w:val="20"/>
                <w:szCs w:val="20"/>
                <w:lang w:val="en-IN" w:eastAsia="en-IN" w:bidi="hi-IN"/>
                <w14:ligatures w14:val="none"/>
              </w:rPr>
            </w:pPr>
            <w:r w:rsidRPr="00E22F17">
              <w:rPr>
                <w:rFonts w:ascii="Arial" w:eastAsia="Times New Roman" w:hAnsi="Arial" w:cs="Arial"/>
                <w:color w:val="000000"/>
                <w:kern w:val="0"/>
                <w:sz w:val="20"/>
                <w:szCs w:val="20"/>
                <w:lang w:val="en-IN" w:eastAsia="en-IN" w:bidi="hi-IN"/>
                <w14:ligatures w14:val="none"/>
              </w:rPr>
              <w:t>Technology</w:t>
            </w:r>
          </w:p>
        </w:tc>
        <w:tc>
          <w:tcPr>
            <w:tcW w:w="1959" w:type="pct"/>
            <w:tcBorders>
              <w:top w:val="single" w:sz="4" w:space="0" w:color="auto"/>
              <w:left w:val="nil"/>
              <w:bottom w:val="single" w:sz="4" w:space="0" w:color="auto"/>
              <w:right w:val="nil"/>
            </w:tcBorders>
            <w:vAlign w:val="center"/>
            <w:hideMark/>
          </w:tcPr>
          <w:p w14:paraId="30C430BB" w14:textId="77777777" w:rsidR="00E22F17" w:rsidRPr="00E22F17" w:rsidRDefault="00E22F17" w:rsidP="00E22F17">
            <w:pPr>
              <w:spacing w:after="0" w:line="240" w:lineRule="auto"/>
              <w:jc w:val="center"/>
              <w:rPr>
                <w:rFonts w:ascii="Arial" w:eastAsia="Times New Roman" w:hAnsi="Arial" w:cs="Arial"/>
                <w:color w:val="000000"/>
                <w:kern w:val="0"/>
                <w:sz w:val="20"/>
                <w:szCs w:val="20"/>
                <w:lang w:val="en-IN" w:eastAsia="en-IN" w:bidi="hi-IN"/>
                <w14:ligatures w14:val="none"/>
              </w:rPr>
            </w:pPr>
            <w:r w:rsidRPr="00E22F17">
              <w:rPr>
                <w:rFonts w:ascii="Arial" w:eastAsia="Times New Roman" w:hAnsi="Arial" w:cs="Arial"/>
                <w:color w:val="000000"/>
                <w:kern w:val="0"/>
                <w:sz w:val="20"/>
                <w:szCs w:val="20"/>
                <w:lang w:val="en-IN" w:eastAsia="en-IN" w:bidi="hi-IN"/>
                <w14:ligatures w14:val="none"/>
              </w:rPr>
              <w:t>Pollutant Removed</w:t>
            </w:r>
          </w:p>
        </w:tc>
        <w:tc>
          <w:tcPr>
            <w:tcW w:w="1215" w:type="pct"/>
            <w:tcBorders>
              <w:top w:val="single" w:sz="4" w:space="0" w:color="auto"/>
              <w:left w:val="nil"/>
              <w:bottom w:val="single" w:sz="4" w:space="0" w:color="auto"/>
              <w:right w:val="nil"/>
            </w:tcBorders>
            <w:vAlign w:val="center"/>
            <w:hideMark/>
          </w:tcPr>
          <w:p w14:paraId="718E3672" w14:textId="77777777" w:rsidR="00E22F17" w:rsidRPr="00E22F17" w:rsidRDefault="00E22F17" w:rsidP="00E22F17">
            <w:pPr>
              <w:spacing w:after="0" w:line="240" w:lineRule="auto"/>
              <w:jc w:val="center"/>
              <w:rPr>
                <w:rFonts w:ascii="Arial" w:eastAsia="Times New Roman" w:hAnsi="Arial" w:cs="Arial"/>
                <w:color w:val="000000"/>
                <w:kern w:val="0"/>
                <w:sz w:val="20"/>
                <w:szCs w:val="20"/>
                <w:lang w:val="en-IN" w:eastAsia="en-IN" w:bidi="hi-IN"/>
                <w14:ligatures w14:val="none"/>
              </w:rPr>
            </w:pPr>
            <w:r w:rsidRPr="00E22F17">
              <w:rPr>
                <w:rFonts w:ascii="Arial" w:eastAsia="Times New Roman" w:hAnsi="Arial" w:cs="Arial"/>
                <w:color w:val="000000"/>
                <w:kern w:val="0"/>
                <w:sz w:val="20"/>
                <w:szCs w:val="20"/>
                <w:lang w:val="en-IN" w:eastAsia="en-IN" w:bidi="hi-IN"/>
                <w14:ligatures w14:val="none"/>
              </w:rPr>
              <w:t>Efficiency (%)</w:t>
            </w:r>
          </w:p>
        </w:tc>
      </w:tr>
      <w:tr w:rsidR="00E22F17" w:rsidRPr="00E22F17" w14:paraId="56874AD2" w14:textId="77777777" w:rsidTr="00072390">
        <w:trPr>
          <w:trHeight w:val="23"/>
          <w:jc w:val="center"/>
        </w:trPr>
        <w:tc>
          <w:tcPr>
            <w:tcW w:w="1825" w:type="pct"/>
            <w:tcBorders>
              <w:top w:val="single" w:sz="4" w:space="0" w:color="auto"/>
              <w:left w:val="nil"/>
              <w:bottom w:val="nil"/>
              <w:right w:val="nil"/>
            </w:tcBorders>
            <w:vAlign w:val="center"/>
            <w:hideMark/>
          </w:tcPr>
          <w:p w14:paraId="59388E4A" w14:textId="77777777" w:rsidR="00E22F17" w:rsidRPr="00E22F17" w:rsidRDefault="00E22F17" w:rsidP="00E22F17">
            <w:pPr>
              <w:spacing w:after="0" w:line="240" w:lineRule="auto"/>
              <w:rPr>
                <w:rFonts w:ascii="Arial" w:eastAsia="Times New Roman" w:hAnsi="Arial" w:cs="Arial"/>
                <w:color w:val="000000"/>
                <w:kern w:val="0"/>
                <w:sz w:val="20"/>
                <w:szCs w:val="20"/>
                <w:lang w:val="en-IN" w:eastAsia="en-IN" w:bidi="hi-IN"/>
                <w14:ligatures w14:val="none"/>
              </w:rPr>
            </w:pPr>
            <w:r w:rsidRPr="00E22F17">
              <w:rPr>
                <w:rFonts w:ascii="Arial" w:eastAsia="Times New Roman" w:hAnsi="Arial" w:cs="Arial"/>
                <w:color w:val="000000"/>
                <w:kern w:val="0"/>
                <w:sz w:val="20"/>
                <w:szCs w:val="20"/>
                <w:lang w:val="en-IN" w:eastAsia="en-IN" w:bidi="hi-IN"/>
                <w14:ligatures w14:val="none"/>
              </w:rPr>
              <w:t>Electrostatic Precipitator</w:t>
            </w:r>
          </w:p>
        </w:tc>
        <w:tc>
          <w:tcPr>
            <w:tcW w:w="1959" w:type="pct"/>
            <w:tcBorders>
              <w:top w:val="single" w:sz="4" w:space="0" w:color="auto"/>
              <w:left w:val="nil"/>
              <w:bottom w:val="nil"/>
              <w:right w:val="nil"/>
            </w:tcBorders>
            <w:vAlign w:val="center"/>
            <w:hideMark/>
          </w:tcPr>
          <w:p w14:paraId="69B79601" w14:textId="77777777" w:rsidR="00E22F17" w:rsidRPr="00E22F17" w:rsidRDefault="00E22F17" w:rsidP="00E22F17">
            <w:pPr>
              <w:spacing w:after="0" w:line="240" w:lineRule="auto"/>
              <w:rPr>
                <w:rFonts w:ascii="Arial" w:eastAsia="Times New Roman" w:hAnsi="Arial" w:cs="Arial"/>
                <w:color w:val="000000"/>
                <w:kern w:val="0"/>
                <w:sz w:val="20"/>
                <w:szCs w:val="20"/>
                <w:lang w:val="en-IN" w:eastAsia="en-IN" w:bidi="hi-IN"/>
                <w14:ligatures w14:val="none"/>
              </w:rPr>
            </w:pPr>
            <w:r w:rsidRPr="00E22F17">
              <w:rPr>
                <w:rFonts w:ascii="Arial" w:eastAsia="Times New Roman" w:hAnsi="Arial" w:cs="Arial"/>
                <w:color w:val="000000"/>
                <w:kern w:val="0"/>
                <w:sz w:val="20"/>
                <w:szCs w:val="20"/>
                <w:lang w:val="en-IN" w:eastAsia="en-IN" w:bidi="hi-IN"/>
                <w14:ligatures w14:val="none"/>
              </w:rPr>
              <w:t>Particulates</w:t>
            </w:r>
          </w:p>
        </w:tc>
        <w:tc>
          <w:tcPr>
            <w:tcW w:w="1215" w:type="pct"/>
            <w:tcBorders>
              <w:top w:val="single" w:sz="4" w:space="0" w:color="auto"/>
              <w:left w:val="nil"/>
              <w:bottom w:val="nil"/>
              <w:right w:val="nil"/>
            </w:tcBorders>
            <w:vAlign w:val="center"/>
            <w:hideMark/>
          </w:tcPr>
          <w:p w14:paraId="43029E7F" w14:textId="77777777" w:rsidR="00E22F17" w:rsidRPr="00E22F17" w:rsidRDefault="00E22F17" w:rsidP="00E22F17">
            <w:pPr>
              <w:spacing w:after="0" w:line="240" w:lineRule="auto"/>
              <w:jc w:val="center"/>
              <w:rPr>
                <w:rFonts w:ascii="Arial" w:eastAsia="Times New Roman" w:hAnsi="Arial" w:cs="Arial"/>
                <w:color w:val="000000"/>
                <w:kern w:val="0"/>
                <w:sz w:val="20"/>
                <w:szCs w:val="20"/>
                <w:lang w:val="en-IN" w:eastAsia="en-IN" w:bidi="hi-IN"/>
                <w14:ligatures w14:val="none"/>
              </w:rPr>
            </w:pPr>
            <w:r w:rsidRPr="00E22F17">
              <w:rPr>
                <w:rFonts w:ascii="Arial" w:eastAsia="Times New Roman" w:hAnsi="Arial" w:cs="Arial"/>
                <w:color w:val="000000"/>
                <w:kern w:val="0"/>
                <w:sz w:val="20"/>
                <w:szCs w:val="20"/>
                <w:lang w:val="en-IN" w:eastAsia="en-IN" w:bidi="hi-IN"/>
                <w14:ligatures w14:val="none"/>
              </w:rPr>
              <w:t>90–99</w:t>
            </w:r>
          </w:p>
        </w:tc>
      </w:tr>
      <w:tr w:rsidR="00E22F17" w:rsidRPr="00E22F17" w14:paraId="1ADB9FD3" w14:textId="77777777" w:rsidTr="00072390">
        <w:trPr>
          <w:trHeight w:val="23"/>
          <w:jc w:val="center"/>
        </w:trPr>
        <w:tc>
          <w:tcPr>
            <w:tcW w:w="1825" w:type="pct"/>
            <w:tcBorders>
              <w:top w:val="nil"/>
              <w:left w:val="nil"/>
              <w:right w:val="nil"/>
            </w:tcBorders>
            <w:vAlign w:val="center"/>
            <w:hideMark/>
          </w:tcPr>
          <w:p w14:paraId="1F4E4E95" w14:textId="77777777" w:rsidR="00E22F17" w:rsidRPr="00E22F17" w:rsidRDefault="00E22F17" w:rsidP="00E22F17">
            <w:pPr>
              <w:spacing w:after="0" w:line="240" w:lineRule="auto"/>
              <w:rPr>
                <w:rFonts w:ascii="Arial" w:eastAsia="Times New Roman" w:hAnsi="Arial" w:cs="Arial"/>
                <w:color w:val="000000"/>
                <w:kern w:val="0"/>
                <w:sz w:val="20"/>
                <w:szCs w:val="20"/>
                <w:lang w:val="en-IN" w:eastAsia="en-IN" w:bidi="hi-IN"/>
                <w14:ligatures w14:val="none"/>
              </w:rPr>
            </w:pPr>
            <w:r w:rsidRPr="00E22F17">
              <w:rPr>
                <w:rFonts w:ascii="Arial" w:eastAsia="Times New Roman" w:hAnsi="Arial" w:cs="Arial"/>
                <w:color w:val="000000"/>
                <w:kern w:val="0"/>
                <w:sz w:val="20"/>
                <w:szCs w:val="20"/>
                <w:lang w:val="en-IN" w:eastAsia="en-IN" w:bidi="hi-IN"/>
                <w14:ligatures w14:val="none"/>
              </w:rPr>
              <w:lastRenderedPageBreak/>
              <w:t>Catalytic Converter</w:t>
            </w:r>
          </w:p>
        </w:tc>
        <w:tc>
          <w:tcPr>
            <w:tcW w:w="1959" w:type="pct"/>
            <w:tcBorders>
              <w:top w:val="nil"/>
              <w:left w:val="nil"/>
              <w:right w:val="nil"/>
            </w:tcBorders>
            <w:vAlign w:val="center"/>
            <w:hideMark/>
          </w:tcPr>
          <w:p w14:paraId="1A295A03" w14:textId="77777777" w:rsidR="00E22F17" w:rsidRPr="00E22F17" w:rsidRDefault="00E22F17" w:rsidP="00E22F17">
            <w:pPr>
              <w:spacing w:after="0" w:line="240" w:lineRule="auto"/>
              <w:rPr>
                <w:rFonts w:ascii="Arial" w:eastAsia="Times New Roman" w:hAnsi="Arial" w:cs="Arial"/>
                <w:color w:val="000000"/>
                <w:kern w:val="0"/>
                <w:sz w:val="20"/>
                <w:szCs w:val="20"/>
                <w:lang w:val="en-IN" w:eastAsia="en-IN" w:bidi="hi-IN"/>
                <w14:ligatures w14:val="none"/>
              </w:rPr>
            </w:pPr>
            <w:r w:rsidRPr="00E22F17">
              <w:rPr>
                <w:rFonts w:ascii="Arial" w:eastAsia="Times New Roman" w:hAnsi="Arial" w:cs="Arial"/>
                <w:color w:val="000000"/>
                <w:kern w:val="0"/>
                <w:sz w:val="20"/>
                <w:szCs w:val="20"/>
                <w:lang w:val="en-IN" w:eastAsia="en-IN" w:bidi="hi-IN"/>
                <w14:ligatures w14:val="none"/>
              </w:rPr>
              <w:t>CO, NOx, Hydrocarbons</w:t>
            </w:r>
          </w:p>
        </w:tc>
        <w:tc>
          <w:tcPr>
            <w:tcW w:w="1215" w:type="pct"/>
            <w:tcBorders>
              <w:top w:val="nil"/>
              <w:left w:val="nil"/>
              <w:right w:val="nil"/>
            </w:tcBorders>
            <w:vAlign w:val="center"/>
            <w:hideMark/>
          </w:tcPr>
          <w:p w14:paraId="3F6EDB30" w14:textId="77777777" w:rsidR="00E22F17" w:rsidRPr="00E22F17" w:rsidRDefault="00E22F17" w:rsidP="00E22F17">
            <w:pPr>
              <w:spacing w:after="0" w:line="240" w:lineRule="auto"/>
              <w:jc w:val="center"/>
              <w:rPr>
                <w:rFonts w:ascii="Arial" w:eastAsia="Times New Roman" w:hAnsi="Arial" w:cs="Arial"/>
                <w:color w:val="000000"/>
                <w:kern w:val="0"/>
                <w:sz w:val="20"/>
                <w:szCs w:val="20"/>
                <w:lang w:val="en-IN" w:eastAsia="en-IN" w:bidi="hi-IN"/>
                <w14:ligatures w14:val="none"/>
              </w:rPr>
            </w:pPr>
            <w:r w:rsidRPr="00E22F17">
              <w:rPr>
                <w:rFonts w:ascii="Arial" w:eastAsia="Times New Roman" w:hAnsi="Arial" w:cs="Arial"/>
                <w:color w:val="000000"/>
                <w:kern w:val="0"/>
                <w:sz w:val="20"/>
                <w:szCs w:val="20"/>
                <w:lang w:val="en-IN" w:eastAsia="en-IN" w:bidi="hi-IN"/>
                <w14:ligatures w14:val="none"/>
              </w:rPr>
              <w:t>85–95</w:t>
            </w:r>
          </w:p>
        </w:tc>
      </w:tr>
      <w:tr w:rsidR="00E22F17" w:rsidRPr="00E22F17" w14:paraId="6790F4E9" w14:textId="77777777" w:rsidTr="00072390">
        <w:trPr>
          <w:trHeight w:val="23"/>
          <w:jc w:val="center"/>
        </w:trPr>
        <w:tc>
          <w:tcPr>
            <w:tcW w:w="1825" w:type="pct"/>
            <w:tcBorders>
              <w:top w:val="nil"/>
              <w:left w:val="nil"/>
              <w:bottom w:val="single" w:sz="4" w:space="0" w:color="auto"/>
              <w:right w:val="nil"/>
            </w:tcBorders>
            <w:vAlign w:val="center"/>
            <w:hideMark/>
          </w:tcPr>
          <w:p w14:paraId="768F1DE4" w14:textId="77777777" w:rsidR="00E22F17" w:rsidRPr="00E22F17" w:rsidRDefault="00E22F17" w:rsidP="00E22F17">
            <w:pPr>
              <w:spacing w:after="0" w:line="240" w:lineRule="auto"/>
              <w:rPr>
                <w:rFonts w:ascii="Arial" w:eastAsia="Times New Roman" w:hAnsi="Arial" w:cs="Arial"/>
                <w:color w:val="000000"/>
                <w:kern w:val="0"/>
                <w:sz w:val="20"/>
                <w:szCs w:val="20"/>
                <w:lang w:val="en-IN" w:eastAsia="en-IN" w:bidi="hi-IN"/>
                <w14:ligatures w14:val="none"/>
              </w:rPr>
            </w:pPr>
            <w:r w:rsidRPr="00E22F17">
              <w:rPr>
                <w:rFonts w:ascii="Arial" w:eastAsia="Times New Roman" w:hAnsi="Arial" w:cs="Arial"/>
                <w:color w:val="000000"/>
                <w:kern w:val="0"/>
                <w:sz w:val="20"/>
                <w:szCs w:val="20"/>
                <w:lang w:val="en-IN" w:eastAsia="en-IN" w:bidi="hi-IN"/>
                <w14:ligatures w14:val="none"/>
              </w:rPr>
              <w:t>Fabric Filter</w:t>
            </w:r>
          </w:p>
        </w:tc>
        <w:tc>
          <w:tcPr>
            <w:tcW w:w="1959" w:type="pct"/>
            <w:tcBorders>
              <w:top w:val="nil"/>
              <w:left w:val="nil"/>
              <w:bottom w:val="single" w:sz="4" w:space="0" w:color="auto"/>
              <w:right w:val="nil"/>
            </w:tcBorders>
            <w:vAlign w:val="center"/>
            <w:hideMark/>
          </w:tcPr>
          <w:p w14:paraId="6B7AB587" w14:textId="77777777" w:rsidR="00E22F17" w:rsidRPr="00E22F17" w:rsidRDefault="00E22F17" w:rsidP="00E22F17">
            <w:pPr>
              <w:spacing w:after="0" w:line="240" w:lineRule="auto"/>
              <w:rPr>
                <w:rFonts w:ascii="Arial" w:eastAsia="Times New Roman" w:hAnsi="Arial" w:cs="Arial"/>
                <w:color w:val="000000"/>
                <w:kern w:val="0"/>
                <w:sz w:val="20"/>
                <w:szCs w:val="20"/>
                <w:lang w:val="en-IN" w:eastAsia="en-IN" w:bidi="hi-IN"/>
                <w14:ligatures w14:val="none"/>
              </w:rPr>
            </w:pPr>
            <w:r w:rsidRPr="00E22F17">
              <w:rPr>
                <w:rFonts w:ascii="Arial" w:eastAsia="Times New Roman" w:hAnsi="Arial" w:cs="Arial"/>
                <w:color w:val="000000"/>
                <w:kern w:val="0"/>
                <w:sz w:val="20"/>
                <w:szCs w:val="20"/>
                <w:lang w:val="en-IN" w:eastAsia="en-IN" w:bidi="hi-IN"/>
                <w14:ligatures w14:val="none"/>
              </w:rPr>
              <w:t>Fine Dust</w:t>
            </w:r>
          </w:p>
        </w:tc>
        <w:tc>
          <w:tcPr>
            <w:tcW w:w="1215" w:type="pct"/>
            <w:tcBorders>
              <w:top w:val="nil"/>
              <w:left w:val="nil"/>
              <w:bottom w:val="single" w:sz="4" w:space="0" w:color="auto"/>
              <w:right w:val="nil"/>
            </w:tcBorders>
            <w:vAlign w:val="center"/>
            <w:hideMark/>
          </w:tcPr>
          <w:p w14:paraId="5D92E611" w14:textId="77777777" w:rsidR="00E22F17" w:rsidRPr="00E22F17" w:rsidRDefault="00E22F17" w:rsidP="00E22F17">
            <w:pPr>
              <w:spacing w:after="0" w:line="240" w:lineRule="auto"/>
              <w:jc w:val="center"/>
              <w:rPr>
                <w:rFonts w:ascii="Arial" w:eastAsia="Times New Roman" w:hAnsi="Arial" w:cs="Arial"/>
                <w:color w:val="000000"/>
                <w:kern w:val="0"/>
                <w:sz w:val="20"/>
                <w:szCs w:val="20"/>
                <w:lang w:val="en-IN" w:eastAsia="en-IN" w:bidi="hi-IN"/>
                <w14:ligatures w14:val="none"/>
              </w:rPr>
            </w:pPr>
            <w:r w:rsidRPr="00E22F17">
              <w:rPr>
                <w:rFonts w:ascii="Arial" w:eastAsia="Times New Roman" w:hAnsi="Arial" w:cs="Arial"/>
                <w:color w:val="000000"/>
                <w:kern w:val="0"/>
                <w:sz w:val="20"/>
                <w:szCs w:val="20"/>
                <w:lang w:val="en-IN" w:eastAsia="en-IN" w:bidi="hi-IN"/>
                <w14:ligatures w14:val="none"/>
              </w:rPr>
              <w:t>95–99</w:t>
            </w:r>
          </w:p>
        </w:tc>
      </w:tr>
    </w:tbl>
    <w:p w14:paraId="5D71EBA5" w14:textId="4F187C6B" w:rsidR="0010112D" w:rsidRPr="00591353" w:rsidRDefault="0010112D" w:rsidP="0010112D">
      <w:pPr>
        <w:pStyle w:val="IOP-CS-SectionHead"/>
        <w:spacing w:before="120" w:after="60"/>
        <w:rPr>
          <w:rFonts w:ascii="Arial" w:hAnsi="Arial" w:cs="Arial"/>
          <w:b w:val="0"/>
          <w:bCs w:val="0"/>
          <w:i/>
          <w:iCs/>
        </w:rPr>
      </w:pPr>
      <w:r w:rsidRPr="00591353">
        <w:rPr>
          <w:rFonts w:ascii="Arial" w:hAnsi="Arial" w:cs="Arial"/>
          <w:b w:val="0"/>
          <w:bCs w:val="0"/>
          <w:i/>
          <w:iCs/>
        </w:rPr>
        <w:t>2</w:t>
      </w:r>
      <w:r w:rsidR="00584D88" w:rsidRPr="00591353">
        <w:rPr>
          <w:rFonts w:ascii="Arial" w:hAnsi="Arial" w:cs="Arial"/>
          <w:b w:val="0"/>
          <w:bCs w:val="0"/>
          <w:i/>
          <w:iCs/>
        </w:rPr>
        <w:t>.2.2 Water Pollution Treatment</w:t>
      </w:r>
    </w:p>
    <w:p w14:paraId="0948DC3C" w14:textId="1A17CACD" w:rsidR="00584D88" w:rsidRPr="00DC0894" w:rsidRDefault="00584D88" w:rsidP="0010112D">
      <w:pPr>
        <w:pStyle w:val="IOP-CS-SectionHead"/>
        <w:spacing w:before="120" w:after="60"/>
        <w:jc w:val="both"/>
        <w:rPr>
          <w:rFonts w:ascii="Arial" w:hAnsi="Arial" w:cs="Arial"/>
          <w:b w:val="0"/>
          <w:bCs w:val="0"/>
          <w:lang w:val="en-US"/>
        </w:rPr>
      </w:pPr>
      <w:r w:rsidRPr="00DC0894">
        <w:rPr>
          <w:rFonts w:ascii="Arial" w:hAnsi="Arial" w:cs="Arial"/>
          <w:b w:val="0"/>
          <w:bCs w:val="0"/>
          <w:lang w:val="en-US"/>
        </w:rPr>
        <w:t>Advanced wastewater treatment plants use chemical, biological, and membrane-based techniques. Fig</w:t>
      </w:r>
      <w:r w:rsidR="00B4564C" w:rsidRPr="00DC0894">
        <w:rPr>
          <w:rFonts w:ascii="Arial" w:hAnsi="Arial" w:cs="Arial"/>
          <w:b w:val="0"/>
          <w:bCs w:val="0"/>
          <w:lang w:val="en-US"/>
        </w:rPr>
        <w:t>ure</w:t>
      </w:r>
      <w:r w:rsidRPr="00DC0894">
        <w:rPr>
          <w:rFonts w:ascii="Arial" w:hAnsi="Arial" w:cs="Arial"/>
          <w:b w:val="0"/>
          <w:bCs w:val="0"/>
          <w:lang w:val="en-US"/>
        </w:rPr>
        <w:t xml:space="preserve"> 3 shows a simplified flow diagram of a wastewater treatment process, highlighting stages of sedimentation, filtration, and disinfection</w:t>
      </w:r>
      <w:r w:rsidR="000A2C0C">
        <w:rPr>
          <w:rFonts w:ascii="Arial" w:hAnsi="Arial" w:cs="Arial"/>
          <w:b w:val="0"/>
          <w:bCs w:val="0"/>
          <w:lang w:val="en-US"/>
        </w:rPr>
        <w:t xml:space="preserve"> </w:t>
      </w:r>
      <w:r w:rsidR="000A2C0C" w:rsidRPr="000A2C0C">
        <w:rPr>
          <w:rFonts w:ascii="Arial" w:hAnsi="Arial" w:cs="Arial"/>
          <w:b w:val="0"/>
          <w:bCs w:val="0"/>
        </w:rPr>
        <w:t>(Miller &amp; Ahmed, 2019)</w:t>
      </w:r>
      <w:r w:rsidRPr="00DC0894">
        <w:rPr>
          <w:rFonts w:ascii="Arial" w:hAnsi="Arial" w:cs="Arial"/>
          <w:b w:val="0"/>
          <w:bCs w:val="0"/>
          <w:lang w:val="en-US"/>
        </w:rPr>
        <w:t>.</w:t>
      </w:r>
    </w:p>
    <w:p w14:paraId="47A1FFA6" w14:textId="32A69C02" w:rsidR="00072390" w:rsidRPr="00072390" w:rsidRDefault="00072390" w:rsidP="00072390">
      <w:pPr>
        <w:pStyle w:val="IOP-CS-BodyText"/>
        <w:jc w:val="center"/>
        <w:rPr>
          <w:lang w:val="en-US"/>
        </w:rPr>
      </w:pPr>
      <w:r>
        <w:rPr>
          <w:noProof/>
        </w:rPr>
        <w:drawing>
          <wp:inline distT="0" distB="0" distL="0" distR="0" wp14:anchorId="34945760" wp14:editId="3CBBCDC5">
            <wp:extent cx="2484755" cy="1837690"/>
            <wp:effectExtent l="0" t="0" r="0" b="0"/>
            <wp:docPr id="944809408" name="Picture 3" descr="Unit II: Waste water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it II: Waste water treat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4755" cy="1837690"/>
                    </a:xfrm>
                    <a:prstGeom prst="rect">
                      <a:avLst/>
                    </a:prstGeom>
                    <a:noFill/>
                    <a:ln>
                      <a:noFill/>
                    </a:ln>
                  </pic:spPr>
                </pic:pic>
              </a:graphicData>
            </a:graphic>
          </wp:inline>
        </w:drawing>
      </w:r>
    </w:p>
    <w:p w14:paraId="7672B851" w14:textId="7A0DE732" w:rsidR="0010112D" w:rsidRPr="00DC0894" w:rsidRDefault="00584D88" w:rsidP="0010112D">
      <w:pPr>
        <w:pStyle w:val="IOP-CS-BodyText"/>
        <w:jc w:val="center"/>
        <w:rPr>
          <w:rFonts w:asciiTheme="minorBidi" w:hAnsiTheme="minorBidi"/>
          <w:sz w:val="20"/>
          <w:szCs w:val="20"/>
          <w:lang w:val="en-US"/>
        </w:rPr>
      </w:pPr>
      <w:r w:rsidRPr="00DC0894">
        <w:rPr>
          <w:rFonts w:asciiTheme="minorBidi" w:hAnsiTheme="minorBidi"/>
          <w:b/>
          <w:bCs/>
          <w:sz w:val="20"/>
          <w:szCs w:val="20"/>
          <w:lang w:val="en-US"/>
        </w:rPr>
        <w:t>Fig</w:t>
      </w:r>
      <w:r w:rsidR="00072390" w:rsidRPr="00DC0894">
        <w:rPr>
          <w:rFonts w:asciiTheme="minorBidi" w:hAnsiTheme="minorBidi"/>
          <w:b/>
          <w:bCs/>
          <w:sz w:val="20"/>
          <w:szCs w:val="20"/>
          <w:lang w:val="en-US"/>
        </w:rPr>
        <w:t>ure</w:t>
      </w:r>
      <w:r w:rsidRPr="00DC0894">
        <w:rPr>
          <w:rFonts w:asciiTheme="minorBidi" w:hAnsiTheme="minorBidi"/>
          <w:b/>
          <w:bCs/>
          <w:sz w:val="20"/>
          <w:szCs w:val="20"/>
          <w:lang w:val="en-US"/>
        </w:rPr>
        <w:t xml:space="preserve"> </w:t>
      </w:r>
      <w:r w:rsidR="00B4564C" w:rsidRPr="00DC0894">
        <w:rPr>
          <w:rFonts w:asciiTheme="minorBidi" w:hAnsiTheme="minorBidi"/>
          <w:b/>
          <w:bCs/>
          <w:sz w:val="20"/>
          <w:szCs w:val="20"/>
          <w:lang w:val="en-US"/>
        </w:rPr>
        <w:t>4</w:t>
      </w:r>
      <w:r w:rsidRPr="00DC0894">
        <w:rPr>
          <w:rFonts w:asciiTheme="minorBidi" w:hAnsiTheme="minorBidi"/>
          <w:b/>
          <w:bCs/>
          <w:sz w:val="20"/>
          <w:szCs w:val="20"/>
          <w:lang w:val="en-US"/>
        </w:rPr>
        <w:t>.</w:t>
      </w:r>
      <w:r w:rsidRPr="00DC0894">
        <w:rPr>
          <w:rFonts w:asciiTheme="minorBidi" w:hAnsiTheme="minorBidi"/>
          <w:sz w:val="20"/>
          <w:szCs w:val="20"/>
          <w:lang w:val="en-US"/>
        </w:rPr>
        <w:t xml:space="preserve"> Simplified schematic of a wastewater treatment [14].</w:t>
      </w:r>
    </w:p>
    <w:p w14:paraId="720C28DC" w14:textId="6FCF4F99" w:rsidR="0010112D" w:rsidRPr="0010112D" w:rsidRDefault="0010112D" w:rsidP="0010112D">
      <w:pPr>
        <w:pStyle w:val="IOP-CS-SectionHead"/>
        <w:spacing w:before="120" w:after="60"/>
        <w:rPr>
          <w:rFonts w:ascii="Arial" w:hAnsi="Arial" w:cs="Arial"/>
          <w:b w:val="0"/>
          <w:bCs w:val="0"/>
        </w:rPr>
      </w:pPr>
      <w:r>
        <w:rPr>
          <w:rFonts w:ascii="Arial" w:hAnsi="Arial" w:cs="Arial"/>
          <w:b w:val="0"/>
          <w:bCs w:val="0"/>
        </w:rPr>
        <w:t>2</w:t>
      </w:r>
      <w:r w:rsidR="00584D88" w:rsidRPr="0010112D">
        <w:rPr>
          <w:rFonts w:ascii="Arial" w:hAnsi="Arial" w:cs="Arial"/>
          <w:b w:val="0"/>
          <w:bCs w:val="0"/>
        </w:rPr>
        <w:t xml:space="preserve">.3 Policy and Regulatory </w:t>
      </w:r>
      <w:r w:rsidRPr="0010112D">
        <w:rPr>
          <w:rFonts w:ascii="Arial" w:hAnsi="Arial" w:cs="Arial"/>
          <w:b w:val="0"/>
          <w:bCs w:val="0"/>
        </w:rPr>
        <w:t>Frameworks</w:t>
      </w:r>
    </w:p>
    <w:p w14:paraId="40FBBAB3" w14:textId="05F45EA4" w:rsidR="00584D88" w:rsidRPr="00DC0894" w:rsidRDefault="0010112D" w:rsidP="00584D88">
      <w:pPr>
        <w:pStyle w:val="IOP-CS-BodyText"/>
        <w:rPr>
          <w:rFonts w:asciiTheme="minorBidi" w:hAnsiTheme="minorBidi"/>
          <w:lang w:val="en-US"/>
        </w:rPr>
      </w:pPr>
      <w:r w:rsidRPr="00DC0894">
        <w:rPr>
          <w:rFonts w:asciiTheme="minorBidi" w:hAnsiTheme="minorBidi"/>
          <w:lang w:val="en-US"/>
        </w:rPr>
        <w:t>Policy</w:t>
      </w:r>
      <w:r w:rsidR="00584D88" w:rsidRPr="00DC0894">
        <w:rPr>
          <w:rFonts w:asciiTheme="minorBidi" w:hAnsiTheme="minorBidi"/>
          <w:lang w:val="en-US"/>
        </w:rPr>
        <w:t xml:space="preserve"> frameworks are equally important in supporting technological interventions. Governments worldwide have introduced incentives such as feed-in tariffs, tax rebates, and renewable portfolio standards </w:t>
      </w:r>
      <w:r w:rsidR="00591353" w:rsidRPr="00591353">
        <w:rPr>
          <w:rFonts w:asciiTheme="minorBidi" w:hAnsiTheme="minorBidi"/>
          <w:lang w:val="en-US"/>
        </w:rPr>
        <w:t>(Ministry of New and Renewable Energy, 2021</w:t>
      </w:r>
      <w:r w:rsidR="00591353">
        <w:rPr>
          <w:rFonts w:asciiTheme="minorBidi" w:hAnsiTheme="minorBidi"/>
          <w:lang w:val="en-US"/>
        </w:rPr>
        <w:t xml:space="preserve">). </w:t>
      </w:r>
      <w:r w:rsidR="00584D88" w:rsidRPr="00DC0894">
        <w:rPr>
          <w:rFonts w:asciiTheme="minorBidi" w:hAnsiTheme="minorBidi"/>
          <w:lang w:val="en-US"/>
        </w:rPr>
        <w:t>Table 3 compares renewable energy targets set by selected countries, showing wide variation in ambition and timelines.</w:t>
      </w:r>
    </w:p>
    <w:p w14:paraId="143630C8" w14:textId="4F9770CE" w:rsidR="00584D88" w:rsidRPr="00E22F17" w:rsidRDefault="00584D88" w:rsidP="00E22F17">
      <w:pPr>
        <w:pStyle w:val="IOP-CS-BodyText"/>
        <w:spacing w:before="120" w:after="120"/>
        <w:ind w:firstLine="432"/>
        <w:jc w:val="center"/>
        <w:rPr>
          <w:sz w:val="20"/>
          <w:szCs w:val="20"/>
          <w:lang w:val="en-US"/>
        </w:rPr>
      </w:pPr>
      <w:r w:rsidRPr="00E22F17">
        <w:rPr>
          <w:sz w:val="20"/>
          <w:szCs w:val="20"/>
          <w:lang w:val="en-US"/>
        </w:rPr>
        <w:t>Table 3. Renewable Energy Targets by 2030 [16]</w:t>
      </w:r>
    </w:p>
    <w:tbl>
      <w:tblPr>
        <w:tblW w:w="3381" w:type="pct"/>
        <w:jc w:val="center"/>
        <w:tblLook w:val="04A0" w:firstRow="1" w:lastRow="0" w:firstColumn="1" w:lastColumn="0" w:noHBand="0" w:noVBand="1"/>
      </w:tblPr>
      <w:tblGrid>
        <w:gridCol w:w="1429"/>
        <w:gridCol w:w="1431"/>
        <w:gridCol w:w="3243"/>
      </w:tblGrid>
      <w:tr w:rsidR="00E22F17" w:rsidRPr="00E22F17" w14:paraId="0704B23C" w14:textId="77777777" w:rsidTr="00591353">
        <w:trPr>
          <w:trHeight w:val="21"/>
          <w:jc w:val="center"/>
        </w:trPr>
        <w:tc>
          <w:tcPr>
            <w:tcW w:w="1171" w:type="pct"/>
            <w:tcBorders>
              <w:top w:val="single" w:sz="4" w:space="0" w:color="auto"/>
              <w:left w:val="nil"/>
              <w:bottom w:val="single" w:sz="4" w:space="0" w:color="auto"/>
              <w:right w:val="nil"/>
            </w:tcBorders>
            <w:vAlign w:val="center"/>
            <w:hideMark/>
          </w:tcPr>
          <w:p w14:paraId="299448B4" w14:textId="77777777" w:rsidR="00E22F17" w:rsidRPr="00E22F17" w:rsidRDefault="00E22F17" w:rsidP="00E22F17">
            <w:pPr>
              <w:spacing w:after="0" w:line="240" w:lineRule="auto"/>
              <w:jc w:val="both"/>
              <w:rPr>
                <w:rFonts w:asciiTheme="minorBidi" w:eastAsia="Times New Roman" w:hAnsiTheme="minorBidi"/>
                <w:color w:val="000000"/>
                <w:kern w:val="0"/>
                <w:lang w:val="en-IN" w:eastAsia="en-IN" w:bidi="hi-IN"/>
                <w14:ligatures w14:val="none"/>
              </w:rPr>
            </w:pPr>
            <w:r w:rsidRPr="00E22F17">
              <w:rPr>
                <w:rFonts w:asciiTheme="minorBidi" w:eastAsia="Times New Roman" w:hAnsiTheme="minorBidi"/>
                <w:color w:val="000000"/>
                <w:kern w:val="0"/>
                <w:lang w:val="en-US" w:eastAsia="en-IN" w:bidi="hi-IN"/>
                <w14:ligatures w14:val="none"/>
              </w:rPr>
              <w:t>Country</w:t>
            </w:r>
          </w:p>
        </w:tc>
        <w:tc>
          <w:tcPr>
            <w:tcW w:w="1172" w:type="pct"/>
            <w:tcBorders>
              <w:top w:val="single" w:sz="4" w:space="0" w:color="auto"/>
              <w:left w:val="nil"/>
              <w:bottom w:val="single" w:sz="4" w:space="0" w:color="auto"/>
              <w:right w:val="nil"/>
            </w:tcBorders>
            <w:vAlign w:val="center"/>
            <w:hideMark/>
          </w:tcPr>
          <w:p w14:paraId="38B5E07B" w14:textId="77777777" w:rsidR="00E22F17" w:rsidRPr="00E22F17" w:rsidRDefault="00E22F17" w:rsidP="00E22F17">
            <w:pPr>
              <w:spacing w:after="0" w:line="240" w:lineRule="auto"/>
              <w:jc w:val="both"/>
              <w:rPr>
                <w:rFonts w:asciiTheme="minorBidi" w:eastAsia="Times New Roman" w:hAnsiTheme="minorBidi"/>
                <w:color w:val="000000"/>
                <w:kern w:val="0"/>
                <w:lang w:val="en-IN" w:eastAsia="en-IN" w:bidi="hi-IN"/>
                <w14:ligatures w14:val="none"/>
              </w:rPr>
            </w:pPr>
            <w:r w:rsidRPr="00E22F17">
              <w:rPr>
                <w:rFonts w:asciiTheme="minorBidi" w:eastAsia="Times New Roman" w:hAnsiTheme="minorBidi"/>
                <w:color w:val="000000"/>
                <w:kern w:val="0"/>
                <w:lang w:val="en-US" w:eastAsia="en-IN" w:bidi="hi-IN"/>
                <w14:ligatures w14:val="none"/>
              </w:rPr>
              <w:t>Target (%)</w:t>
            </w:r>
          </w:p>
        </w:tc>
        <w:tc>
          <w:tcPr>
            <w:tcW w:w="2657" w:type="pct"/>
            <w:tcBorders>
              <w:top w:val="single" w:sz="4" w:space="0" w:color="auto"/>
              <w:left w:val="nil"/>
              <w:bottom w:val="single" w:sz="4" w:space="0" w:color="auto"/>
              <w:right w:val="nil"/>
            </w:tcBorders>
            <w:vAlign w:val="center"/>
            <w:hideMark/>
          </w:tcPr>
          <w:p w14:paraId="3471A647" w14:textId="77777777" w:rsidR="00E22F17" w:rsidRPr="00E22F17" w:rsidRDefault="00E22F17" w:rsidP="00E22F17">
            <w:pPr>
              <w:spacing w:after="0" w:line="240" w:lineRule="auto"/>
              <w:jc w:val="both"/>
              <w:rPr>
                <w:rFonts w:asciiTheme="minorBidi" w:eastAsia="Times New Roman" w:hAnsiTheme="minorBidi"/>
                <w:color w:val="000000"/>
                <w:kern w:val="0"/>
                <w:lang w:val="en-IN" w:eastAsia="en-IN" w:bidi="hi-IN"/>
                <w14:ligatures w14:val="none"/>
              </w:rPr>
            </w:pPr>
            <w:r w:rsidRPr="00E22F17">
              <w:rPr>
                <w:rFonts w:asciiTheme="minorBidi" w:eastAsia="Times New Roman" w:hAnsiTheme="minorBidi"/>
                <w:color w:val="000000"/>
                <w:kern w:val="0"/>
                <w:lang w:val="en-US" w:eastAsia="en-IN" w:bidi="hi-IN"/>
                <w14:ligatures w14:val="none"/>
              </w:rPr>
              <w:t>Policy Instrument</w:t>
            </w:r>
          </w:p>
        </w:tc>
      </w:tr>
      <w:tr w:rsidR="00E22F17" w:rsidRPr="00E22F17" w14:paraId="776F89F0" w14:textId="77777777" w:rsidTr="00591353">
        <w:trPr>
          <w:trHeight w:val="21"/>
          <w:jc w:val="center"/>
        </w:trPr>
        <w:tc>
          <w:tcPr>
            <w:tcW w:w="1171" w:type="pct"/>
            <w:tcBorders>
              <w:top w:val="single" w:sz="4" w:space="0" w:color="auto"/>
              <w:left w:val="nil"/>
              <w:bottom w:val="nil"/>
              <w:right w:val="nil"/>
            </w:tcBorders>
            <w:vAlign w:val="center"/>
            <w:hideMark/>
          </w:tcPr>
          <w:p w14:paraId="5A36635D" w14:textId="77777777" w:rsidR="00E22F17" w:rsidRPr="00E22F17" w:rsidRDefault="00E22F17" w:rsidP="00E22F17">
            <w:pPr>
              <w:spacing w:after="0" w:line="240" w:lineRule="auto"/>
              <w:jc w:val="both"/>
              <w:rPr>
                <w:rFonts w:asciiTheme="minorBidi" w:eastAsia="Times New Roman" w:hAnsiTheme="minorBidi"/>
                <w:color w:val="000000"/>
                <w:kern w:val="0"/>
                <w:lang w:val="en-IN" w:eastAsia="en-IN" w:bidi="hi-IN"/>
                <w14:ligatures w14:val="none"/>
              </w:rPr>
            </w:pPr>
            <w:r w:rsidRPr="00E22F17">
              <w:rPr>
                <w:rFonts w:asciiTheme="minorBidi" w:eastAsia="Times New Roman" w:hAnsiTheme="minorBidi"/>
                <w:color w:val="000000"/>
                <w:kern w:val="0"/>
                <w:lang w:val="en-US" w:eastAsia="en-IN" w:bidi="hi-IN"/>
                <w14:ligatures w14:val="none"/>
              </w:rPr>
              <w:t>Germany</w:t>
            </w:r>
          </w:p>
        </w:tc>
        <w:tc>
          <w:tcPr>
            <w:tcW w:w="1172" w:type="pct"/>
            <w:tcBorders>
              <w:top w:val="single" w:sz="4" w:space="0" w:color="auto"/>
              <w:left w:val="nil"/>
              <w:bottom w:val="nil"/>
              <w:right w:val="nil"/>
            </w:tcBorders>
            <w:vAlign w:val="center"/>
            <w:hideMark/>
          </w:tcPr>
          <w:p w14:paraId="738ED022" w14:textId="77777777" w:rsidR="00E22F17" w:rsidRPr="00E22F17" w:rsidRDefault="00E22F17" w:rsidP="00E22F17">
            <w:pPr>
              <w:spacing w:after="0" w:line="240" w:lineRule="auto"/>
              <w:jc w:val="both"/>
              <w:rPr>
                <w:rFonts w:asciiTheme="minorBidi" w:eastAsia="Times New Roman" w:hAnsiTheme="minorBidi"/>
                <w:color w:val="000000"/>
                <w:kern w:val="0"/>
                <w:lang w:val="en-IN" w:eastAsia="en-IN" w:bidi="hi-IN"/>
                <w14:ligatures w14:val="none"/>
              </w:rPr>
            </w:pPr>
            <w:r w:rsidRPr="00E22F17">
              <w:rPr>
                <w:rFonts w:asciiTheme="minorBidi" w:eastAsia="Times New Roman" w:hAnsiTheme="minorBidi"/>
                <w:color w:val="000000"/>
                <w:kern w:val="0"/>
                <w:lang w:val="en-US" w:eastAsia="en-IN" w:bidi="hi-IN"/>
                <w14:ligatures w14:val="none"/>
              </w:rPr>
              <w:t>80</w:t>
            </w:r>
          </w:p>
        </w:tc>
        <w:tc>
          <w:tcPr>
            <w:tcW w:w="2657" w:type="pct"/>
            <w:tcBorders>
              <w:top w:val="single" w:sz="4" w:space="0" w:color="auto"/>
              <w:left w:val="nil"/>
              <w:bottom w:val="nil"/>
              <w:right w:val="nil"/>
            </w:tcBorders>
            <w:vAlign w:val="center"/>
            <w:hideMark/>
          </w:tcPr>
          <w:p w14:paraId="48D39107" w14:textId="77777777" w:rsidR="00E22F17" w:rsidRPr="00E22F17" w:rsidRDefault="00E22F17" w:rsidP="00E22F17">
            <w:pPr>
              <w:spacing w:after="0" w:line="240" w:lineRule="auto"/>
              <w:jc w:val="both"/>
              <w:rPr>
                <w:rFonts w:asciiTheme="minorBidi" w:eastAsia="Times New Roman" w:hAnsiTheme="minorBidi"/>
                <w:color w:val="000000"/>
                <w:kern w:val="0"/>
                <w:lang w:val="en-IN" w:eastAsia="en-IN" w:bidi="hi-IN"/>
                <w14:ligatures w14:val="none"/>
              </w:rPr>
            </w:pPr>
            <w:r w:rsidRPr="00E22F17">
              <w:rPr>
                <w:rFonts w:asciiTheme="minorBidi" w:eastAsia="Times New Roman" w:hAnsiTheme="minorBidi"/>
                <w:color w:val="000000"/>
                <w:kern w:val="0"/>
                <w:lang w:val="en-US" w:eastAsia="en-IN" w:bidi="hi-IN"/>
                <w14:ligatures w14:val="none"/>
              </w:rPr>
              <w:t>Feed-in Tariff, Auctions</w:t>
            </w:r>
          </w:p>
        </w:tc>
      </w:tr>
      <w:tr w:rsidR="00E22F17" w:rsidRPr="00E22F17" w14:paraId="10CE0F37" w14:textId="77777777" w:rsidTr="00E22F17">
        <w:trPr>
          <w:trHeight w:val="21"/>
          <w:jc w:val="center"/>
        </w:trPr>
        <w:tc>
          <w:tcPr>
            <w:tcW w:w="1171" w:type="pct"/>
            <w:tcBorders>
              <w:top w:val="nil"/>
              <w:left w:val="nil"/>
              <w:bottom w:val="nil"/>
              <w:right w:val="nil"/>
            </w:tcBorders>
            <w:vAlign w:val="center"/>
            <w:hideMark/>
          </w:tcPr>
          <w:p w14:paraId="0D0BB892" w14:textId="77777777" w:rsidR="00E22F17" w:rsidRPr="00E22F17" w:rsidRDefault="00E22F17" w:rsidP="00E22F17">
            <w:pPr>
              <w:spacing w:after="0" w:line="240" w:lineRule="auto"/>
              <w:jc w:val="both"/>
              <w:rPr>
                <w:rFonts w:asciiTheme="minorBidi" w:eastAsia="Times New Roman" w:hAnsiTheme="minorBidi"/>
                <w:color w:val="000000"/>
                <w:kern w:val="0"/>
                <w:lang w:val="en-IN" w:eastAsia="en-IN" w:bidi="hi-IN"/>
                <w14:ligatures w14:val="none"/>
              </w:rPr>
            </w:pPr>
            <w:r w:rsidRPr="00E22F17">
              <w:rPr>
                <w:rFonts w:asciiTheme="minorBidi" w:eastAsia="Times New Roman" w:hAnsiTheme="minorBidi"/>
                <w:color w:val="000000"/>
                <w:kern w:val="0"/>
                <w:lang w:val="en-US" w:eastAsia="en-IN" w:bidi="hi-IN"/>
                <w14:ligatures w14:val="none"/>
              </w:rPr>
              <w:t>India</w:t>
            </w:r>
          </w:p>
        </w:tc>
        <w:tc>
          <w:tcPr>
            <w:tcW w:w="1172" w:type="pct"/>
            <w:tcBorders>
              <w:top w:val="nil"/>
              <w:left w:val="nil"/>
              <w:bottom w:val="nil"/>
              <w:right w:val="nil"/>
            </w:tcBorders>
            <w:vAlign w:val="center"/>
            <w:hideMark/>
          </w:tcPr>
          <w:p w14:paraId="15B48099" w14:textId="77777777" w:rsidR="00E22F17" w:rsidRPr="00E22F17" w:rsidRDefault="00E22F17" w:rsidP="00E22F17">
            <w:pPr>
              <w:spacing w:after="0" w:line="240" w:lineRule="auto"/>
              <w:jc w:val="both"/>
              <w:rPr>
                <w:rFonts w:asciiTheme="minorBidi" w:eastAsia="Times New Roman" w:hAnsiTheme="minorBidi"/>
                <w:color w:val="000000"/>
                <w:kern w:val="0"/>
                <w:lang w:val="en-IN" w:eastAsia="en-IN" w:bidi="hi-IN"/>
                <w14:ligatures w14:val="none"/>
              </w:rPr>
            </w:pPr>
            <w:r w:rsidRPr="00E22F17">
              <w:rPr>
                <w:rFonts w:asciiTheme="minorBidi" w:eastAsia="Times New Roman" w:hAnsiTheme="minorBidi"/>
                <w:color w:val="000000"/>
                <w:kern w:val="0"/>
                <w:lang w:val="en-US" w:eastAsia="en-IN" w:bidi="hi-IN"/>
                <w14:ligatures w14:val="none"/>
              </w:rPr>
              <w:t>50</w:t>
            </w:r>
          </w:p>
        </w:tc>
        <w:tc>
          <w:tcPr>
            <w:tcW w:w="2657" w:type="pct"/>
            <w:tcBorders>
              <w:top w:val="nil"/>
              <w:left w:val="nil"/>
              <w:bottom w:val="nil"/>
              <w:right w:val="nil"/>
            </w:tcBorders>
            <w:vAlign w:val="center"/>
            <w:hideMark/>
          </w:tcPr>
          <w:p w14:paraId="48B632F7" w14:textId="77777777" w:rsidR="00E22F17" w:rsidRPr="00E22F17" w:rsidRDefault="00E22F17" w:rsidP="00E22F17">
            <w:pPr>
              <w:spacing w:after="0" w:line="240" w:lineRule="auto"/>
              <w:jc w:val="both"/>
              <w:rPr>
                <w:rFonts w:asciiTheme="minorBidi" w:eastAsia="Times New Roman" w:hAnsiTheme="minorBidi"/>
                <w:color w:val="000000"/>
                <w:kern w:val="0"/>
                <w:lang w:val="en-IN" w:eastAsia="en-IN" w:bidi="hi-IN"/>
                <w14:ligatures w14:val="none"/>
              </w:rPr>
            </w:pPr>
            <w:r w:rsidRPr="00E22F17">
              <w:rPr>
                <w:rFonts w:asciiTheme="minorBidi" w:eastAsia="Times New Roman" w:hAnsiTheme="minorBidi"/>
                <w:color w:val="000000"/>
                <w:kern w:val="0"/>
                <w:lang w:val="en-US" w:eastAsia="en-IN" w:bidi="hi-IN"/>
                <w14:ligatures w14:val="none"/>
              </w:rPr>
              <w:t>Renewable Energy Mandates</w:t>
            </w:r>
          </w:p>
        </w:tc>
      </w:tr>
      <w:tr w:rsidR="00E22F17" w:rsidRPr="00E22F17" w14:paraId="4CEA0A88" w14:textId="77777777" w:rsidTr="00591353">
        <w:trPr>
          <w:trHeight w:val="21"/>
          <w:jc w:val="center"/>
        </w:trPr>
        <w:tc>
          <w:tcPr>
            <w:tcW w:w="1171" w:type="pct"/>
            <w:tcBorders>
              <w:top w:val="nil"/>
              <w:left w:val="nil"/>
              <w:right w:val="nil"/>
            </w:tcBorders>
            <w:vAlign w:val="center"/>
            <w:hideMark/>
          </w:tcPr>
          <w:p w14:paraId="4C2A7085" w14:textId="77777777" w:rsidR="00E22F17" w:rsidRPr="00E22F17" w:rsidRDefault="00E22F17" w:rsidP="00E22F17">
            <w:pPr>
              <w:spacing w:after="0" w:line="240" w:lineRule="auto"/>
              <w:jc w:val="both"/>
              <w:rPr>
                <w:rFonts w:asciiTheme="minorBidi" w:eastAsia="Times New Roman" w:hAnsiTheme="minorBidi"/>
                <w:color w:val="000000"/>
                <w:kern w:val="0"/>
                <w:lang w:val="en-IN" w:eastAsia="en-IN" w:bidi="hi-IN"/>
                <w14:ligatures w14:val="none"/>
              </w:rPr>
            </w:pPr>
            <w:r w:rsidRPr="00E22F17">
              <w:rPr>
                <w:rFonts w:asciiTheme="minorBidi" w:eastAsia="Times New Roman" w:hAnsiTheme="minorBidi"/>
                <w:color w:val="000000"/>
                <w:kern w:val="0"/>
                <w:lang w:val="en-US" w:eastAsia="en-IN" w:bidi="hi-IN"/>
                <w14:ligatures w14:val="none"/>
              </w:rPr>
              <w:t>USA</w:t>
            </w:r>
          </w:p>
        </w:tc>
        <w:tc>
          <w:tcPr>
            <w:tcW w:w="1172" w:type="pct"/>
            <w:tcBorders>
              <w:top w:val="nil"/>
              <w:left w:val="nil"/>
              <w:right w:val="nil"/>
            </w:tcBorders>
            <w:vAlign w:val="center"/>
            <w:hideMark/>
          </w:tcPr>
          <w:p w14:paraId="132B795B" w14:textId="77777777" w:rsidR="00E22F17" w:rsidRPr="00E22F17" w:rsidRDefault="00E22F17" w:rsidP="00E22F17">
            <w:pPr>
              <w:spacing w:after="0" w:line="240" w:lineRule="auto"/>
              <w:jc w:val="both"/>
              <w:rPr>
                <w:rFonts w:asciiTheme="minorBidi" w:eastAsia="Times New Roman" w:hAnsiTheme="minorBidi"/>
                <w:color w:val="000000"/>
                <w:kern w:val="0"/>
                <w:lang w:val="en-IN" w:eastAsia="en-IN" w:bidi="hi-IN"/>
                <w14:ligatures w14:val="none"/>
              </w:rPr>
            </w:pPr>
            <w:r w:rsidRPr="00E22F17">
              <w:rPr>
                <w:rFonts w:asciiTheme="minorBidi" w:eastAsia="Times New Roman" w:hAnsiTheme="minorBidi"/>
                <w:color w:val="000000"/>
                <w:kern w:val="0"/>
                <w:lang w:val="en-US" w:eastAsia="en-IN" w:bidi="hi-IN"/>
                <w14:ligatures w14:val="none"/>
              </w:rPr>
              <w:t>45</w:t>
            </w:r>
          </w:p>
        </w:tc>
        <w:tc>
          <w:tcPr>
            <w:tcW w:w="2657" w:type="pct"/>
            <w:tcBorders>
              <w:top w:val="nil"/>
              <w:left w:val="nil"/>
              <w:right w:val="nil"/>
            </w:tcBorders>
            <w:vAlign w:val="center"/>
            <w:hideMark/>
          </w:tcPr>
          <w:p w14:paraId="05DB6623" w14:textId="77777777" w:rsidR="00E22F17" w:rsidRPr="00E22F17" w:rsidRDefault="00E22F17" w:rsidP="00E22F17">
            <w:pPr>
              <w:spacing w:after="0" w:line="240" w:lineRule="auto"/>
              <w:jc w:val="both"/>
              <w:rPr>
                <w:rFonts w:asciiTheme="minorBidi" w:eastAsia="Times New Roman" w:hAnsiTheme="minorBidi"/>
                <w:color w:val="000000"/>
                <w:kern w:val="0"/>
                <w:lang w:val="en-IN" w:eastAsia="en-IN" w:bidi="hi-IN"/>
                <w14:ligatures w14:val="none"/>
              </w:rPr>
            </w:pPr>
            <w:r w:rsidRPr="00E22F17">
              <w:rPr>
                <w:rFonts w:asciiTheme="minorBidi" w:eastAsia="Times New Roman" w:hAnsiTheme="minorBidi"/>
                <w:color w:val="000000"/>
                <w:kern w:val="0"/>
                <w:lang w:val="en-US" w:eastAsia="en-IN" w:bidi="hi-IN"/>
                <w14:ligatures w14:val="none"/>
              </w:rPr>
              <w:t>State-level RPS</w:t>
            </w:r>
          </w:p>
        </w:tc>
      </w:tr>
      <w:tr w:rsidR="00E22F17" w:rsidRPr="00E22F17" w14:paraId="5AC6469F" w14:textId="77777777" w:rsidTr="00591353">
        <w:trPr>
          <w:trHeight w:val="21"/>
          <w:jc w:val="center"/>
        </w:trPr>
        <w:tc>
          <w:tcPr>
            <w:tcW w:w="1171" w:type="pct"/>
            <w:tcBorders>
              <w:top w:val="nil"/>
              <w:left w:val="nil"/>
              <w:bottom w:val="single" w:sz="4" w:space="0" w:color="auto"/>
              <w:right w:val="nil"/>
            </w:tcBorders>
            <w:vAlign w:val="center"/>
            <w:hideMark/>
          </w:tcPr>
          <w:p w14:paraId="49A2D7A0" w14:textId="77777777" w:rsidR="00E22F17" w:rsidRPr="00E22F17" w:rsidRDefault="00E22F17" w:rsidP="00E22F17">
            <w:pPr>
              <w:spacing w:after="0" w:line="240" w:lineRule="auto"/>
              <w:jc w:val="both"/>
              <w:rPr>
                <w:rFonts w:asciiTheme="minorBidi" w:eastAsia="Times New Roman" w:hAnsiTheme="minorBidi"/>
                <w:color w:val="000000"/>
                <w:kern w:val="0"/>
                <w:lang w:val="en-IN" w:eastAsia="en-IN" w:bidi="hi-IN"/>
                <w14:ligatures w14:val="none"/>
              </w:rPr>
            </w:pPr>
            <w:r w:rsidRPr="00E22F17">
              <w:rPr>
                <w:rFonts w:asciiTheme="minorBidi" w:eastAsia="Times New Roman" w:hAnsiTheme="minorBidi"/>
                <w:color w:val="000000"/>
                <w:kern w:val="0"/>
                <w:lang w:val="en-US" w:eastAsia="en-IN" w:bidi="hi-IN"/>
                <w14:ligatures w14:val="none"/>
              </w:rPr>
              <w:t>China</w:t>
            </w:r>
          </w:p>
        </w:tc>
        <w:tc>
          <w:tcPr>
            <w:tcW w:w="1172" w:type="pct"/>
            <w:tcBorders>
              <w:top w:val="nil"/>
              <w:left w:val="nil"/>
              <w:bottom w:val="single" w:sz="4" w:space="0" w:color="auto"/>
              <w:right w:val="nil"/>
            </w:tcBorders>
            <w:vAlign w:val="center"/>
            <w:hideMark/>
          </w:tcPr>
          <w:p w14:paraId="0736F543" w14:textId="77777777" w:rsidR="00E22F17" w:rsidRPr="00E22F17" w:rsidRDefault="00E22F17" w:rsidP="00E22F17">
            <w:pPr>
              <w:spacing w:after="0" w:line="240" w:lineRule="auto"/>
              <w:jc w:val="both"/>
              <w:rPr>
                <w:rFonts w:asciiTheme="minorBidi" w:eastAsia="Times New Roman" w:hAnsiTheme="minorBidi"/>
                <w:color w:val="000000"/>
                <w:kern w:val="0"/>
                <w:lang w:val="en-IN" w:eastAsia="en-IN" w:bidi="hi-IN"/>
                <w14:ligatures w14:val="none"/>
              </w:rPr>
            </w:pPr>
            <w:r w:rsidRPr="00E22F17">
              <w:rPr>
                <w:rFonts w:asciiTheme="minorBidi" w:eastAsia="Times New Roman" w:hAnsiTheme="minorBidi"/>
                <w:color w:val="000000"/>
                <w:kern w:val="0"/>
                <w:lang w:val="en-US" w:eastAsia="en-IN" w:bidi="hi-IN"/>
                <w14:ligatures w14:val="none"/>
              </w:rPr>
              <w:t>70</w:t>
            </w:r>
          </w:p>
        </w:tc>
        <w:tc>
          <w:tcPr>
            <w:tcW w:w="2657" w:type="pct"/>
            <w:tcBorders>
              <w:top w:val="nil"/>
              <w:left w:val="nil"/>
              <w:bottom w:val="single" w:sz="4" w:space="0" w:color="auto"/>
              <w:right w:val="nil"/>
            </w:tcBorders>
            <w:vAlign w:val="center"/>
            <w:hideMark/>
          </w:tcPr>
          <w:p w14:paraId="626BC08A" w14:textId="77777777" w:rsidR="00E22F17" w:rsidRPr="00E22F17" w:rsidRDefault="00E22F17" w:rsidP="00E22F17">
            <w:pPr>
              <w:spacing w:after="0" w:line="240" w:lineRule="auto"/>
              <w:jc w:val="both"/>
              <w:rPr>
                <w:rFonts w:asciiTheme="minorBidi" w:eastAsia="Times New Roman" w:hAnsiTheme="minorBidi"/>
                <w:color w:val="000000"/>
                <w:kern w:val="0"/>
                <w:lang w:val="en-IN" w:eastAsia="en-IN" w:bidi="hi-IN"/>
                <w14:ligatures w14:val="none"/>
              </w:rPr>
            </w:pPr>
            <w:r w:rsidRPr="00E22F17">
              <w:rPr>
                <w:rFonts w:asciiTheme="minorBidi" w:eastAsia="Times New Roman" w:hAnsiTheme="minorBidi"/>
                <w:color w:val="000000"/>
                <w:kern w:val="0"/>
                <w:lang w:val="en-US" w:eastAsia="en-IN" w:bidi="hi-IN"/>
                <w14:ligatures w14:val="none"/>
              </w:rPr>
              <w:t>Subsidies, Carbon Trading</w:t>
            </w:r>
          </w:p>
        </w:tc>
      </w:tr>
    </w:tbl>
    <w:p w14:paraId="04A18923" w14:textId="77777777" w:rsidR="00E22F17" w:rsidRPr="00E22F17" w:rsidRDefault="00E22F17" w:rsidP="00584D88">
      <w:pPr>
        <w:pStyle w:val="IOP-CS-BodyText"/>
        <w:rPr>
          <w:sz w:val="12"/>
          <w:szCs w:val="12"/>
          <w:lang w:val="en-US"/>
        </w:rPr>
      </w:pPr>
    </w:p>
    <w:p w14:paraId="6BB5B909" w14:textId="7B7421D4" w:rsidR="00584D88" w:rsidRPr="00B4564C" w:rsidRDefault="00584D88" w:rsidP="00584D88">
      <w:pPr>
        <w:pStyle w:val="IOP-CS-BodyText"/>
        <w:rPr>
          <w:rFonts w:asciiTheme="minorBidi" w:hAnsiTheme="minorBidi"/>
          <w:lang w:val="en-US"/>
        </w:rPr>
      </w:pPr>
      <w:r w:rsidRPr="00B4564C">
        <w:rPr>
          <w:rFonts w:asciiTheme="minorBidi" w:hAnsiTheme="minorBidi"/>
          <w:lang w:val="en-US"/>
        </w:rPr>
        <w:t xml:space="preserve">Long-term policy stability is essential for building investor confidence. Countries with consistent renewable policies (e.g., Germany, Denmark) have achieved higher adoption rates, while inconsistent policies have caused delays in project implementation </w:t>
      </w:r>
      <w:r w:rsidR="00591353" w:rsidRPr="00591353">
        <w:rPr>
          <w:rFonts w:asciiTheme="minorBidi" w:hAnsiTheme="minorBidi"/>
        </w:rPr>
        <w:t>(United Nations Environment Programme, 2022).</w:t>
      </w:r>
    </w:p>
    <w:p w14:paraId="5D06B791" w14:textId="77777777" w:rsidR="00B4564C" w:rsidRDefault="00272090" w:rsidP="00272090">
      <w:pPr>
        <w:pStyle w:val="IOP-CS-SectionHead"/>
        <w:spacing w:before="200"/>
        <w:rPr>
          <w:rFonts w:ascii="Arial" w:hAnsi="Arial" w:cs="Arial"/>
        </w:rPr>
      </w:pPr>
      <w:r>
        <w:rPr>
          <w:rFonts w:ascii="Arial" w:hAnsi="Arial" w:cs="Arial"/>
        </w:rPr>
        <w:t>3</w:t>
      </w:r>
      <w:r w:rsidRPr="00272090">
        <w:rPr>
          <w:rFonts w:ascii="Arial" w:hAnsi="Arial" w:cs="Arial"/>
        </w:rPr>
        <w:t xml:space="preserve">. </w:t>
      </w:r>
      <w:r>
        <w:rPr>
          <w:rFonts w:ascii="Arial" w:hAnsi="Arial" w:cs="Arial"/>
        </w:rPr>
        <w:t>Results and discussion</w:t>
      </w:r>
    </w:p>
    <w:p w14:paraId="12DE6078" w14:textId="0DF5EC45" w:rsidR="00272090" w:rsidRDefault="00B4564C" w:rsidP="00591353">
      <w:pPr>
        <w:pStyle w:val="IOP-CS-SectionHead"/>
        <w:spacing w:before="0" w:after="0"/>
        <w:jc w:val="both"/>
        <w:rPr>
          <w:rFonts w:ascii="Arial" w:hAnsi="Arial" w:cs="Arial"/>
        </w:rPr>
      </w:pPr>
      <w:r w:rsidRPr="00B4564C">
        <w:rPr>
          <w:rFonts w:ascii="Arial" w:hAnsi="Arial" w:cs="Arial"/>
          <w:b w:val="0"/>
          <w:bCs w:val="0"/>
        </w:rPr>
        <w:t xml:space="preserve">The </w:t>
      </w:r>
      <w:r w:rsidRPr="00B4564C">
        <w:rPr>
          <w:rFonts w:ascii="Arial" w:hAnsi="Arial" w:cs="Arial"/>
          <w:b w:val="0"/>
          <w:bCs w:val="0"/>
          <w:i/>
          <w:iCs/>
        </w:rPr>
        <w:t>Results and Discussion</w:t>
      </w:r>
      <w:r w:rsidRPr="00B4564C">
        <w:rPr>
          <w:rFonts w:ascii="Arial" w:hAnsi="Arial" w:cs="Arial"/>
          <w:b w:val="0"/>
          <w:bCs w:val="0"/>
        </w:rPr>
        <w:t xml:space="preserve"> section should present findings clearly and logically, supported by figures, tables, and equations where appropriate. Results must be explained, compared with existing literature, and interpreted in the context of the study objectives. Each figure and table should be cited in the text before being presented. Authors should avoid only describing results and instead highlight their significance, limitations, and implications. This section should connect results to broader research questions and suggest directions for future work.</w:t>
      </w:r>
      <w:r w:rsidR="00272090">
        <w:rPr>
          <w:rFonts w:ascii="Arial" w:hAnsi="Arial" w:cs="Arial"/>
        </w:rPr>
        <w:t xml:space="preserve"> </w:t>
      </w:r>
    </w:p>
    <w:p w14:paraId="1E07FD3E" w14:textId="14865FC4" w:rsidR="00272090" w:rsidRDefault="0005738C" w:rsidP="00272090">
      <w:pPr>
        <w:pStyle w:val="IOP-CS-SectionHead"/>
        <w:spacing w:before="200"/>
        <w:rPr>
          <w:rFonts w:ascii="Arial" w:hAnsi="Arial" w:cs="Arial"/>
        </w:rPr>
      </w:pPr>
      <w:r>
        <w:rPr>
          <w:rFonts w:ascii="Arial" w:hAnsi="Arial" w:cs="Arial"/>
        </w:rPr>
        <w:t>4</w:t>
      </w:r>
      <w:r w:rsidR="00272090" w:rsidRPr="00272090">
        <w:rPr>
          <w:rFonts w:ascii="Arial" w:hAnsi="Arial" w:cs="Arial"/>
        </w:rPr>
        <w:t xml:space="preserve">. </w:t>
      </w:r>
      <w:r w:rsidR="00272090">
        <w:rPr>
          <w:rFonts w:ascii="Arial" w:hAnsi="Arial" w:cs="Arial"/>
        </w:rPr>
        <w:t>Writing Conclusion</w:t>
      </w:r>
    </w:p>
    <w:p w14:paraId="48CF9967" w14:textId="09252F51" w:rsidR="00DC0894" w:rsidRPr="00DC0894" w:rsidRDefault="00DC0894" w:rsidP="00591353">
      <w:pPr>
        <w:pStyle w:val="IOP-CS-BodyNoIndent"/>
        <w:rPr>
          <w:rFonts w:asciiTheme="minorBidi" w:hAnsiTheme="minorBidi"/>
        </w:rPr>
      </w:pPr>
      <w:r w:rsidRPr="00DC0894">
        <w:rPr>
          <w:rFonts w:asciiTheme="minorBidi" w:hAnsiTheme="minorBidi"/>
        </w:rPr>
        <w:lastRenderedPageBreak/>
        <w:t xml:space="preserve">The conclusion should be </w:t>
      </w:r>
      <w:r w:rsidRPr="00DC0894">
        <w:rPr>
          <w:rFonts w:asciiTheme="minorBidi" w:hAnsiTheme="minorBidi"/>
          <w:b/>
          <w:bCs/>
        </w:rPr>
        <w:t>concise</w:t>
      </w:r>
      <w:r w:rsidRPr="00DC0894">
        <w:rPr>
          <w:rFonts w:asciiTheme="minorBidi" w:hAnsiTheme="minorBidi"/>
        </w:rPr>
        <w:t xml:space="preserve"> and directly address the research objectives stated in the introduction. Authors should summarize the key findings without repeating details already presented in the Results and Discussion. Limitations of the study and potential directions for future work may also be briefly mentioned.</w:t>
      </w:r>
    </w:p>
    <w:p w14:paraId="371C5874" w14:textId="64BE205A" w:rsidR="00272090" w:rsidRDefault="00272090" w:rsidP="00272090">
      <w:pPr>
        <w:pStyle w:val="IOP-CS-SectionHead"/>
        <w:spacing w:before="200"/>
        <w:rPr>
          <w:rFonts w:ascii="Arial" w:hAnsi="Arial" w:cs="Arial"/>
        </w:rPr>
      </w:pPr>
      <w:r>
        <w:rPr>
          <w:rFonts w:ascii="Arial" w:hAnsi="Arial" w:cs="Arial"/>
        </w:rPr>
        <w:t xml:space="preserve">Acknowledgement </w:t>
      </w:r>
    </w:p>
    <w:p w14:paraId="7B85897B" w14:textId="77777777" w:rsidR="003F7D67" w:rsidRDefault="00DC0894" w:rsidP="003F7D67">
      <w:pPr>
        <w:pStyle w:val="IOP-CS-BodyNoIndent"/>
        <w:rPr>
          <w:rFonts w:asciiTheme="minorBidi" w:hAnsiTheme="minorBidi"/>
        </w:rPr>
      </w:pPr>
      <w:r w:rsidRPr="00DC0894">
        <w:rPr>
          <w:rFonts w:asciiTheme="minorBidi" w:hAnsiTheme="minorBidi"/>
        </w:rPr>
        <w:t>The Acknowledgement section should recognize funding sources, supporting institutions, or individuals who contributed to the work but are not listed as authors.</w:t>
      </w:r>
    </w:p>
    <w:p w14:paraId="51ED9ACE" w14:textId="4CF83143" w:rsidR="003F7D67" w:rsidRDefault="003F7D67" w:rsidP="003F7D67">
      <w:pPr>
        <w:pStyle w:val="IOP-CS-SectionHead"/>
        <w:spacing w:before="200"/>
        <w:rPr>
          <w:rFonts w:ascii="Arial" w:hAnsi="Arial" w:cs="Arial"/>
        </w:rPr>
      </w:pPr>
      <w:r w:rsidRPr="003F7D67">
        <w:rPr>
          <w:rFonts w:ascii="Arial" w:hAnsi="Arial" w:cs="Arial"/>
        </w:rPr>
        <w:t>Conflict of Interest</w:t>
      </w:r>
    </w:p>
    <w:p w14:paraId="4FB7F557" w14:textId="2EF10653" w:rsidR="003F7D67" w:rsidRPr="008034BD" w:rsidRDefault="008034BD" w:rsidP="003F7D67">
      <w:pPr>
        <w:pStyle w:val="IOP-CS-BodyNoIndent"/>
        <w:rPr>
          <w:rFonts w:asciiTheme="minorBidi" w:hAnsiTheme="minorBidi"/>
        </w:rPr>
      </w:pPr>
      <w:r w:rsidRPr="008034BD">
        <w:rPr>
          <w:rFonts w:asciiTheme="minorBidi" w:hAnsiTheme="minorBidi"/>
        </w:rPr>
        <w:t>“The authors declare that they have no conflict of interest.”</w:t>
      </w:r>
    </w:p>
    <w:p w14:paraId="25825406" w14:textId="77777777" w:rsidR="000A2C0C" w:rsidRDefault="00272090" w:rsidP="000A2C0C">
      <w:pPr>
        <w:pStyle w:val="IOP-CS-SectionHead"/>
        <w:spacing w:before="200"/>
        <w:rPr>
          <w:rFonts w:ascii="Arial" w:hAnsi="Arial" w:cs="Arial"/>
        </w:rPr>
      </w:pPr>
      <w:r>
        <w:rPr>
          <w:rFonts w:ascii="Arial" w:hAnsi="Arial" w:cs="Arial"/>
        </w:rPr>
        <w:t xml:space="preserve">References </w:t>
      </w:r>
    </w:p>
    <w:p w14:paraId="28A26582" w14:textId="77777777" w:rsidR="000A2C0C" w:rsidRDefault="000A2C0C" w:rsidP="000A2C0C">
      <w:pPr>
        <w:pStyle w:val="IOP-CS-SectionHead"/>
        <w:spacing w:before="200"/>
        <w:jc w:val="both"/>
        <w:rPr>
          <w:rFonts w:asciiTheme="minorBidi" w:hAnsiTheme="minorBidi"/>
          <w:b w:val="0"/>
          <w:bCs w:val="0"/>
          <w:lang w:val="en-IN"/>
        </w:rPr>
      </w:pPr>
      <w:r w:rsidRPr="000A2C0C">
        <w:rPr>
          <w:rFonts w:asciiTheme="minorBidi" w:hAnsiTheme="minorBidi"/>
          <w:b w:val="0"/>
          <w:bCs w:val="0"/>
          <w:lang w:val="en-IN"/>
        </w:rPr>
        <w:t>All references must follow the APA (7th edition) style of formatting. The reference list should be arranged alphabetically by the surname of the first author rather than in order of appearance. Each entry must include complete bibliographic details such as author(s), year, title, source, and DOI or URL where available. References should be formatted with a hanging indent and consistency must be maintained throughout the list. Every cited source in the text must appear in the reference list, and uncited works should not be included. Acceptable sources include books, journal articles, conference proceedings, reports, government publications, webpages, and theses. Authors must ensure correct punctuation, italics, capitalization, and citation style.</w:t>
      </w:r>
    </w:p>
    <w:p w14:paraId="5E0DF8AE" w14:textId="6B9FEF96" w:rsidR="000A2C0C" w:rsidRPr="000A2C0C" w:rsidRDefault="000A2C0C" w:rsidP="000A2C0C">
      <w:pPr>
        <w:pStyle w:val="IOP-CS-SectionHead"/>
        <w:numPr>
          <w:ilvl w:val="0"/>
          <w:numId w:val="2"/>
        </w:numPr>
        <w:spacing w:before="0" w:after="0"/>
        <w:ind w:left="360"/>
        <w:jc w:val="both"/>
        <w:rPr>
          <w:rFonts w:asciiTheme="minorBidi" w:hAnsiTheme="minorBidi"/>
          <w:b w:val="0"/>
          <w:bCs w:val="0"/>
          <w:lang w:val="en-IN"/>
        </w:rPr>
      </w:pPr>
      <w:r w:rsidRPr="000A2C0C">
        <w:rPr>
          <w:rFonts w:asciiTheme="minorBidi" w:hAnsiTheme="minorBidi"/>
          <w:b w:val="0"/>
          <w:bCs w:val="0"/>
          <w:lang w:val="en-IN"/>
        </w:rPr>
        <w:t xml:space="preserve">Chen, L., &amp; Kumar, P. (2019). Smart grid integration of wind energy systems. In </w:t>
      </w:r>
      <w:r w:rsidRPr="000A2C0C">
        <w:rPr>
          <w:rFonts w:asciiTheme="minorBidi" w:hAnsiTheme="minorBidi"/>
          <w:b w:val="0"/>
          <w:bCs w:val="0"/>
          <w:i/>
          <w:iCs/>
          <w:lang w:val="en-IN"/>
        </w:rPr>
        <w:t>Proceedings of the 2019 International Conference on Sustainable Power Systems</w:t>
      </w:r>
      <w:r w:rsidRPr="000A2C0C">
        <w:rPr>
          <w:rFonts w:asciiTheme="minorBidi" w:hAnsiTheme="minorBidi"/>
          <w:b w:val="0"/>
          <w:bCs w:val="0"/>
          <w:lang w:val="en-IN"/>
        </w:rPr>
        <w:t xml:space="preserve"> (pp. 110–118). IEEE. </w:t>
      </w:r>
      <w:hyperlink r:id="rId13" w:tgtFrame="_new" w:history="1">
        <w:r w:rsidRPr="000A2C0C">
          <w:rPr>
            <w:rStyle w:val="Hyperlink"/>
            <w:rFonts w:asciiTheme="minorBidi" w:hAnsiTheme="minorBidi"/>
            <w:b w:val="0"/>
            <w:bCs w:val="0"/>
            <w:lang w:val="en-IN"/>
          </w:rPr>
          <w:t>https://doi.org/10.1109/ICSPower.2019.123456</w:t>
        </w:r>
      </w:hyperlink>
      <w:r w:rsidRPr="000A2C0C">
        <w:rPr>
          <w:rFonts w:asciiTheme="minorBidi" w:hAnsiTheme="minorBidi"/>
          <w:b w:val="0"/>
          <w:bCs w:val="0"/>
          <w:lang w:val="en-IN"/>
        </w:rPr>
        <w:t xml:space="preserve">  Garcia, P. (2017). Energy storage systems for smart grids. In L. Johnson (Ed.), </w:t>
      </w:r>
      <w:r w:rsidRPr="000A2C0C">
        <w:rPr>
          <w:rFonts w:asciiTheme="minorBidi" w:hAnsiTheme="minorBidi"/>
          <w:b w:val="0"/>
          <w:bCs w:val="0"/>
          <w:i/>
          <w:iCs/>
          <w:lang w:val="en-IN"/>
        </w:rPr>
        <w:t>Emerging technologies in renewable energy</w:t>
      </w:r>
      <w:r w:rsidRPr="000A2C0C">
        <w:rPr>
          <w:rFonts w:asciiTheme="minorBidi" w:hAnsiTheme="minorBidi"/>
          <w:b w:val="0"/>
          <w:bCs w:val="0"/>
          <w:lang w:val="en-IN"/>
        </w:rPr>
        <w:t xml:space="preserve"> (pp. 55–78). Elsevier.</w:t>
      </w:r>
    </w:p>
    <w:p w14:paraId="2FAA0741" w14:textId="77777777" w:rsidR="000A2C0C" w:rsidRDefault="000A2C0C" w:rsidP="000A2C0C">
      <w:pPr>
        <w:pStyle w:val="IOP-CS-SectionHead"/>
        <w:numPr>
          <w:ilvl w:val="0"/>
          <w:numId w:val="2"/>
        </w:numPr>
        <w:spacing w:before="0" w:after="0"/>
        <w:ind w:left="360"/>
        <w:jc w:val="both"/>
        <w:rPr>
          <w:rFonts w:asciiTheme="minorBidi" w:hAnsiTheme="minorBidi"/>
          <w:b w:val="0"/>
          <w:bCs w:val="0"/>
          <w:lang w:val="en-IN"/>
        </w:rPr>
      </w:pPr>
      <w:r w:rsidRPr="000A2C0C">
        <w:rPr>
          <w:rFonts w:asciiTheme="minorBidi" w:hAnsiTheme="minorBidi"/>
          <w:b w:val="0"/>
          <w:bCs w:val="0"/>
          <w:lang w:val="en-IN"/>
        </w:rPr>
        <w:t xml:space="preserve">Hernandez, M., &amp; Rao, S. (2020). Advances in biomass gasification for rural electrification. In </w:t>
      </w:r>
      <w:r w:rsidRPr="000A2C0C">
        <w:rPr>
          <w:rFonts w:asciiTheme="minorBidi" w:hAnsiTheme="minorBidi"/>
          <w:b w:val="0"/>
          <w:bCs w:val="0"/>
          <w:i/>
          <w:iCs/>
          <w:lang w:val="en-IN"/>
        </w:rPr>
        <w:t>Proceedings of the 2020 World Renewable Energy Congress</w:t>
      </w:r>
      <w:r w:rsidRPr="000A2C0C">
        <w:rPr>
          <w:rFonts w:asciiTheme="minorBidi" w:hAnsiTheme="minorBidi"/>
          <w:b w:val="0"/>
          <w:bCs w:val="0"/>
          <w:lang w:val="en-IN"/>
        </w:rPr>
        <w:t xml:space="preserve"> (pp. 210–218). Elsevier.</w:t>
      </w:r>
    </w:p>
    <w:p w14:paraId="3A15FE99" w14:textId="77777777" w:rsidR="000A2C0C" w:rsidRDefault="000A2C0C" w:rsidP="000A2C0C">
      <w:pPr>
        <w:pStyle w:val="IOP-CS-SectionHead"/>
        <w:numPr>
          <w:ilvl w:val="0"/>
          <w:numId w:val="2"/>
        </w:numPr>
        <w:spacing w:before="0" w:after="0"/>
        <w:ind w:left="360"/>
        <w:jc w:val="both"/>
        <w:rPr>
          <w:rFonts w:asciiTheme="minorBidi" w:hAnsiTheme="minorBidi"/>
          <w:b w:val="0"/>
          <w:bCs w:val="0"/>
        </w:rPr>
      </w:pPr>
      <w:r w:rsidRPr="000A2C0C">
        <w:rPr>
          <w:rFonts w:asciiTheme="minorBidi" w:hAnsiTheme="minorBidi"/>
          <w:b w:val="0"/>
          <w:bCs w:val="0"/>
          <w:lang w:val="en-IN"/>
        </w:rPr>
        <w:t xml:space="preserve">International Energy Agency. (2023, March 15). </w:t>
      </w:r>
      <w:r w:rsidRPr="000A2C0C">
        <w:rPr>
          <w:rFonts w:asciiTheme="minorBidi" w:hAnsiTheme="minorBidi"/>
          <w:b w:val="0"/>
          <w:bCs w:val="0"/>
          <w:i/>
          <w:iCs/>
          <w:lang w:val="en-IN"/>
        </w:rPr>
        <w:t>Global energy review 2023</w:t>
      </w:r>
      <w:r w:rsidRPr="000A2C0C">
        <w:rPr>
          <w:rFonts w:asciiTheme="minorBidi" w:hAnsiTheme="minorBidi"/>
          <w:b w:val="0"/>
          <w:bCs w:val="0"/>
          <w:lang w:val="en-IN"/>
        </w:rPr>
        <w:t xml:space="preserve">. </w:t>
      </w:r>
      <w:hyperlink r:id="rId14" w:tgtFrame="_new" w:history="1">
        <w:r w:rsidRPr="000A2C0C">
          <w:rPr>
            <w:rStyle w:val="Hyperlink"/>
            <w:rFonts w:asciiTheme="minorBidi" w:hAnsiTheme="minorBidi"/>
            <w:b w:val="0"/>
            <w:bCs w:val="0"/>
            <w:lang w:val="en-IN"/>
          </w:rPr>
          <w:t>https://www.iea.org/reports/global-energy-review-2023</w:t>
        </w:r>
      </w:hyperlink>
    </w:p>
    <w:p w14:paraId="49B35043" w14:textId="77777777" w:rsidR="000A2C0C" w:rsidRDefault="000A2C0C" w:rsidP="000A2C0C">
      <w:pPr>
        <w:pStyle w:val="IOP-CS-SectionHead"/>
        <w:numPr>
          <w:ilvl w:val="0"/>
          <w:numId w:val="2"/>
        </w:numPr>
        <w:spacing w:before="0" w:after="0"/>
        <w:ind w:left="360"/>
        <w:jc w:val="both"/>
        <w:rPr>
          <w:rFonts w:asciiTheme="minorBidi" w:hAnsiTheme="minorBidi"/>
          <w:b w:val="0"/>
          <w:bCs w:val="0"/>
          <w:lang w:val="en-IN"/>
        </w:rPr>
      </w:pPr>
      <w:r w:rsidRPr="000A2C0C">
        <w:rPr>
          <w:rFonts w:asciiTheme="minorBidi" w:hAnsiTheme="minorBidi"/>
          <w:b w:val="0"/>
          <w:bCs w:val="0"/>
          <w:lang w:val="en-IN"/>
        </w:rPr>
        <w:t xml:space="preserve">Khan, T. (2018). </w:t>
      </w:r>
      <w:r w:rsidRPr="000A2C0C">
        <w:rPr>
          <w:rFonts w:asciiTheme="minorBidi" w:hAnsiTheme="minorBidi"/>
          <w:b w:val="0"/>
          <w:bCs w:val="0"/>
          <w:i/>
          <w:iCs/>
          <w:lang w:val="en-IN"/>
        </w:rPr>
        <w:t>Optimization of hybrid renewable energy systems in rural areas</w:t>
      </w:r>
      <w:r w:rsidRPr="000A2C0C">
        <w:rPr>
          <w:rFonts w:asciiTheme="minorBidi" w:hAnsiTheme="minorBidi"/>
          <w:b w:val="0"/>
          <w:bCs w:val="0"/>
          <w:lang w:val="en-IN"/>
        </w:rPr>
        <w:t xml:space="preserve"> (Doctoral dissertation, Indian Institute of Technology Delhi). ProQuest Dissertations and Theses.</w:t>
      </w:r>
    </w:p>
    <w:p w14:paraId="7AFC9708" w14:textId="77777777" w:rsidR="000A2C0C" w:rsidRDefault="000A2C0C" w:rsidP="000A2C0C">
      <w:pPr>
        <w:pStyle w:val="IOP-CS-SectionHead"/>
        <w:numPr>
          <w:ilvl w:val="0"/>
          <w:numId w:val="2"/>
        </w:numPr>
        <w:spacing w:before="0" w:after="0"/>
        <w:ind w:left="360"/>
        <w:jc w:val="both"/>
        <w:rPr>
          <w:rFonts w:asciiTheme="minorBidi" w:hAnsiTheme="minorBidi"/>
          <w:b w:val="0"/>
          <w:bCs w:val="0"/>
          <w:lang w:val="en-IN"/>
        </w:rPr>
      </w:pPr>
      <w:r w:rsidRPr="000A2C0C">
        <w:rPr>
          <w:rFonts w:asciiTheme="minorBidi" w:hAnsiTheme="minorBidi"/>
          <w:b w:val="0"/>
          <w:bCs w:val="0"/>
          <w:lang w:val="en-IN"/>
        </w:rPr>
        <w:t xml:space="preserve">Miller, D., &amp; Ahmed, K. (2019). Policy frameworks for clean energy adoption. In R. Patel (Ed.), </w:t>
      </w:r>
      <w:r w:rsidRPr="000A2C0C">
        <w:rPr>
          <w:rFonts w:asciiTheme="minorBidi" w:hAnsiTheme="minorBidi"/>
          <w:b w:val="0"/>
          <w:bCs w:val="0"/>
          <w:i/>
          <w:iCs/>
          <w:lang w:val="en-IN"/>
        </w:rPr>
        <w:t>Sustainable energy transitions</w:t>
      </w:r>
      <w:r w:rsidRPr="000A2C0C">
        <w:rPr>
          <w:rFonts w:asciiTheme="minorBidi" w:hAnsiTheme="minorBidi"/>
          <w:b w:val="0"/>
          <w:bCs w:val="0"/>
          <w:lang w:val="en-IN"/>
        </w:rPr>
        <w:t xml:space="preserve"> (pp. 120–140). Taylor &amp; Francis</w:t>
      </w:r>
      <w:r>
        <w:rPr>
          <w:rFonts w:asciiTheme="minorBidi" w:hAnsiTheme="minorBidi"/>
          <w:b w:val="0"/>
          <w:bCs w:val="0"/>
          <w:lang w:val="en-IN"/>
        </w:rPr>
        <w:t>.</w:t>
      </w:r>
    </w:p>
    <w:p w14:paraId="10B03DB2" w14:textId="77777777" w:rsidR="000A2C0C" w:rsidRDefault="000A2C0C" w:rsidP="000A2C0C">
      <w:pPr>
        <w:pStyle w:val="IOP-CS-SectionHead"/>
        <w:numPr>
          <w:ilvl w:val="0"/>
          <w:numId w:val="2"/>
        </w:numPr>
        <w:spacing w:before="0" w:after="0"/>
        <w:ind w:left="360"/>
        <w:jc w:val="both"/>
        <w:rPr>
          <w:rFonts w:asciiTheme="minorBidi" w:hAnsiTheme="minorBidi"/>
          <w:b w:val="0"/>
          <w:bCs w:val="0"/>
          <w:lang w:val="en-IN"/>
        </w:rPr>
      </w:pPr>
      <w:r w:rsidRPr="000A2C0C">
        <w:rPr>
          <w:rFonts w:asciiTheme="minorBidi" w:hAnsiTheme="minorBidi"/>
          <w:b w:val="0"/>
          <w:bCs w:val="0"/>
          <w:lang w:val="en-IN"/>
        </w:rPr>
        <w:t xml:space="preserve">Ministry of New and Renewable Energy. (2021). </w:t>
      </w:r>
      <w:r w:rsidRPr="000A2C0C">
        <w:rPr>
          <w:rFonts w:asciiTheme="minorBidi" w:hAnsiTheme="minorBidi"/>
          <w:b w:val="0"/>
          <w:bCs w:val="0"/>
          <w:i/>
          <w:iCs/>
          <w:lang w:val="en-IN"/>
        </w:rPr>
        <w:t>Annual report 2020–21</w:t>
      </w:r>
      <w:r w:rsidRPr="000A2C0C">
        <w:rPr>
          <w:rFonts w:asciiTheme="minorBidi" w:hAnsiTheme="minorBidi"/>
          <w:b w:val="0"/>
          <w:bCs w:val="0"/>
          <w:lang w:val="en-IN"/>
        </w:rPr>
        <w:t>. Government of India.</w:t>
      </w:r>
    </w:p>
    <w:p w14:paraId="4ACB324B" w14:textId="77777777" w:rsidR="000A2C0C" w:rsidRDefault="000A2C0C" w:rsidP="000A2C0C">
      <w:pPr>
        <w:pStyle w:val="IOP-CS-SectionHead"/>
        <w:numPr>
          <w:ilvl w:val="0"/>
          <w:numId w:val="2"/>
        </w:numPr>
        <w:spacing w:before="0" w:after="0"/>
        <w:ind w:left="360"/>
        <w:jc w:val="both"/>
        <w:rPr>
          <w:rFonts w:asciiTheme="minorBidi" w:hAnsiTheme="minorBidi"/>
          <w:b w:val="0"/>
          <w:bCs w:val="0"/>
          <w:lang w:val="en-IN"/>
        </w:rPr>
      </w:pPr>
      <w:r w:rsidRPr="000A2C0C">
        <w:rPr>
          <w:rFonts w:asciiTheme="minorBidi" w:hAnsiTheme="minorBidi"/>
          <w:b w:val="0"/>
          <w:bCs w:val="0"/>
          <w:lang w:val="en-IN"/>
        </w:rPr>
        <w:t xml:space="preserve">Murphy, T. (2018). </w:t>
      </w:r>
      <w:r w:rsidRPr="000A2C0C">
        <w:rPr>
          <w:rFonts w:asciiTheme="minorBidi" w:hAnsiTheme="minorBidi"/>
          <w:b w:val="0"/>
          <w:bCs w:val="0"/>
          <w:i/>
          <w:iCs/>
          <w:lang w:val="en-IN"/>
        </w:rPr>
        <w:t>Environmental management: Concepts and strategies</w:t>
      </w:r>
      <w:r w:rsidRPr="000A2C0C">
        <w:rPr>
          <w:rFonts w:asciiTheme="minorBidi" w:hAnsiTheme="minorBidi"/>
          <w:b w:val="0"/>
          <w:bCs w:val="0"/>
          <w:lang w:val="en-IN"/>
        </w:rPr>
        <w:t>. Routledge.</w:t>
      </w:r>
    </w:p>
    <w:p w14:paraId="6672AD78" w14:textId="77777777" w:rsidR="000A2C0C" w:rsidRDefault="000A2C0C" w:rsidP="000A2C0C">
      <w:pPr>
        <w:pStyle w:val="IOP-CS-SectionHead"/>
        <w:numPr>
          <w:ilvl w:val="0"/>
          <w:numId w:val="2"/>
        </w:numPr>
        <w:spacing w:before="0" w:after="0"/>
        <w:ind w:left="360"/>
        <w:jc w:val="both"/>
        <w:rPr>
          <w:rFonts w:asciiTheme="minorBidi" w:hAnsiTheme="minorBidi"/>
          <w:b w:val="0"/>
          <w:bCs w:val="0"/>
        </w:rPr>
      </w:pPr>
      <w:r w:rsidRPr="000A2C0C">
        <w:rPr>
          <w:rFonts w:asciiTheme="minorBidi" w:hAnsiTheme="minorBidi"/>
          <w:b w:val="0"/>
          <w:bCs w:val="0"/>
          <w:lang w:val="en-IN"/>
        </w:rPr>
        <w:t>Patel, S., &amp; Mehra, A. (2021). Advances in solar photovoltaic systems for urban integration.</w:t>
      </w:r>
      <w:r>
        <w:rPr>
          <w:rFonts w:asciiTheme="minorBidi" w:hAnsiTheme="minorBidi"/>
          <w:b w:val="0"/>
          <w:bCs w:val="0"/>
          <w:lang w:val="en-IN"/>
        </w:rPr>
        <w:t xml:space="preserve"> </w:t>
      </w:r>
      <w:r w:rsidRPr="000A2C0C">
        <w:rPr>
          <w:rFonts w:asciiTheme="minorBidi" w:hAnsiTheme="minorBidi"/>
          <w:b w:val="0"/>
          <w:bCs w:val="0"/>
          <w:i/>
          <w:iCs/>
          <w:lang w:val="en-IN"/>
        </w:rPr>
        <w:t>Journal of Clean Energy Research, 15</w:t>
      </w:r>
      <w:r w:rsidRPr="000A2C0C">
        <w:rPr>
          <w:rFonts w:asciiTheme="minorBidi" w:hAnsiTheme="minorBidi"/>
          <w:b w:val="0"/>
          <w:bCs w:val="0"/>
          <w:lang w:val="en-IN"/>
        </w:rPr>
        <w:t xml:space="preserve">(3), 245–258. </w:t>
      </w:r>
      <w:hyperlink r:id="rId15" w:tgtFrame="_new" w:history="1">
        <w:r w:rsidRPr="000A2C0C">
          <w:rPr>
            <w:rStyle w:val="Hyperlink"/>
            <w:rFonts w:asciiTheme="minorBidi" w:hAnsiTheme="minorBidi"/>
            <w:b w:val="0"/>
            <w:bCs w:val="0"/>
            <w:lang w:val="en-IN"/>
          </w:rPr>
          <w:t>https://doi.org/10.1016/j.jcer.2021.05.004</w:t>
        </w:r>
      </w:hyperlink>
    </w:p>
    <w:p w14:paraId="6AF53130" w14:textId="77777777" w:rsidR="000A2C0C" w:rsidRDefault="000A2C0C" w:rsidP="000A2C0C">
      <w:pPr>
        <w:pStyle w:val="IOP-CS-SectionHead"/>
        <w:numPr>
          <w:ilvl w:val="0"/>
          <w:numId w:val="2"/>
        </w:numPr>
        <w:spacing w:before="0" w:after="0"/>
        <w:ind w:left="360"/>
        <w:jc w:val="both"/>
        <w:rPr>
          <w:rFonts w:asciiTheme="minorBidi" w:hAnsiTheme="minorBidi"/>
          <w:b w:val="0"/>
          <w:bCs w:val="0"/>
          <w:lang w:val="en-IN"/>
        </w:rPr>
      </w:pPr>
      <w:r w:rsidRPr="000A2C0C">
        <w:rPr>
          <w:rFonts w:asciiTheme="minorBidi" w:hAnsiTheme="minorBidi"/>
          <w:b w:val="0"/>
          <w:bCs w:val="0"/>
          <w:lang w:val="en-IN"/>
        </w:rPr>
        <w:t xml:space="preserve">Smith, J. A., &amp; Brown, R. K. (2020). </w:t>
      </w:r>
      <w:r w:rsidRPr="000A2C0C">
        <w:rPr>
          <w:rFonts w:asciiTheme="minorBidi" w:hAnsiTheme="minorBidi"/>
          <w:b w:val="0"/>
          <w:bCs w:val="0"/>
          <w:i/>
          <w:iCs/>
          <w:lang w:val="en-IN"/>
        </w:rPr>
        <w:t>Renewable energy technologies: Principles and applications</w:t>
      </w:r>
      <w:r w:rsidRPr="000A2C0C">
        <w:rPr>
          <w:rFonts w:asciiTheme="minorBidi" w:hAnsiTheme="minorBidi"/>
          <w:b w:val="0"/>
          <w:bCs w:val="0"/>
          <w:lang w:val="en-IN"/>
        </w:rPr>
        <w:t>. Springer.</w:t>
      </w:r>
    </w:p>
    <w:p w14:paraId="34858B11" w14:textId="77777777" w:rsidR="000A2C0C" w:rsidRDefault="000A2C0C" w:rsidP="000A2C0C">
      <w:pPr>
        <w:pStyle w:val="IOP-CS-SectionHead"/>
        <w:numPr>
          <w:ilvl w:val="0"/>
          <w:numId w:val="2"/>
        </w:numPr>
        <w:spacing w:before="0" w:after="0"/>
        <w:ind w:left="360"/>
        <w:jc w:val="both"/>
        <w:rPr>
          <w:rFonts w:asciiTheme="minorBidi" w:hAnsiTheme="minorBidi"/>
          <w:b w:val="0"/>
          <w:bCs w:val="0"/>
          <w:lang w:val="en-IN"/>
        </w:rPr>
      </w:pPr>
      <w:r w:rsidRPr="000A2C0C">
        <w:rPr>
          <w:rFonts w:asciiTheme="minorBidi" w:hAnsiTheme="minorBidi"/>
          <w:b w:val="0"/>
          <w:bCs w:val="0"/>
          <w:lang w:val="en-IN"/>
        </w:rPr>
        <w:t xml:space="preserve">Williams, R. (2017). </w:t>
      </w:r>
      <w:r w:rsidRPr="000A2C0C">
        <w:rPr>
          <w:rFonts w:asciiTheme="minorBidi" w:hAnsiTheme="minorBidi"/>
          <w:b w:val="0"/>
          <w:bCs w:val="0"/>
          <w:i/>
          <w:iCs/>
          <w:lang w:val="en-IN"/>
        </w:rPr>
        <w:t>Life cycle assessment of offshore wind farms</w:t>
      </w:r>
      <w:r w:rsidRPr="000A2C0C">
        <w:rPr>
          <w:rFonts w:asciiTheme="minorBidi" w:hAnsiTheme="minorBidi"/>
          <w:b w:val="0"/>
          <w:bCs w:val="0"/>
          <w:lang w:val="en-IN"/>
        </w:rPr>
        <w:t xml:space="preserve"> (Master’s thesis, University of Southampton). University of Southampton Repository.</w:t>
      </w:r>
    </w:p>
    <w:p w14:paraId="73DF8762" w14:textId="77777777" w:rsidR="000A2C0C" w:rsidRDefault="000A2C0C" w:rsidP="000A2C0C">
      <w:pPr>
        <w:pStyle w:val="IOP-CS-SectionHead"/>
        <w:numPr>
          <w:ilvl w:val="0"/>
          <w:numId w:val="2"/>
        </w:numPr>
        <w:spacing w:before="0" w:after="0"/>
        <w:ind w:left="360"/>
        <w:jc w:val="both"/>
        <w:rPr>
          <w:rFonts w:asciiTheme="minorBidi" w:hAnsiTheme="minorBidi"/>
          <w:b w:val="0"/>
          <w:bCs w:val="0"/>
        </w:rPr>
      </w:pPr>
      <w:r w:rsidRPr="000A2C0C">
        <w:rPr>
          <w:rFonts w:asciiTheme="minorBidi" w:hAnsiTheme="minorBidi"/>
          <w:b w:val="0"/>
          <w:bCs w:val="0"/>
          <w:lang w:val="en-IN"/>
        </w:rPr>
        <w:lastRenderedPageBreak/>
        <w:t xml:space="preserve">World Health Organization. (2022, November 7). </w:t>
      </w:r>
      <w:r w:rsidRPr="000A2C0C">
        <w:rPr>
          <w:rFonts w:asciiTheme="minorBidi" w:hAnsiTheme="minorBidi"/>
          <w:b w:val="0"/>
          <w:bCs w:val="0"/>
          <w:i/>
          <w:iCs/>
          <w:lang w:val="en-IN"/>
        </w:rPr>
        <w:t>Air pollution and health</w:t>
      </w:r>
      <w:r w:rsidRPr="000A2C0C">
        <w:rPr>
          <w:rFonts w:asciiTheme="minorBidi" w:hAnsiTheme="minorBidi"/>
          <w:b w:val="0"/>
          <w:bCs w:val="0"/>
          <w:lang w:val="en-IN"/>
        </w:rPr>
        <w:t xml:space="preserve">. </w:t>
      </w:r>
      <w:hyperlink r:id="rId16" w:tgtFrame="_new" w:history="1">
        <w:r w:rsidRPr="000A2C0C">
          <w:rPr>
            <w:rStyle w:val="Hyperlink"/>
            <w:rFonts w:asciiTheme="minorBidi" w:hAnsiTheme="minorBidi"/>
            <w:b w:val="0"/>
            <w:bCs w:val="0"/>
            <w:lang w:val="en-IN"/>
          </w:rPr>
          <w:t>https://www.who.int/news-room/fact-sheets/detail/air-pollution</w:t>
        </w:r>
      </w:hyperlink>
    </w:p>
    <w:p w14:paraId="51ECA9D7" w14:textId="77777777" w:rsidR="000A2C0C" w:rsidRDefault="000A2C0C" w:rsidP="000A2C0C">
      <w:pPr>
        <w:pStyle w:val="IOP-CS-SectionHead"/>
        <w:numPr>
          <w:ilvl w:val="0"/>
          <w:numId w:val="2"/>
        </w:numPr>
        <w:spacing w:before="0" w:after="0"/>
        <w:ind w:left="360"/>
        <w:jc w:val="both"/>
        <w:rPr>
          <w:rFonts w:asciiTheme="minorBidi" w:hAnsiTheme="minorBidi"/>
          <w:b w:val="0"/>
          <w:bCs w:val="0"/>
        </w:rPr>
      </w:pPr>
      <w:r w:rsidRPr="000A2C0C">
        <w:rPr>
          <w:rFonts w:asciiTheme="minorBidi" w:hAnsiTheme="minorBidi"/>
          <w:b w:val="0"/>
          <w:bCs w:val="0"/>
          <w:lang w:val="en-IN"/>
        </w:rPr>
        <w:t xml:space="preserve">United Nations Environment Programme. (2022). </w:t>
      </w:r>
      <w:r w:rsidRPr="000A2C0C">
        <w:rPr>
          <w:rFonts w:asciiTheme="minorBidi" w:hAnsiTheme="minorBidi"/>
          <w:b w:val="0"/>
          <w:bCs w:val="0"/>
          <w:i/>
          <w:iCs/>
          <w:lang w:val="en-IN"/>
        </w:rPr>
        <w:t>Emissions gap report 2022</w:t>
      </w:r>
      <w:r w:rsidRPr="000A2C0C">
        <w:rPr>
          <w:rFonts w:asciiTheme="minorBidi" w:hAnsiTheme="minorBidi"/>
          <w:b w:val="0"/>
          <w:bCs w:val="0"/>
          <w:lang w:val="en-IN"/>
        </w:rPr>
        <w:t xml:space="preserve">. United Nations. </w:t>
      </w:r>
      <w:hyperlink r:id="rId17" w:tgtFrame="_new" w:history="1">
        <w:r w:rsidRPr="000A2C0C">
          <w:rPr>
            <w:rStyle w:val="Hyperlink"/>
            <w:rFonts w:asciiTheme="minorBidi" w:hAnsiTheme="minorBidi"/>
            <w:b w:val="0"/>
            <w:bCs w:val="0"/>
            <w:lang w:val="en-IN"/>
          </w:rPr>
          <w:t>https://www.unep.org/emissions-gap</w:t>
        </w:r>
      </w:hyperlink>
    </w:p>
    <w:p w14:paraId="5A4E648E" w14:textId="77777777" w:rsidR="000A2C0C" w:rsidRDefault="000A2C0C" w:rsidP="000A2C0C">
      <w:pPr>
        <w:pStyle w:val="IOP-CS-SectionHead"/>
        <w:numPr>
          <w:ilvl w:val="0"/>
          <w:numId w:val="2"/>
        </w:numPr>
        <w:spacing w:before="0" w:after="0"/>
        <w:ind w:left="360"/>
        <w:jc w:val="both"/>
        <w:rPr>
          <w:rFonts w:asciiTheme="minorBidi" w:hAnsiTheme="minorBidi"/>
          <w:b w:val="0"/>
          <w:bCs w:val="0"/>
        </w:rPr>
      </w:pPr>
      <w:r w:rsidRPr="000A2C0C">
        <w:rPr>
          <w:rFonts w:asciiTheme="minorBidi" w:hAnsiTheme="minorBidi"/>
          <w:b w:val="0"/>
          <w:bCs w:val="0"/>
          <w:lang w:val="en-IN"/>
        </w:rPr>
        <w:t xml:space="preserve">Zhao, L., &amp; Singh, V. (2022). Wind power variability and grid reliability in Asia. </w:t>
      </w:r>
      <w:r w:rsidRPr="000A2C0C">
        <w:rPr>
          <w:rFonts w:asciiTheme="minorBidi" w:hAnsiTheme="minorBidi"/>
          <w:b w:val="0"/>
          <w:bCs w:val="0"/>
          <w:i/>
          <w:iCs/>
          <w:lang w:val="en-IN"/>
        </w:rPr>
        <w:t>Energy Policy, 162,</w:t>
      </w:r>
      <w:r w:rsidRPr="000A2C0C">
        <w:rPr>
          <w:rFonts w:asciiTheme="minorBidi" w:hAnsiTheme="minorBidi"/>
          <w:b w:val="0"/>
          <w:bCs w:val="0"/>
          <w:lang w:val="en-IN"/>
        </w:rPr>
        <w:t xml:space="preserve"> 112–124. </w:t>
      </w:r>
      <w:hyperlink r:id="rId18" w:tgtFrame="_new" w:history="1">
        <w:r w:rsidRPr="000A2C0C">
          <w:rPr>
            <w:rStyle w:val="Hyperlink"/>
            <w:rFonts w:asciiTheme="minorBidi" w:hAnsiTheme="minorBidi"/>
            <w:b w:val="0"/>
            <w:bCs w:val="0"/>
            <w:lang w:val="en-IN"/>
          </w:rPr>
          <w:t>https://doi.org/10.1016/j.enpol.2021.112345</w:t>
        </w:r>
      </w:hyperlink>
    </w:p>
    <w:p w14:paraId="75C31DAB" w14:textId="26B4CF67" w:rsidR="000A2C0C" w:rsidRPr="000A2C0C" w:rsidRDefault="000A2C0C" w:rsidP="000A2C0C">
      <w:pPr>
        <w:pStyle w:val="IOP-CS-SectionHead"/>
        <w:numPr>
          <w:ilvl w:val="0"/>
          <w:numId w:val="2"/>
        </w:numPr>
        <w:spacing w:before="0" w:after="0"/>
        <w:ind w:left="360"/>
        <w:jc w:val="both"/>
        <w:rPr>
          <w:rFonts w:asciiTheme="minorBidi" w:hAnsiTheme="minorBidi"/>
          <w:b w:val="0"/>
          <w:bCs w:val="0"/>
          <w:lang w:val="en-IN"/>
        </w:rPr>
      </w:pPr>
      <w:r w:rsidRPr="000A2C0C">
        <w:rPr>
          <w:rFonts w:asciiTheme="minorBidi" w:hAnsiTheme="minorBidi"/>
          <w:b w:val="0"/>
          <w:bCs w:val="0"/>
          <w:lang w:val="en-IN"/>
        </w:rPr>
        <w:t xml:space="preserve">Zhao, Y., &amp; Li, H. (2021). Modelling pollutant dispersion using Gaussian plume models. </w:t>
      </w:r>
      <w:r w:rsidRPr="000A2C0C">
        <w:rPr>
          <w:rFonts w:asciiTheme="minorBidi" w:hAnsiTheme="minorBidi"/>
          <w:b w:val="0"/>
          <w:bCs w:val="0"/>
          <w:i/>
          <w:iCs/>
          <w:lang w:val="en-IN"/>
        </w:rPr>
        <w:t>Atmospheric Environment, 250,</w:t>
      </w:r>
      <w:r w:rsidRPr="000A2C0C">
        <w:rPr>
          <w:rFonts w:asciiTheme="minorBidi" w:hAnsiTheme="minorBidi"/>
          <w:b w:val="0"/>
          <w:bCs w:val="0"/>
          <w:lang w:val="en-IN"/>
        </w:rPr>
        <w:t xml:space="preserve"> 118–130. </w:t>
      </w:r>
      <w:hyperlink r:id="rId19" w:tgtFrame="_new" w:history="1">
        <w:r w:rsidRPr="000A2C0C">
          <w:rPr>
            <w:rStyle w:val="Hyperlink"/>
            <w:rFonts w:asciiTheme="minorBidi" w:hAnsiTheme="minorBidi"/>
            <w:b w:val="0"/>
            <w:bCs w:val="0"/>
            <w:lang w:val="en-IN"/>
          </w:rPr>
          <w:t>https://doi.org/10.1016/j.atmosenv.2021.118130</w:t>
        </w:r>
      </w:hyperlink>
    </w:p>
    <w:p w14:paraId="29348017" w14:textId="2A0A9B53" w:rsidR="00E40D18" w:rsidRPr="000A2C0C" w:rsidRDefault="00E40D18" w:rsidP="00E40D18">
      <w:pPr>
        <w:pStyle w:val="IOP-CS-BodyText"/>
        <w:rPr>
          <w:rFonts w:asciiTheme="minorBidi" w:hAnsiTheme="minorBidi"/>
        </w:rPr>
      </w:pPr>
      <w:r w:rsidRPr="000A2C0C">
        <w:rPr>
          <w:rFonts w:asciiTheme="minorBidi" w:hAnsiTheme="minorBidi"/>
        </w:rPr>
        <w:t xml:space="preserve">The guidelines for the including the paper in the reference list are as follows: </w:t>
      </w:r>
    </w:p>
    <w:p w14:paraId="4AC6593B" w14:textId="77777777" w:rsidR="00B4564C" w:rsidRDefault="00B4564C" w:rsidP="00B4564C">
      <w:pPr>
        <w:pStyle w:val="IOP-CS-BodyNoIndent"/>
        <w:rPr>
          <w:rFonts w:asciiTheme="minorBidi" w:hAnsiTheme="minorBidi"/>
          <w:lang w:val="en-IN"/>
        </w:rPr>
      </w:pPr>
      <w:r w:rsidRPr="00B4564C">
        <w:rPr>
          <w:rFonts w:asciiTheme="minorBidi" w:hAnsiTheme="minorBidi"/>
          <w:b/>
          <w:bCs/>
          <w:lang w:val="en-IN"/>
        </w:rPr>
        <w:t>Books:</w:t>
      </w:r>
      <w:r w:rsidRPr="00B4564C">
        <w:rPr>
          <w:rFonts w:asciiTheme="minorBidi" w:hAnsiTheme="minorBidi"/>
          <w:lang w:val="en-IN"/>
        </w:rPr>
        <w:br/>
        <w:t xml:space="preserve">Smith, J. A., &amp; Brown, R. K. (2020). </w:t>
      </w:r>
      <w:r w:rsidRPr="00B4564C">
        <w:rPr>
          <w:rFonts w:asciiTheme="minorBidi" w:hAnsiTheme="minorBidi"/>
          <w:i/>
          <w:iCs/>
          <w:lang w:val="en-IN"/>
        </w:rPr>
        <w:t>Renewable energy technologies: Principles and applications</w:t>
      </w:r>
      <w:r w:rsidRPr="00B4564C">
        <w:rPr>
          <w:rFonts w:asciiTheme="minorBidi" w:hAnsiTheme="minorBidi"/>
          <w:lang w:val="en-IN"/>
        </w:rPr>
        <w:t>. Springer.</w:t>
      </w:r>
    </w:p>
    <w:p w14:paraId="4C649D61" w14:textId="77777777" w:rsidR="00B4564C" w:rsidRDefault="00B4564C" w:rsidP="00B4564C">
      <w:pPr>
        <w:pStyle w:val="IOP-CS-BodyNoIndent"/>
        <w:rPr>
          <w:rFonts w:asciiTheme="minorBidi" w:hAnsiTheme="minorBidi"/>
          <w:lang w:val="en-IN"/>
        </w:rPr>
      </w:pPr>
      <w:r w:rsidRPr="00B4564C">
        <w:rPr>
          <w:rFonts w:asciiTheme="minorBidi" w:hAnsiTheme="minorBidi"/>
          <w:lang w:val="en-IN"/>
        </w:rPr>
        <w:t xml:space="preserve">Murphy, T. (2018). </w:t>
      </w:r>
      <w:r w:rsidRPr="00B4564C">
        <w:rPr>
          <w:rFonts w:asciiTheme="minorBidi" w:hAnsiTheme="minorBidi"/>
          <w:i/>
          <w:iCs/>
          <w:lang w:val="en-IN"/>
        </w:rPr>
        <w:t>Environmental management: Concepts and strategies</w:t>
      </w:r>
      <w:r w:rsidRPr="00B4564C">
        <w:rPr>
          <w:rFonts w:asciiTheme="minorBidi" w:hAnsiTheme="minorBidi"/>
          <w:lang w:val="en-IN"/>
        </w:rPr>
        <w:t>. Routledge.</w:t>
      </w:r>
    </w:p>
    <w:p w14:paraId="51532344" w14:textId="77777777" w:rsidR="00B4564C" w:rsidRDefault="00B4564C" w:rsidP="00B4564C">
      <w:pPr>
        <w:pStyle w:val="IOP-CS-BodyNoIndent"/>
        <w:rPr>
          <w:rFonts w:asciiTheme="minorBidi" w:hAnsiTheme="minorBidi"/>
          <w:lang w:val="en-IN"/>
        </w:rPr>
      </w:pPr>
      <w:r w:rsidRPr="00B4564C">
        <w:rPr>
          <w:rFonts w:asciiTheme="minorBidi" w:hAnsiTheme="minorBidi"/>
          <w:b/>
          <w:bCs/>
          <w:lang w:val="en-IN"/>
        </w:rPr>
        <w:t>Journal articles:</w:t>
      </w:r>
    </w:p>
    <w:p w14:paraId="293FD679" w14:textId="08A2C416" w:rsidR="00B4564C" w:rsidRDefault="00B4564C" w:rsidP="00B4564C">
      <w:pPr>
        <w:pStyle w:val="IOP-CS-BodyNoIndent"/>
        <w:rPr>
          <w:rFonts w:asciiTheme="minorBidi" w:hAnsiTheme="minorBidi"/>
          <w:lang w:val="en-IN"/>
        </w:rPr>
      </w:pPr>
      <w:r w:rsidRPr="00B4564C">
        <w:rPr>
          <w:rFonts w:asciiTheme="minorBidi" w:hAnsiTheme="minorBidi"/>
          <w:lang w:val="en-IN"/>
        </w:rPr>
        <w:t xml:space="preserve">Patel, S., &amp; Mehra, A. (2021). Advances in solar photovoltaic systems for urban integration. </w:t>
      </w:r>
      <w:r w:rsidRPr="00B4564C">
        <w:rPr>
          <w:rFonts w:asciiTheme="minorBidi" w:hAnsiTheme="minorBidi"/>
          <w:i/>
          <w:iCs/>
          <w:lang w:val="en-IN"/>
        </w:rPr>
        <w:t>Journal of Clean Energy Research, 15</w:t>
      </w:r>
      <w:r w:rsidRPr="00B4564C">
        <w:rPr>
          <w:rFonts w:asciiTheme="minorBidi" w:hAnsiTheme="minorBidi"/>
          <w:lang w:val="en-IN"/>
        </w:rPr>
        <w:t>(3), 245–258. https://doi.org/10.1016/j.jcer.2021.05.004</w:t>
      </w:r>
      <w:r w:rsidRPr="00B4564C">
        <w:rPr>
          <w:rFonts w:asciiTheme="minorBidi" w:hAnsiTheme="minorBidi"/>
          <w:lang w:val="en-IN"/>
        </w:rPr>
        <w:br/>
        <w:t xml:space="preserve">Zhao, L., &amp; Singh, V. (2022). Wind power variability and grid reliability in Asia. </w:t>
      </w:r>
      <w:r w:rsidRPr="00B4564C">
        <w:rPr>
          <w:rFonts w:asciiTheme="minorBidi" w:hAnsiTheme="minorBidi"/>
          <w:i/>
          <w:iCs/>
          <w:lang w:val="en-IN"/>
        </w:rPr>
        <w:t>Energy Policy, 162,</w:t>
      </w:r>
      <w:r w:rsidRPr="00B4564C">
        <w:rPr>
          <w:rFonts w:asciiTheme="minorBidi" w:hAnsiTheme="minorBidi"/>
          <w:lang w:val="en-IN"/>
        </w:rPr>
        <w:t xml:space="preserve"> 112–124. </w:t>
      </w:r>
      <w:hyperlink r:id="rId20" w:history="1">
        <w:r w:rsidRPr="00B4564C">
          <w:rPr>
            <w:rStyle w:val="Hyperlink"/>
            <w:rFonts w:asciiTheme="minorBidi" w:hAnsiTheme="minorBidi"/>
            <w:lang w:val="en-IN"/>
          </w:rPr>
          <w:t>https://doi.org/10.1016/j.enpol.2021.112345</w:t>
        </w:r>
      </w:hyperlink>
    </w:p>
    <w:p w14:paraId="6966DAC8" w14:textId="77777777" w:rsidR="00B4564C" w:rsidRDefault="00B4564C" w:rsidP="00B4564C">
      <w:pPr>
        <w:pStyle w:val="IOP-CS-BodyNoIndent"/>
        <w:rPr>
          <w:rFonts w:asciiTheme="minorBidi" w:hAnsiTheme="minorBidi"/>
          <w:lang w:val="en-IN"/>
        </w:rPr>
      </w:pPr>
      <w:r w:rsidRPr="00B4564C">
        <w:rPr>
          <w:rFonts w:asciiTheme="minorBidi" w:hAnsiTheme="minorBidi"/>
          <w:b/>
          <w:bCs/>
          <w:lang w:val="en-IN"/>
        </w:rPr>
        <w:t>Conference papers:</w:t>
      </w:r>
    </w:p>
    <w:p w14:paraId="4CA0C85E" w14:textId="77777777" w:rsidR="00B4564C" w:rsidRDefault="00B4564C" w:rsidP="00B4564C">
      <w:pPr>
        <w:pStyle w:val="IOP-CS-BodyNoIndent"/>
        <w:rPr>
          <w:rFonts w:asciiTheme="minorBidi" w:hAnsiTheme="minorBidi"/>
          <w:lang w:val="en-IN"/>
        </w:rPr>
      </w:pPr>
      <w:r w:rsidRPr="00B4564C">
        <w:rPr>
          <w:rFonts w:asciiTheme="minorBidi" w:hAnsiTheme="minorBidi"/>
          <w:lang w:val="en-IN"/>
        </w:rPr>
        <w:t xml:space="preserve">Chen, L., &amp; Kumar, P. (2019). Smart grid integration of wind energy systems. In </w:t>
      </w:r>
      <w:r w:rsidRPr="00B4564C">
        <w:rPr>
          <w:rFonts w:asciiTheme="minorBidi" w:hAnsiTheme="minorBidi"/>
          <w:i/>
          <w:iCs/>
          <w:lang w:val="en-IN"/>
        </w:rPr>
        <w:t>Proceedings of the 2019 International Conference on Sustainable Power Systems</w:t>
      </w:r>
      <w:r w:rsidRPr="00B4564C">
        <w:rPr>
          <w:rFonts w:asciiTheme="minorBidi" w:hAnsiTheme="minorBidi"/>
          <w:lang w:val="en-IN"/>
        </w:rPr>
        <w:t xml:space="preserve"> (pp. 110–118). IEEE. https://doi.org/10.1109/ICSPower.2019.123456</w:t>
      </w:r>
      <w:r w:rsidRPr="00B4564C">
        <w:rPr>
          <w:rFonts w:asciiTheme="minorBidi" w:hAnsiTheme="minorBidi"/>
          <w:lang w:val="en-IN"/>
        </w:rPr>
        <w:br/>
        <w:t xml:space="preserve">Hernandez, M., &amp; Rao, S. (2020). Advances in biomass gasification for rural electrification. In </w:t>
      </w:r>
      <w:r w:rsidRPr="00B4564C">
        <w:rPr>
          <w:rFonts w:asciiTheme="minorBidi" w:hAnsiTheme="minorBidi"/>
          <w:i/>
          <w:iCs/>
          <w:lang w:val="en-IN"/>
        </w:rPr>
        <w:t>Proceedings of the 2020 World Renewable Energy Congress</w:t>
      </w:r>
      <w:r w:rsidRPr="00B4564C">
        <w:rPr>
          <w:rFonts w:asciiTheme="minorBidi" w:hAnsiTheme="minorBidi"/>
          <w:lang w:val="en-IN"/>
        </w:rPr>
        <w:t xml:space="preserve"> (pp. 210–218). Elsevier.</w:t>
      </w:r>
    </w:p>
    <w:p w14:paraId="04ABEA50" w14:textId="77777777" w:rsidR="00B4564C" w:rsidRDefault="00B4564C" w:rsidP="00B4564C">
      <w:pPr>
        <w:pStyle w:val="IOP-CS-BodyNoIndent"/>
        <w:rPr>
          <w:rFonts w:asciiTheme="minorBidi" w:hAnsiTheme="minorBidi"/>
          <w:lang w:val="en-IN"/>
        </w:rPr>
      </w:pPr>
      <w:r w:rsidRPr="00B4564C">
        <w:rPr>
          <w:rFonts w:asciiTheme="minorBidi" w:hAnsiTheme="minorBidi"/>
          <w:b/>
          <w:bCs/>
          <w:lang w:val="en-IN"/>
        </w:rPr>
        <w:t>Webpages:</w:t>
      </w:r>
    </w:p>
    <w:p w14:paraId="7C322A13" w14:textId="77777777" w:rsidR="00B4564C" w:rsidRDefault="00B4564C" w:rsidP="00B4564C">
      <w:pPr>
        <w:pStyle w:val="IOP-CS-BodyNoIndent"/>
        <w:rPr>
          <w:rFonts w:asciiTheme="minorBidi" w:hAnsiTheme="minorBidi"/>
          <w:lang w:val="en-IN"/>
        </w:rPr>
      </w:pPr>
      <w:r w:rsidRPr="00B4564C">
        <w:rPr>
          <w:rFonts w:asciiTheme="minorBidi" w:hAnsiTheme="minorBidi"/>
          <w:lang w:val="en-IN"/>
        </w:rPr>
        <w:t xml:space="preserve">International Energy Agency. (2023, March 15). </w:t>
      </w:r>
      <w:r w:rsidRPr="00B4564C">
        <w:rPr>
          <w:rFonts w:asciiTheme="minorBidi" w:hAnsiTheme="minorBidi"/>
          <w:i/>
          <w:iCs/>
          <w:lang w:val="en-IN"/>
        </w:rPr>
        <w:t>Global energy review 2023</w:t>
      </w:r>
      <w:r w:rsidRPr="00B4564C">
        <w:rPr>
          <w:rFonts w:asciiTheme="minorBidi" w:hAnsiTheme="minorBidi"/>
          <w:lang w:val="en-IN"/>
        </w:rPr>
        <w:t>. https://www.iea.org/reports/global-energy-review-2023</w:t>
      </w:r>
      <w:r w:rsidRPr="00B4564C">
        <w:rPr>
          <w:rFonts w:asciiTheme="minorBidi" w:hAnsiTheme="minorBidi"/>
          <w:lang w:val="en-IN"/>
        </w:rPr>
        <w:br/>
        <w:t xml:space="preserve">World Health Organization. (2022, November 7). </w:t>
      </w:r>
      <w:r w:rsidRPr="00B4564C">
        <w:rPr>
          <w:rFonts w:asciiTheme="minorBidi" w:hAnsiTheme="minorBidi"/>
          <w:i/>
          <w:iCs/>
          <w:lang w:val="en-IN"/>
        </w:rPr>
        <w:t>Air pollution and health</w:t>
      </w:r>
      <w:r w:rsidRPr="00B4564C">
        <w:rPr>
          <w:rFonts w:asciiTheme="minorBidi" w:hAnsiTheme="minorBidi"/>
          <w:lang w:val="en-IN"/>
        </w:rPr>
        <w:t xml:space="preserve">. </w:t>
      </w:r>
      <w:hyperlink r:id="rId21" w:tgtFrame="_new" w:history="1">
        <w:r w:rsidRPr="00B4564C">
          <w:rPr>
            <w:rStyle w:val="Hyperlink"/>
            <w:rFonts w:asciiTheme="minorBidi" w:hAnsiTheme="minorBidi"/>
            <w:lang w:val="en-IN"/>
          </w:rPr>
          <w:t>https://www.who.int/news-room/fact-sheets/detail/air-pollution</w:t>
        </w:r>
      </w:hyperlink>
    </w:p>
    <w:p w14:paraId="3618D730" w14:textId="77777777" w:rsidR="00B4564C" w:rsidRDefault="00B4564C" w:rsidP="00B4564C">
      <w:pPr>
        <w:pStyle w:val="IOP-CS-BodyNoIndent"/>
        <w:rPr>
          <w:rFonts w:asciiTheme="minorBidi" w:hAnsiTheme="minorBidi"/>
          <w:lang w:val="en-IN"/>
        </w:rPr>
      </w:pPr>
      <w:r w:rsidRPr="00B4564C">
        <w:rPr>
          <w:rFonts w:asciiTheme="minorBidi" w:hAnsiTheme="minorBidi"/>
          <w:b/>
          <w:bCs/>
          <w:lang w:val="en-IN"/>
        </w:rPr>
        <w:t>Reports / Government publications:</w:t>
      </w:r>
    </w:p>
    <w:p w14:paraId="583A08A6" w14:textId="77777777" w:rsidR="00B4564C" w:rsidRDefault="00B4564C" w:rsidP="00B4564C">
      <w:pPr>
        <w:pStyle w:val="IOP-CS-BodyNoIndent"/>
        <w:rPr>
          <w:rFonts w:asciiTheme="minorBidi" w:hAnsiTheme="minorBidi"/>
          <w:lang w:val="en-IN"/>
        </w:rPr>
      </w:pPr>
      <w:r w:rsidRPr="00B4564C">
        <w:rPr>
          <w:rFonts w:asciiTheme="minorBidi" w:hAnsiTheme="minorBidi"/>
          <w:lang w:val="en-IN"/>
        </w:rPr>
        <w:t xml:space="preserve">United Nations Environment Programme. (2022). </w:t>
      </w:r>
      <w:r w:rsidRPr="00B4564C">
        <w:rPr>
          <w:rFonts w:asciiTheme="minorBidi" w:hAnsiTheme="minorBidi"/>
          <w:i/>
          <w:iCs/>
          <w:lang w:val="en-IN"/>
        </w:rPr>
        <w:t>Emissions gap report 2022</w:t>
      </w:r>
      <w:r w:rsidRPr="00B4564C">
        <w:rPr>
          <w:rFonts w:asciiTheme="minorBidi" w:hAnsiTheme="minorBidi"/>
          <w:lang w:val="en-IN"/>
        </w:rPr>
        <w:t>. United Nations. https://www.unep.org/emissions-gap</w:t>
      </w:r>
      <w:r w:rsidRPr="00B4564C">
        <w:rPr>
          <w:rFonts w:asciiTheme="minorBidi" w:hAnsiTheme="minorBidi"/>
          <w:lang w:val="en-IN"/>
        </w:rPr>
        <w:br/>
        <w:t xml:space="preserve">Ministry of New and Renewable Energy. (2021). </w:t>
      </w:r>
      <w:r w:rsidRPr="00B4564C">
        <w:rPr>
          <w:rFonts w:asciiTheme="minorBidi" w:hAnsiTheme="minorBidi"/>
          <w:i/>
          <w:iCs/>
          <w:lang w:val="en-IN"/>
        </w:rPr>
        <w:t>Annual report 2020–21</w:t>
      </w:r>
      <w:r w:rsidRPr="00B4564C">
        <w:rPr>
          <w:rFonts w:asciiTheme="minorBidi" w:hAnsiTheme="minorBidi"/>
          <w:lang w:val="en-IN"/>
        </w:rPr>
        <w:t>. Government of India.</w:t>
      </w:r>
    </w:p>
    <w:p w14:paraId="4FF02F28" w14:textId="77777777" w:rsidR="00B4564C" w:rsidRDefault="00B4564C" w:rsidP="00B4564C">
      <w:pPr>
        <w:pStyle w:val="IOP-CS-BodyNoIndent"/>
        <w:rPr>
          <w:rFonts w:asciiTheme="minorBidi" w:hAnsiTheme="minorBidi"/>
          <w:lang w:val="en-IN"/>
        </w:rPr>
      </w:pPr>
      <w:r w:rsidRPr="00B4564C">
        <w:rPr>
          <w:rFonts w:asciiTheme="minorBidi" w:hAnsiTheme="minorBidi"/>
          <w:b/>
          <w:bCs/>
          <w:lang w:val="en-IN"/>
        </w:rPr>
        <w:t>Theses / Dissertations:</w:t>
      </w:r>
    </w:p>
    <w:p w14:paraId="6F61B78E" w14:textId="2B2545B6" w:rsidR="00B4564C" w:rsidRPr="00B4564C" w:rsidRDefault="00B4564C" w:rsidP="00B4564C">
      <w:pPr>
        <w:pStyle w:val="IOP-CS-BodyNoIndent"/>
        <w:rPr>
          <w:rFonts w:asciiTheme="minorBidi" w:hAnsiTheme="minorBidi"/>
          <w:lang w:val="en-IN"/>
        </w:rPr>
      </w:pPr>
      <w:r w:rsidRPr="00B4564C">
        <w:rPr>
          <w:rFonts w:asciiTheme="minorBidi" w:hAnsiTheme="minorBidi"/>
          <w:lang w:val="en-IN"/>
        </w:rPr>
        <w:t xml:space="preserve">Khan, T. (2018). </w:t>
      </w:r>
      <w:r w:rsidRPr="00B4564C">
        <w:rPr>
          <w:rFonts w:asciiTheme="minorBidi" w:hAnsiTheme="minorBidi"/>
          <w:i/>
          <w:iCs/>
          <w:lang w:val="en-IN"/>
        </w:rPr>
        <w:t>Optimization of hybrid renewable energy systems in rural areas</w:t>
      </w:r>
      <w:r w:rsidRPr="00B4564C">
        <w:rPr>
          <w:rFonts w:asciiTheme="minorBidi" w:hAnsiTheme="minorBidi"/>
          <w:lang w:val="en-IN"/>
        </w:rPr>
        <w:t xml:space="preserve"> (Doctoral dissertation, Indian Institute of Technology Delhi). ProQuest Dissertations and Theses.</w:t>
      </w:r>
      <w:r w:rsidRPr="00B4564C">
        <w:rPr>
          <w:rFonts w:asciiTheme="minorBidi" w:hAnsiTheme="minorBidi"/>
          <w:lang w:val="en-IN"/>
        </w:rPr>
        <w:br/>
        <w:t xml:space="preserve">Williams, R. (2017). </w:t>
      </w:r>
      <w:r w:rsidRPr="00B4564C">
        <w:rPr>
          <w:rFonts w:asciiTheme="minorBidi" w:hAnsiTheme="minorBidi"/>
          <w:i/>
          <w:iCs/>
          <w:lang w:val="en-IN"/>
        </w:rPr>
        <w:t>Life cycle assessment of offshore wind farms</w:t>
      </w:r>
      <w:r w:rsidRPr="00B4564C">
        <w:rPr>
          <w:rFonts w:asciiTheme="minorBidi" w:hAnsiTheme="minorBidi"/>
          <w:lang w:val="en-IN"/>
        </w:rPr>
        <w:t xml:space="preserve"> (Master’s thesis, University of Southampton). University of Southampton Repository.</w:t>
      </w:r>
    </w:p>
    <w:p w14:paraId="2DBCB269" w14:textId="77777777" w:rsidR="00E40D18" w:rsidRDefault="00B4564C" w:rsidP="00B4564C">
      <w:pPr>
        <w:pStyle w:val="IOP-CS-BodyNoIndent"/>
        <w:rPr>
          <w:rFonts w:asciiTheme="minorBidi" w:hAnsiTheme="minorBidi"/>
          <w:lang w:val="en-IN"/>
        </w:rPr>
      </w:pPr>
      <w:r w:rsidRPr="00B4564C">
        <w:rPr>
          <w:rFonts w:asciiTheme="minorBidi" w:hAnsiTheme="minorBidi"/>
          <w:b/>
          <w:bCs/>
          <w:lang w:val="en-IN"/>
        </w:rPr>
        <w:t>Book chapters:</w:t>
      </w:r>
    </w:p>
    <w:p w14:paraId="12CBC87C" w14:textId="5D1FF311" w:rsidR="00B4564C" w:rsidRPr="00B4564C" w:rsidRDefault="00B4564C" w:rsidP="00B4564C">
      <w:pPr>
        <w:pStyle w:val="IOP-CS-BodyNoIndent"/>
        <w:rPr>
          <w:rFonts w:asciiTheme="minorBidi" w:hAnsiTheme="minorBidi"/>
          <w:lang w:val="en-IN"/>
        </w:rPr>
      </w:pPr>
      <w:r w:rsidRPr="00B4564C">
        <w:rPr>
          <w:rFonts w:asciiTheme="minorBidi" w:hAnsiTheme="minorBidi"/>
          <w:lang w:val="en-IN"/>
        </w:rPr>
        <w:t xml:space="preserve">Garcia, P. (2017). Energy storage systems for smart grids. In L. Johnson (Ed.), </w:t>
      </w:r>
      <w:r w:rsidRPr="00B4564C">
        <w:rPr>
          <w:rFonts w:asciiTheme="minorBidi" w:hAnsiTheme="minorBidi"/>
          <w:i/>
          <w:iCs/>
          <w:lang w:val="en-IN"/>
        </w:rPr>
        <w:t>Emerging technologies in renewable energy</w:t>
      </w:r>
      <w:r w:rsidRPr="00B4564C">
        <w:rPr>
          <w:rFonts w:asciiTheme="minorBidi" w:hAnsiTheme="minorBidi"/>
          <w:lang w:val="en-IN"/>
        </w:rPr>
        <w:t xml:space="preserve"> (pp. 55–78). Elsevier.</w:t>
      </w:r>
      <w:r w:rsidRPr="00B4564C">
        <w:rPr>
          <w:rFonts w:asciiTheme="minorBidi" w:hAnsiTheme="minorBidi"/>
          <w:lang w:val="en-IN"/>
        </w:rPr>
        <w:br/>
        <w:t xml:space="preserve">Miller, D., &amp; Ahmed, K. (2019). Policy frameworks for clean energy adoption. In R. Patel (Ed.), </w:t>
      </w:r>
      <w:r w:rsidRPr="00B4564C">
        <w:rPr>
          <w:rFonts w:asciiTheme="minorBidi" w:hAnsiTheme="minorBidi"/>
          <w:i/>
          <w:iCs/>
          <w:lang w:val="en-IN"/>
        </w:rPr>
        <w:t>Sustainable energy transitions</w:t>
      </w:r>
      <w:r w:rsidRPr="00B4564C">
        <w:rPr>
          <w:rFonts w:asciiTheme="minorBidi" w:hAnsiTheme="minorBidi"/>
          <w:lang w:val="en-IN"/>
        </w:rPr>
        <w:t xml:space="preserve"> (pp. 120–140). Taylor &amp; Francis.</w:t>
      </w:r>
    </w:p>
    <w:p w14:paraId="7327080E" w14:textId="77777777" w:rsidR="00B4564C" w:rsidRPr="00B4564C" w:rsidRDefault="00B4564C" w:rsidP="00B4564C">
      <w:pPr>
        <w:pStyle w:val="IOP-CS-BodyNoIndent"/>
        <w:rPr>
          <w:rFonts w:asciiTheme="minorBidi" w:hAnsiTheme="minorBidi"/>
        </w:rPr>
      </w:pPr>
    </w:p>
    <w:sectPr w:rsidR="00B4564C" w:rsidRPr="00B4564C" w:rsidSect="00CB34FC">
      <w:pgSz w:w="11906" w:h="16838"/>
      <w:pgMar w:top="2268" w:right="1440" w:bottom="153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numPicBullet w:numPicBulletId="1">
    <w:pict>
      <v:rect id="_x0000_i1027" style="width:0;height:1.5pt" o:hralign="center" o:bullet="t" o:hrstd="t" o:hr="t" fillcolor="#a0a0a0" stroked="f"/>
    </w:pict>
  </w:numPicBullet>
  <w:abstractNum w:abstractNumId="0" w15:restartNumberingAfterBreak="0">
    <w:nsid w:val="18F64E66"/>
    <w:multiLevelType w:val="hybridMultilevel"/>
    <w:tmpl w:val="B02AB4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CA66B9"/>
    <w:multiLevelType w:val="hybridMultilevel"/>
    <w:tmpl w:val="0336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0995208">
    <w:abstractNumId w:val="1"/>
  </w:num>
  <w:num w:numId="2" w16cid:durableId="89890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FE"/>
    <w:rsid w:val="00030688"/>
    <w:rsid w:val="00045185"/>
    <w:rsid w:val="0005738C"/>
    <w:rsid w:val="00061A1F"/>
    <w:rsid w:val="00072390"/>
    <w:rsid w:val="00074515"/>
    <w:rsid w:val="000845DB"/>
    <w:rsid w:val="00090952"/>
    <w:rsid w:val="00097D6B"/>
    <w:rsid w:val="000A2C0C"/>
    <w:rsid w:val="000B2CE3"/>
    <w:rsid w:val="000F2B4D"/>
    <w:rsid w:val="000F3204"/>
    <w:rsid w:val="000F5271"/>
    <w:rsid w:val="0010112D"/>
    <w:rsid w:val="0011107A"/>
    <w:rsid w:val="0011132F"/>
    <w:rsid w:val="0013125F"/>
    <w:rsid w:val="00145E91"/>
    <w:rsid w:val="001A2DA8"/>
    <w:rsid w:val="001A4ADF"/>
    <w:rsid w:val="001B310A"/>
    <w:rsid w:val="001C0B6C"/>
    <w:rsid w:val="001F1038"/>
    <w:rsid w:val="00203EA9"/>
    <w:rsid w:val="002057E0"/>
    <w:rsid w:val="00207B84"/>
    <w:rsid w:val="00216EB7"/>
    <w:rsid w:val="0022201B"/>
    <w:rsid w:val="00247A7E"/>
    <w:rsid w:val="00272090"/>
    <w:rsid w:val="0028596A"/>
    <w:rsid w:val="002D0B1A"/>
    <w:rsid w:val="002D1705"/>
    <w:rsid w:val="002D566F"/>
    <w:rsid w:val="002E5544"/>
    <w:rsid w:val="003647B5"/>
    <w:rsid w:val="00397DEF"/>
    <w:rsid w:val="003B0331"/>
    <w:rsid w:val="003C5249"/>
    <w:rsid w:val="003C7B9D"/>
    <w:rsid w:val="003E0897"/>
    <w:rsid w:val="003E707E"/>
    <w:rsid w:val="003F7D67"/>
    <w:rsid w:val="00454FA9"/>
    <w:rsid w:val="0046685F"/>
    <w:rsid w:val="00480D6D"/>
    <w:rsid w:val="004860AF"/>
    <w:rsid w:val="004A2048"/>
    <w:rsid w:val="004B12DD"/>
    <w:rsid w:val="004B2068"/>
    <w:rsid w:val="004B7F0C"/>
    <w:rsid w:val="004C276D"/>
    <w:rsid w:val="004D1AAD"/>
    <w:rsid w:val="004D2D12"/>
    <w:rsid w:val="004D5A2D"/>
    <w:rsid w:val="004E065C"/>
    <w:rsid w:val="00507689"/>
    <w:rsid w:val="00510A4D"/>
    <w:rsid w:val="0053678D"/>
    <w:rsid w:val="005451D6"/>
    <w:rsid w:val="0055379B"/>
    <w:rsid w:val="005756C0"/>
    <w:rsid w:val="00584D88"/>
    <w:rsid w:val="00584FE5"/>
    <w:rsid w:val="0058710B"/>
    <w:rsid w:val="0059110E"/>
    <w:rsid w:val="00591353"/>
    <w:rsid w:val="00594B5D"/>
    <w:rsid w:val="005A1E35"/>
    <w:rsid w:val="005B27F5"/>
    <w:rsid w:val="005C75D8"/>
    <w:rsid w:val="005D48B5"/>
    <w:rsid w:val="005D53A8"/>
    <w:rsid w:val="005D6AE2"/>
    <w:rsid w:val="005E6843"/>
    <w:rsid w:val="0060651D"/>
    <w:rsid w:val="00613806"/>
    <w:rsid w:val="00616691"/>
    <w:rsid w:val="006246DF"/>
    <w:rsid w:val="00626EFA"/>
    <w:rsid w:val="00646B36"/>
    <w:rsid w:val="00657F67"/>
    <w:rsid w:val="00665585"/>
    <w:rsid w:val="0066754C"/>
    <w:rsid w:val="0067232B"/>
    <w:rsid w:val="00672C4B"/>
    <w:rsid w:val="00685572"/>
    <w:rsid w:val="00693D29"/>
    <w:rsid w:val="006A4784"/>
    <w:rsid w:val="006B3D2B"/>
    <w:rsid w:val="006B63A5"/>
    <w:rsid w:val="006E4AFF"/>
    <w:rsid w:val="007045B5"/>
    <w:rsid w:val="007071D1"/>
    <w:rsid w:val="00734E4D"/>
    <w:rsid w:val="00761682"/>
    <w:rsid w:val="00766D3E"/>
    <w:rsid w:val="00783DE2"/>
    <w:rsid w:val="007A09E1"/>
    <w:rsid w:val="007B56C8"/>
    <w:rsid w:val="007C23FC"/>
    <w:rsid w:val="007D69D9"/>
    <w:rsid w:val="007E773B"/>
    <w:rsid w:val="007F52A8"/>
    <w:rsid w:val="008034BD"/>
    <w:rsid w:val="008163F7"/>
    <w:rsid w:val="00820E84"/>
    <w:rsid w:val="00823C51"/>
    <w:rsid w:val="00825615"/>
    <w:rsid w:val="00827BB0"/>
    <w:rsid w:val="008323AC"/>
    <w:rsid w:val="00834AD7"/>
    <w:rsid w:val="00841070"/>
    <w:rsid w:val="008460F3"/>
    <w:rsid w:val="00847151"/>
    <w:rsid w:val="0085670B"/>
    <w:rsid w:val="00866277"/>
    <w:rsid w:val="00881E3E"/>
    <w:rsid w:val="00890A2C"/>
    <w:rsid w:val="008C7A1F"/>
    <w:rsid w:val="008D32F7"/>
    <w:rsid w:val="008E0B84"/>
    <w:rsid w:val="008F1E83"/>
    <w:rsid w:val="00923246"/>
    <w:rsid w:val="009371CA"/>
    <w:rsid w:val="00946414"/>
    <w:rsid w:val="00946713"/>
    <w:rsid w:val="009863B9"/>
    <w:rsid w:val="00995E1A"/>
    <w:rsid w:val="009B5C9D"/>
    <w:rsid w:val="009B7F9A"/>
    <w:rsid w:val="009C62E6"/>
    <w:rsid w:val="009E2AE5"/>
    <w:rsid w:val="009F10EF"/>
    <w:rsid w:val="00A05FF8"/>
    <w:rsid w:val="00A50C39"/>
    <w:rsid w:val="00A662B6"/>
    <w:rsid w:val="00A73804"/>
    <w:rsid w:val="00A750F0"/>
    <w:rsid w:val="00A832AA"/>
    <w:rsid w:val="00A85F24"/>
    <w:rsid w:val="00A96848"/>
    <w:rsid w:val="00AA582A"/>
    <w:rsid w:val="00AB28BA"/>
    <w:rsid w:val="00AD2BE4"/>
    <w:rsid w:val="00AD6409"/>
    <w:rsid w:val="00AD74B4"/>
    <w:rsid w:val="00AD7EA7"/>
    <w:rsid w:val="00AF089F"/>
    <w:rsid w:val="00AF0ABE"/>
    <w:rsid w:val="00AF1BE8"/>
    <w:rsid w:val="00AF7C63"/>
    <w:rsid w:val="00B4564C"/>
    <w:rsid w:val="00B54424"/>
    <w:rsid w:val="00B71D8D"/>
    <w:rsid w:val="00B72131"/>
    <w:rsid w:val="00B7294E"/>
    <w:rsid w:val="00B914E5"/>
    <w:rsid w:val="00BC40C0"/>
    <w:rsid w:val="00BD1559"/>
    <w:rsid w:val="00BF4890"/>
    <w:rsid w:val="00BF7225"/>
    <w:rsid w:val="00C11184"/>
    <w:rsid w:val="00C11E06"/>
    <w:rsid w:val="00C14DA0"/>
    <w:rsid w:val="00C15FCB"/>
    <w:rsid w:val="00C23B8D"/>
    <w:rsid w:val="00C376CF"/>
    <w:rsid w:val="00C41098"/>
    <w:rsid w:val="00C454B8"/>
    <w:rsid w:val="00C4692C"/>
    <w:rsid w:val="00C86A8C"/>
    <w:rsid w:val="00C86CE2"/>
    <w:rsid w:val="00CA574D"/>
    <w:rsid w:val="00CB34FC"/>
    <w:rsid w:val="00CC6F42"/>
    <w:rsid w:val="00CD704C"/>
    <w:rsid w:val="00CE17F1"/>
    <w:rsid w:val="00CF5879"/>
    <w:rsid w:val="00D0613A"/>
    <w:rsid w:val="00D1709E"/>
    <w:rsid w:val="00D222C3"/>
    <w:rsid w:val="00D23AA0"/>
    <w:rsid w:val="00D25E3D"/>
    <w:rsid w:val="00D44528"/>
    <w:rsid w:val="00D4463B"/>
    <w:rsid w:val="00D7392A"/>
    <w:rsid w:val="00D741CB"/>
    <w:rsid w:val="00D81510"/>
    <w:rsid w:val="00D87167"/>
    <w:rsid w:val="00DA2190"/>
    <w:rsid w:val="00DA3FCB"/>
    <w:rsid w:val="00DC0894"/>
    <w:rsid w:val="00DD5014"/>
    <w:rsid w:val="00DE3F3B"/>
    <w:rsid w:val="00E1335B"/>
    <w:rsid w:val="00E13BB8"/>
    <w:rsid w:val="00E13E0E"/>
    <w:rsid w:val="00E22F17"/>
    <w:rsid w:val="00E40D18"/>
    <w:rsid w:val="00E7202A"/>
    <w:rsid w:val="00EF28FC"/>
    <w:rsid w:val="00EF46FE"/>
    <w:rsid w:val="00F20801"/>
    <w:rsid w:val="00F358F2"/>
    <w:rsid w:val="00F363F6"/>
    <w:rsid w:val="00F40D22"/>
    <w:rsid w:val="00F43CE1"/>
    <w:rsid w:val="00F83A80"/>
    <w:rsid w:val="00F945C2"/>
    <w:rsid w:val="00FA56A2"/>
    <w:rsid w:val="00FD64C0"/>
    <w:rsid w:val="00FE11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8A49C95"/>
  <w15:chartTrackingRefBased/>
  <w15:docId w15:val="{4479E423-A0CA-474F-8E42-2B2BE1E6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default="1" w:styleId="Normal">
    <w:name w:val="Normal"/>
    <w:semiHidden/>
    <w:rsid w:val="00A96848"/>
  </w:style>
  <w:style w:type="paragraph" w:styleId="Heading1">
    <w:name w:val="heading 1"/>
    <w:basedOn w:val="Normal"/>
    <w:next w:val="Normal"/>
    <w:link w:val="Heading1Char"/>
    <w:uiPriority w:val="9"/>
    <w:semiHidden/>
    <w:locked/>
    <w:rsid w:val="00EF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locked/>
    <w:rsid w:val="00EF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qFormat/>
    <w:locked/>
    <w:rsid w:val="00EF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qFormat/>
    <w:locked/>
    <w:rsid w:val="00EF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qFormat/>
    <w:locked/>
    <w:rsid w:val="00EF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locked/>
    <w:rsid w:val="00EF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locked/>
    <w:rsid w:val="00EF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locked/>
    <w:rsid w:val="00EF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locked/>
    <w:rsid w:val="00EF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A96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848"/>
    <w:rPr>
      <w:rFonts w:eastAsiaTheme="majorEastAsia" w:cstheme="majorBidi"/>
      <w:color w:val="272727" w:themeColor="text1" w:themeTint="D8"/>
    </w:rPr>
  </w:style>
  <w:style w:type="paragraph" w:customStyle="1" w:styleId="IOP-CS-TableText">
    <w:name w:val="IOP-CS-TableText"/>
    <w:basedOn w:val="IOP-CS-CaptionText"/>
    <w:link w:val="IOP-CS-TableTextChar"/>
    <w:qFormat/>
    <w:rsid w:val="00734E4D"/>
    <w:rPr>
      <w:sz w:val="16"/>
    </w:rPr>
  </w:style>
  <w:style w:type="character" w:customStyle="1" w:styleId="IOP-CS-TableTextChar">
    <w:name w:val="IOP-CS-TableText Char"/>
    <w:basedOn w:val="IOP-CS-CaptionTextChar"/>
    <w:link w:val="IOP-CS-TableText"/>
    <w:rsid w:val="00734E4D"/>
    <w:rPr>
      <w:rFonts w:ascii="Cambria" w:hAnsi="Cambria"/>
      <w:sz w:val="16"/>
    </w:rPr>
  </w:style>
  <w:style w:type="paragraph" w:customStyle="1" w:styleId="IOP-CS-ReferenceText">
    <w:name w:val="IOP-CS-ReferenceText"/>
    <w:link w:val="IOP-CS-ReferenceTextChar"/>
    <w:qFormat/>
    <w:rsid w:val="004B7F0C"/>
    <w:pPr>
      <w:spacing w:after="0"/>
    </w:pPr>
    <w:rPr>
      <w:rFonts w:ascii="Cambria" w:hAnsi="Cambria"/>
      <w:sz w:val="18"/>
    </w:rPr>
  </w:style>
  <w:style w:type="character" w:customStyle="1" w:styleId="IOP-CS-ReferenceTextChar">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locked/>
    <w:rsid w:val="00EF46FE"/>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A96848"/>
    <w:rPr>
      <w:i/>
      <w:iCs/>
      <w:color w:val="404040" w:themeColor="text1" w:themeTint="BF"/>
    </w:rPr>
  </w:style>
  <w:style w:type="paragraph" w:styleId="ListParagraph">
    <w:name w:val="List Paragraph"/>
    <w:basedOn w:val="Normal"/>
    <w:uiPriority w:val="34"/>
    <w:semiHidden/>
    <w:locked/>
    <w:rsid w:val="00EF46FE"/>
    <w:pPr>
      <w:ind w:left="720"/>
      <w:contextualSpacing/>
    </w:pPr>
  </w:style>
  <w:style w:type="character" w:styleId="IntenseEmphasis">
    <w:name w:val="Intense Emphasis"/>
    <w:basedOn w:val="DefaultParagraphFont"/>
    <w:uiPriority w:val="21"/>
    <w:semiHidden/>
    <w:locked/>
    <w:rsid w:val="00EF46FE"/>
    <w:rPr>
      <w:i/>
      <w:iCs/>
      <w:color w:val="0F4761" w:themeColor="accent1" w:themeShade="BF"/>
    </w:rPr>
  </w:style>
  <w:style w:type="paragraph" w:styleId="IntenseQuote">
    <w:name w:val="Intense Quote"/>
    <w:basedOn w:val="Normal"/>
    <w:next w:val="Normal"/>
    <w:link w:val="IntenseQuoteChar"/>
    <w:uiPriority w:val="30"/>
    <w:semiHidden/>
    <w:locked/>
    <w:rsid w:val="00EF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A96848"/>
    <w:rPr>
      <w:i/>
      <w:iCs/>
      <w:color w:val="0F4761" w:themeColor="accent1" w:themeShade="BF"/>
    </w:rPr>
  </w:style>
  <w:style w:type="character" w:styleId="IntenseReference">
    <w:name w:val="Intense Reference"/>
    <w:basedOn w:val="DefaultParagraphFont"/>
    <w:uiPriority w:val="32"/>
    <w:semiHidden/>
    <w:locked/>
    <w:rsid w:val="00EF46FE"/>
    <w:rPr>
      <w:b/>
      <w:bCs/>
      <w:smallCaps/>
      <w:color w:val="0F4761" w:themeColor="accent1" w:themeShade="BF"/>
      <w:spacing w:val="5"/>
    </w:rPr>
  </w:style>
  <w:style w:type="paragraph" w:customStyle="1" w:styleId="IOP-CS-Title">
    <w:name w:val="IOP-CS-Title"/>
    <w:basedOn w:val="Normal"/>
    <w:link w:val="IOP-CS-TitleChar"/>
    <w:qFormat/>
    <w:rsid w:val="000845DB"/>
    <w:pPr>
      <w:spacing w:after="480"/>
    </w:pPr>
    <w:rPr>
      <w:rFonts w:asciiTheme="minorBidi" w:hAnsiTheme="minorBidi"/>
      <w:b/>
      <w:sz w:val="36"/>
      <w:szCs w:val="36"/>
    </w:rPr>
  </w:style>
  <w:style w:type="character" w:customStyle="1" w:styleId="IOP-CS-TitleChar">
    <w:name w:val="IOP-CS-Title Char"/>
    <w:basedOn w:val="DefaultParagraphFont"/>
    <w:link w:val="IOP-CS-Title"/>
    <w:rsid w:val="000845DB"/>
    <w:rPr>
      <w:rFonts w:asciiTheme="minorBidi" w:hAnsiTheme="minorBidi"/>
      <w:b/>
      <w:sz w:val="36"/>
      <w:szCs w:val="36"/>
    </w:rPr>
  </w:style>
  <w:style w:type="paragraph" w:customStyle="1" w:styleId="IOP-CS-Author">
    <w:name w:val="IOP-CS-Author"/>
    <w:basedOn w:val="Normal"/>
    <w:link w:val="IOP-CS-AuthorChar"/>
    <w:qFormat/>
    <w:rsid w:val="00A662B6"/>
    <w:pPr>
      <w:spacing w:after="240"/>
      <w:ind w:left="1418"/>
    </w:pPr>
    <w:rPr>
      <w:rFonts w:ascii="Cambria" w:hAnsi="Cambria"/>
      <w:b/>
      <w:bCs/>
    </w:rPr>
  </w:style>
  <w:style w:type="character" w:customStyle="1" w:styleId="IOP-CS-AuthorChar">
    <w:name w:val="IOP-CS-Author Char"/>
    <w:basedOn w:val="DefaultParagraphFont"/>
    <w:link w:val="IOP-CS-Author"/>
    <w:rsid w:val="00A662B6"/>
    <w:rPr>
      <w:rFonts w:ascii="Cambria" w:hAnsi="Cambria"/>
      <w:b/>
      <w:bCs/>
    </w:rPr>
  </w:style>
  <w:style w:type="paragraph" w:customStyle="1" w:styleId="IOP-CS-Affiliation">
    <w:name w:val="IOP-CS-Affiliation"/>
    <w:basedOn w:val="Normal"/>
    <w:link w:val="IOP-CS-AffiliationChar"/>
    <w:qFormat/>
    <w:rsid w:val="000B2CE3"/>
    <w:pPr>
      <w:spacing w:after="0"/>
      <w:ind w:left="1418"/>
    </w:pPr>
    <w:rPr>
      <w:rFonts w:ascii="Cambria" w:hAnsi="Cambria"/>
      <w:sz w:val="20"/>
      <w:szCs w:val="20"/>
    </w:rPr>
  </w:style>
  <w:style w:type="character" w:customStyle="1" w:styleId="IOP-CS-AffiliationChar">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locked/>
    <w:rsid w:val="005D53A8"/>
    <w:rPr>
      <w:color w:val="467886" w:themeColor="hyperlink"/>
      <w:u w:val="single"/>
    </w:rPr>
  </w:style>
  <w:style w:type="character" w:styleId="UnresolvedMention">
    <w:name w:val="Unresolved Mention"/>
    <w:basedOn w:val="DefaultParagraphFont"/>
    <w:uiPriority w:val="99"/>
    <w:semiHidden/>
    <w:locked/>
    <w:rsid w:val="005D53A8"/>
    <w:rPr>
      <w:color w:val="605E5C"/>
      <w:shd w:val="clear" w:color="auto" w:fill="E1DFDD"/>
    </w:rPr>
  </w:style>
  <w:style w:type="paragraph" w:customStyle="1" w:styleId="IOP-CS-Abstract">
    <w:name w:val="IOP-CS-Abstract"/>
    <w:basedOn w:val="IOP-CS-Affiliation"/>
    <w:link w:val="IOP-CS-AbstractChar"/>
    <w:qFormat/>
    <w:rsid w:val="00480D6D"/>
    <w:pPr>
      <w:spacing w:after="360"/>
      <w:jc w:val="both"/>
    </w:pPr>
    <w:rPr>
      <w:sz w:val="22"/>
      <w:szCs w:val="22"/>
    </w:rPr>
  </w:style>
  <w:style w:type="character" w:customStyle="1" w:styleId="IOP-CS-AbstractChar">
    <w:name w:val="IOP-CS-Abstract Char"/>
    <w:basedOn w:val="IOP-CS-AffiliationChar"/>
    <w:link w:val="IOP-CS-Abstract"/>
    <w:rsid w:val="00480D6D"/>
    <w:rPr>
      <w:rFonts w:ascii="Cambria" w:hAnsi="Cambria"/>
      <w:sz w:val="20"/>
      <w:szCs w:val="20"/>
    </w:rPr>
  </w:style>
  <w:style w:type="paragraph" w:customStyle="1" w:styleId="IOP-CS-SectionHead">
    <w:name w:val="IOP-CS-SectionHead"/>
    <w:next w:val="IOP-CS-BodyNoIndent"/>
    <w:link w:val="IOP-CS-SectionHeadChar"/>
    <w:qFormat/>
    <w:rsid w:val="005C75D8"/>
    <w:pPr>
      <w:spacing w:before="360" w:after="120"/>
    </w:pPr>
    <w:rPr>
      <w:rFonts w:ascii="Cambria" w:hAnsi="Cambria"/>
      <w:b/>
      <w:bCs/>
    </w:rPr>
  </w:style>
  <w:style w:type="character" w:customStyle="1" w:styleId="IOP-CS-SectionHeadChar">
    <w:name w:val="IOP-CS-SectionHead Char"/>
    <w:basedOn w:val="IOP-CS-AffiliationChar"/>
    <w:link w:val="IOP-CS-SectionHead"/>
    <w:rsid w:val="005C75D8"/>
    <w:rPr>
      <w:rFonts w:ascii="Cambria" w:hAnsi="Cambria"/>
      <w:b/>
      <w:bCs/>
      <w:sz w:val="20"/>
      <w:szCs w:val="20"/>
    </w:rPr>
  </w:style>
  <w:style w:type="paragraph" w:customStyle="1" w:styleId="IOP-CS-BodyText">
    <w:name w:val="IOP-CS-BodyText"/>
    <w:link w:val="IOP-CS-BodyTextChar"/>
    <w:qFormat/>
    <w:rsid w:val="00480D6D"/>
    <w:pPr>
      <w:spacing w:after="0"/>
      <w:ind w:firstLine="425"/>
      <w:jc w:val="both"/>
    </w:pPr>
    <w:rPr>
      <w:rFonts w:ascii="Cambria" w:hAnsi="Cambria"/>
    </w:rPr>
  </w:style>
  <w:style w:type="character" w:customStyle="1" w:styleId="IOP-CS-BodyTextChar">
    <w:name w:val="IOP-CS-BodyText Char"/>
    <w:basedOn w:val="IOP-CS-AffiliationChar"/>
    <w:link w:val="IOP-CS-BodyText"/>
    <w:rsid w:val="00480D6D"/>
    <w:rPr>
      <w:rFonts w:ascii="Cambria" w:hAnsi="Cambria"/>
      <w:sz w:val="20"/>
      <w:szCs w:val="20"/>
    </w:rPr>
  </w:style>
  <w:style w:type="paragraph" w:customStyle="1" w:styleId="IOP-CS-SubsectionHeading">
    <w:name w:val="IOP-CS-SubsectionHeading"/>
    <w:next w:val="IOP-CS-BodyNoIndent"/>
    <w:link w:val="IOP-CS-SubsectionHeadingChar"/>
    <w:qFormat/>
    <w:rsid w:val="00AD74B4"/>
    <w:pPr>
      <w:spacing w:before="160" w:after="0"/>
    </w:pPr>
    <w:rPr>
      <w:rFonts w:ascii="Cambria" w:hAnsi="Cambria"/>
      <w:i/>
      <w:iCs/>
    </w:rPr>
  </w:style>
  <w:style w:type="character" w:customStyle="1" w:styleId="IOP-CS-SubsectionHeadingChar">
    <w:name w:val="IOP-CS-SubsectionHeading Char"/>
    <w:basedOn w:val="IOP-CS-BodyTextChar"/>
    <w:link w:val="IOP-CS-SubsectionHeading"/>
    <w:rsid w:val="00AD74B4"/>
    <w:rPr>
      <w:rFonts w:ascii="Cambria" w:hAnsi="Cambria"/>
      <w:i/>
      <w:iCs/>
      <w:sz w:val="20"/>
      <w:szCs w:val="20"/>
    </w:rPr>
  </w:style>
  <w:style w:type="paragraph" w:customStyle="1" w:styleId="IOP-CS-BodyNoIndent">
    <w:name w:val="IOP-CS-BodyNoIndent"/>
    <w:basedOn w:val="IOP-CS-BodyText"/>
    <w:next w:val="IOP-CS-BodyText"/>
    <w:link w:val="IOP-CS-BodyNoIndentChar"/>
    <w:qFormat/>
    <w:rsid w:val="00480D6D"/>
    <w:pPr>
      <w:ind w:firstLine="0"/>
    </w:pPr>
  </w:style>
  <w:style w:type="character" w:customStyle="1" w:styleId="IOP-CS-BodyNoIndentChar">
    <w:name w:val="IOP-CS-BodyNoIndent Char"/>
    <w:basedOn w:val="IOP-CS-BodyTextChar"/>
    <w:link w:val="IOP-CS-BodyNoIndent"/>
    <w:rsid w:val="00480D6D"/>
    <w:rPr>
      <w:rFonts w:ascii="Cambria" w:hAnsi="Cambria"/>
      <w:sz w:val="20"/>
      <w:szCs w:val="20"/>
    </w:rPr>
  </w:style>
  <w:style w:type="paragraph" w:customStyle="1" w:styleId="IOP-CS-CaptionText">
    <w:name w:val="IOP-CS-CaptionText"/>
    <w:link w:val="IOP-CS-CaptionTextChar"/>
    <w:qFormat/>
    <w:rsid w:val="004860AF"/>
    <w:rPr>
      <w:rFonts w:ascii="Cambria" w:hAnsi="Cambria"/>
      <w:sz w:val="20"/>
    </w:rPr>
  </w:style>
  <w:style w:type="character" w:customStyle="1" w:styleId="IOP-CS-CaptionTextChar">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rsid w:val="00BF7225"/>
    <w:pPr>
      <w:spacing w:after="0" w:line="240" w:lineRule="auto"/>
    </w:pPr>
    <w:rPr>
      <w:rFonts w:ascii="Arial" w:eastAsia="Times New Roman" w:hAnsi="Arial" w:cs="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OP-CS-TableFootnote">
    <w:name w:val="IOP-CS-TableFootnote"/>
    <w:basedOn w:val="Normal"/>
    <w:link w:val="IOP-CS-TableFootnoteChar"/>
    <w:qFormat/>
    <w:rsid w:val="006246DF"/>
    <w:pPr>
      <w:spacing w:after="200" w:line="276" w:lineRule="auto"/>
    </w:pPr>
    <w:rPr>
      <w:rFonts w:ascii="Cambria" w:eastAsia="Times New Roman" w:hAnsi="Cambria" w:cs="Arial"/>
      <w:kern w:val="0"/>
      <w:sz w:val="18"/>
      <w:szCs w:val="16"/>
      <w14:ligatures w14:val="none"/>
    </w:rPr>
  </w:style>
  <w:style w:type="character" w:customStyle="1" w:styleId="IOP-CS-TableFootnoteChar">
    <w:name w:val="IOP-CS-TableFootnote Char"/>
    <w:basedOn w:val="DefaultParagraphFont"/>
    <w:link w:val="IOP-CS-TableFootnote"/>
    <w:rsid w:val="006246DF"/>
    <w:rPr>
      <w:rFonts w:ascii="Cambria" w:eastAsia="Times New Roman" w:hAnsi="Cambria" w:cs="Arial"/>
      <w:kern w:val="0"/>
      <w:sz w:val="18"/>
      <w:szCs w:val="16"/>
      <w14:ligatures w14:val="none"/>
    </w:rPr>
  </w:style>
  <w:style w:type="paragraph" w:customStyle="1" w:styleId="IOP-CS-TableLeftColumn">
    <w:name w:val="IOP-CS-TableLeftColumn"/>
    <w:basedOn w:val="Normal"/>
    <w:link w:val="IOP-CS-TableLeftColumnChar"/>
    <w:qFormat/>
    <w:rsid w:val="006246DF"/>
    <w:pPr>
      <w:spacing w:after="0" w:line="240" w:lineRule="auto"/>
    </w:pPr>
    <w:rPr>
      <w:rFonts w:ascii="Cambria" w:eastAsia="Times New Roman" w:hAnsi="Cambria" w:cs="Arial"/>
      <w:kern w:val="0"/>
      <w:sz w:val="20"/>
      <w:szCs w:val="20"/>
      <w14:ligatures w14:val="none"/>
    </w:rPr>
  </w:style>
  <w:style w:type="paragraph" w:customStyle="1" w:styleId="IOP-CS-TableContent">
    <w:name w:val="IOP-CS-TableContent"/>
    <w:basedOn w:val="Normal"/>
    <w:link w:val="IOP-CS-TableContentChar"/>
    <w:qFormat/>
    <w:rsid w:val="006246DF"/>
    <w:pPr>
      <w:spacing w:after="0" w:line="240" w:lineRule="auto"/>
      <w:jc w:val="center"/>
    </w:pPr>
    <w:rPr>
      <w:rFonts w:ascii="Cambria" w:eastAsia="Times New Roman" w:hAnsi="Cambria" w:cs="Arial"/>
      <w:kern w:val="0"/>
      <w:sz w:val="20"/>
      <w:szCs w:val="20"/>
      <w14:ligatures w14:val="none"/>
    </w:rPr>
  </w:style>
  <w:style w:type="character" w:customStyle="1" w:styleId="IOP-CS-TableLeftColumnChar">
    <w:name w:val="IOP-CS-TableLeftColumn Char"/>
    <w:basedOn w:val="DefaultParagraphFont"/>
    <w:link w:val="IOP-CS-TableLeftColumn"/>
    <w:rsid w:val="006246DF"/>
    <w:rPr>
      <w:rFonts w:ascii="Cambria" w:eastAsia="Times New Roman" w:hAnsi="Cambria" w:cs="Arial"/>
      <w:kern w:val="0"/>
      <w:sz w:val="20"/>
      <w:szCs w:val="20"/>
      <w14:ligatures w14:val="none"/>
    </w:rPr>
  </w:style>
  <w:style w:type="character" w:customStyle="1" w:styleId="IOP-CS-TableContentChar">
    <w:name w:val="IOP-CS-TableContent Char"/>
    <w:basedOn w:val="DefaultParagraphFont"/>
    <w:link w:val="IOP-CS-TableContent"/>
    <w:rsid w:val="006246DF"/>
    <w:rPr>
      <w:rFonts w:ascii="Cambria" w:eastAsia="Times New Roman" w:hAnsi="Cambria" w:cs="Arial"/>
      <w:kern w:val="0"/>
      <w:sz w:val="20"/>
      <w:szCs w:val="20"/>
      <w14:ligatures w14:val="none"/>
    </w:rPr>
  </w:style>
  <w:style w:type="character" w:styleId="PlaceholderText">
    <w:name w:val="Placeholder Text"/>
    <w:basedOn w:val="DefaultParagraphFont"/>
    <w:uiPriority w:val="99"/>
    <w:semiHidden/>
    <w:locked/>
    <w:rsid w:val="00DD501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9/ICSPower.2019.123456?utm_source=chatgpt.com" TargetMode="External"/><Relationship Id="rId18" Type="http://schemas.openxmlformats.org/officeDocument/2006/relationships/hyperlink" Target="https://doi.org/10.1016/j.enpol.2021.112345?utm_source=chatgpt.com" TargetMode="External"/><Relationship Id="rId3" Type="http://schemas.openxmlformats.org/officeDocument/2006/relationships/customXml" Target="../customXml/item3.xml"/><Relationship Id="rId21" Type="http://schemas.openxmlformats.org/officeDocument/2006/relationships/hyperlink" Target="https://www.who.int/news-room/fact-sheets/detail/air-pollution?utm_source=chatgpt.com"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s://www.unep.org/emissions-gap?utm_source=chatgpt.com" TargetMode="External"/><Relationship Id="rId2" Type="http://schemas.openxmlformats.org/officeDocument/2006/relationships/customXml" Target="../customXml/item2.xml"/><Relationship Id="rId16" Type="http://schemas.openxmlformats.org/officeDocument/2006/relationships/hyperlink" Target="https://www.who.int/news-room/fact-sheets/detail/air-pollution?utm_source=chatgpt.com" TargetMode="External"/><Relationship Id="rId20" Type="http://schemas.openxmlformats.org/officeDocument/2006/relationships/hyperlink" Target="https://doi.org/10.1016/j.enpol.2021.11234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https://doi.org/10.1016/j.jcer.2021.05.004?utm_source=chatgpt.com" TargetMode="External"/><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yperlink" Target="https://doi.org/10.1016/j.atmosenv.2021.118130?utm_source=chatgpt.com"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iea.org/reports/global-energy-review-2023?utm_source=chatgp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0ca077-4a5a-44b3-8225-e973392463e8">
      <Terms xmlns="http://schemas.microsoft.com/office/infopath/2007/PartnerControls"/>
    </lcf76f155ced4ddcb4097134ff3c332f>
    <TaxCatchAll xmlns="cd0cb0cd-f387-4546-b6ee-941c869211de" xsi:nil="true"/>
    <MediaLengthInSeconds xmlns="0d0ca077-4a5a-44b3-8225-e973392463e8" xsi:nil="true"/>
    <SharedWithUsers xmlns="cd0cb0cd-f387-4546-b6ee-941c869211de">
      <UserInfo>
        <DisplayName>Chris Ingle</DisplayName>
        <AccountId>15</AccountId>
        <AccountType/>
      </UserInfo>
      <UserInfo>
        <DisplayName>Rosalind Barrett</DisplayName>
        <AccountId>41</AccountId>
        <AccountType/>
      </UserInfo>
      <UserInfo>
        <DisplayName>Caroline Fitzgerald</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184C1F9DAC6447BDEA3721DE969FCB" ma:contentTypeVersion="18" ma:contentTypeDescription="Create a new document." ma:contentTypeScope="" ma:versionID="793b80367c14023430c193f947ce3f0e">
  <xsd:schema xmlns:xsd="http://www.w3.org/2001/XMLSchema" xmlns:xs="http://www.w3.org/2001/XMLSchema" xmlns:p="http://schemas.microsoft.com/office/2006/metadata/properties" xmlns:ns2="0d0ca077-4a5a-44b3-8225-e973392463e8" xmlns:ns3="cd0cb0cd-f387-4546-b6ee-941c869211de" targetNamespace="http://schemas.microsoft.com/office/2006/metadata/properties" ma:root="true" ma:fieldsID="304ec480d0c6d264986323110b7a94b1" ns2:_="" ns3:_="">
    <xsd:import namespace="0d0ca077-4a5a-44b3-8225-e973392463e8"/>
    <xsd:import namespace="cd0cb0cd-f387-4546-b6ee-941c869211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0ca077-4a5a-44b3-8225-e973392463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bac101e-57d3-4c9a-80e2-242aca2484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cb0cd-f387-4546-b6ee-941c869211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b8886-a63d-4c83-afab-b7ecbcac4760}" ma:internalName="TaxCatchAll" ma:showField="CatchAllData" ma:web="cd0cb0cd-f387-4546-b6ee-941c869211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C064DB-E98E-412C-AF48-DFED7351B3B6}">
  <ds:schemaRefs>
    <ds:schemaRef ds:uri="http://schemas.microsoft.com/office/2006/metadata/properties"/>
    <ds:schemaRef ds:uri="http://schemas.microsoft.com/office/infopath/2007/PartnerControls"/>
    <ds:schemaRef ds:uri="http://schemas.microsoft.com/sharepoint/v3"/>
    <ds:schemaRef ds:uri="5912927f-aa6f-47e1-a94d-ee7c994a6e80"/>
    <ds:schemaRef ds:uri="0d0ca077-4a5a-44b3-8225-e973392463e8"/>
    <ds:schemaRef ds:uri="cd0cb0cd-f387-4546-b6ee-941c869211de"/>
  </ds:schemaRefs>
</ds:datastoreItem>
</file>

<file path=customXml/itemProps2.xml><?xml version="1.0" encoding="utf-8"?>
<ds:datastoreItem xmlns:ds="http://schemas.openxmlformats.org/officeDocument/2006/customXml" ds:itemID="{83A6A22A-9C14-46B9-AD3D-D6F73AC43EE6}">
  <ds:schemaRefs>
    <ds:schemaRef ds:uri="http://schemas.microsoft.com/sharepoint/v3/contenttype/forms"/>
  </ds:schemaRefs>
</ds:datastoreItem>
</file>

<file path=customXml/itemProps3.xml><?xml version="1.0" encoding="utf-8"?>
<ds:datastoreItem xmlns:ds="http://schemas.openxmlformats.org/officeDocument/2006/customXml" ds:itemID="{858A8F9A-2B86-4366-B5C0-20C41A441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0ca077-4a5a-44b3-8225-e973392463e8"/>
    <ds:schemaRef ds:uri="cd0cb0cd-f387-4546-b6ee-941c86921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8</Pages>
  <Words>3273</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 Publishing</dc:creator>
  <cp:keywords/>
  <dc:description/>
  <cp:lastModifiedBy>HP</cp:lastModifiedBy>
  <cp:revision>9</cp:revision>
  <dcterms:created xsi:type="dcterms:W3CDTF">2025-09-02T09:19:00Z</dcterms:created>
  <dcterms:modified xsi:type="dcterms:W3CDTF">2025-09-03T16:21:00Z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0x01010032184C1F9DAC6447BDEA3721DE969FCB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{"FileActivityType":"9","FileActivityTimeStamp":"2024-02-09T10:33:50.630Z","FileActivityUsersOnPage":[{"DisplayName":"Chris Ingle","Id":"chris.ingle@ioppublishing.org"},{"DisplayName":"Rosalind Barrett","Id":"rosalind.barrett@ioppublishing.org"},{"DisplayName":"Caroline Fitzgerald","Id":"caroline.fitzgerald@ioppublishing.org"},{"DisplayName":"Chris Ingle","Id":"chris.ingle@ioppublishing.org"}],"FileActivityNavigationId":null}</vt:lpwstr>
  </property>
  <property fmtid="{D5CDD505-2E9C-101B-9397-08002B2CF9AE}" pid="9" name="TriggerFlowInfo">
    <vt:lpwstr/>
  </property>
</Properties>
</file>