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 w:after="1"/>
        <w:rPr>
          <w:rFonts w:ascii="Times New Roman"/>
          <w:sz w:val="29"/>
        </w:rPr>
      </w:pPr>
    </w:p>
    <w:tbl>
      <w:tblPr>
        <w:tblW w:w="0" w:type="auto"/>
        <w:jc w:val="left"/>
        <w:tblInd w:w="2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1349"/>
      </w:tblGrid>
      <w:tr>
        <w:trPr>
          <w:trHeight w:val="302" w:hRule="atLeast"/>
        </w:trPr>
        <w:tc>
          <w:tcPr>
            <w:tcW w:w="2477" w:type="dxa"/>
          </w:tcPr>
          <w:p>
            <w:pPr>
              <w:pStyle w:val="TableParagraph"/>
              <w:spacing w:before="32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company</w:t>
            </w:r>
          </w:p>
        </w:tc>
        <w:tc>
          <w:tcPr>
            <w:tcW w:w="1349" w:type="dxa"/>
          </w:tcPr>
          <w:p>
            <w:pPr>
              <w:pStyle w:val="TableParagraph"/>
              <w:spacing w:before="32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Measure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X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Allied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Signal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24.23%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Bankers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Trust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25.53%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General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Mills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25.41%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ITT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Industries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24.14%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J.P.Morgan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Co.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29.62%</w:t>
            </w:r>
          </w:p>
        </w:tc>
      </w:tr>
      <w:tr>
        <w:trPr>
          <w:trHeight w:val="302" w:hRule="atLeast"/>
        </w:trPr>
        <w:tc>
          <w:tcPr>
            <w:tcW w:w="2477" w:type="dxa"/>
          </w:tcPr>
          <w:p>
            <w:pPr>
              <w:pStyle w:val="TableParagraph"/>
              <w:spacing w:before="32"/>
              <w:ind w:left="107"/>
              <w:rPr>
                <w:sz w:val="22"/>
              </w:rPr>
            </w:pPr>
            <w:r>
              <w:rPr>
                <w:sz w:val="22"/>
              </w:rPr>
              <w:t>Lehman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Brothers</w:t>
            </w:r>
          </w:p>
        </w:tc>
        <w:tc>
          <w:tcPr>
            <w:tcW w:w="1349" w:type="dxa"/>
          </w:tcPr>
          <w:p>
            <w:pPr>
              <w:pStyle w:val="TableParagraph"/>
              <w:spacing w:before="32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7" w:type="dxa"/>
          </w:tcPr>
          <w:p>
            <w:pPr>
              <w:pStyle w:val="TableParagraph"/>
              <w:spacing w:before="31"/>
              <w:ind w:left="107"/>
              <w:rPr>
                <w:sz w:val="22"/>
              </w:rPr>
            </w:pPr>
            <w:r>
              <w:rPr>
                <w:sz w:val="22"/>
              </w:rPr>
              <w:t>Marriott</w:t>
            </w:r>
          </w:p>
        </w:tc>
        <w:tc>
          <w:tcPr>
            <w:tcW w:w="1349" w:type="dxa"/>
          </w:tcPr>
          <w:p>
            <w:pPr>
              <w:pStyle w:val="TableParagraph"/>
              <w:spacing w:before="31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25.81%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MCI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24.39%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Merrill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Lynch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40.26%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Microsoft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32.95%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Morgan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Stanley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91.36%</w:t>
            </w:r>
          </w:p>
        </w:tc>
      </w:tr>
      <w:tr>
        <w:trPr>
          <w:trHeight w:val="302" w:hRule="atLeast"/>
        </w:trPr>
        <w:tc>
          <w:tcPr>
            <w:tcW w:w="2477" w:type="dxa"/>
          </w:tcPr>
          <w:p>
            <w:pPr>
              <w:pStyle w:val="TableParagraph"/>
              <w:spacing w:before="32"/>
              <w:ind w:left="107"/>
              <w:rPr>
                <w:sz w:val="22"/>
              </w:rPr>
            </w:pPr>
            <w:r>
              <w:rPr>
                <w:sz w:val="22"/>
              </w:rPr>
              <w:t>Sun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Microsystems</w:t>
            </w:r>
          </w:p>
        </w:tc>
        <w:tc>
          <w:tcPr>
            <w:tcW w:w="1349" w:type="dxa"/>
          </w:tcPr>
          <w:p>
            <w:pPr>
              <w:pStyle w:val="TableParagraph"/>
              <w:spacing w:before="32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25.99%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Travelers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39.42%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Airways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26.71%</w:t>
            </w:r>
          </w:p>
        </w:tc>
      </w:tr>
      <w:tr>
        <w:trPr>
          <w:trHeight w:val="299" w:hRule="atLeast"/>
        </w:trPr>
        <w:tc>
          <w:tcPr>
            <w:tcW w:w="247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Warner-Lambert</w:t>
            </w:r>
          </w:p>
        </w:tc>
        <w:tc>
          <w:tcPr>
            <w:tcW w:w="1349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35.00%</w:t>
            </w:r>
          </w:p>
        </w:tc>
      </w:tr>
    </w:tbl>
    <w:p>
      <w:pPr>
        <w:spacing w:after="0"/>
        <w:jc w:val="right"/>
        <w:rPr>
          <w:sz w:val="22"/>
        </w:rPr>
        <w:sectPr>
          <w:footerReference w:type="default" r:id="rId5"/>
          <w:type w:val="continuous"/>
          <w:pgSz w:w="12240" w:h="15840"/>
          <w:pgMar w:footer="269" w:top="1500" w:bottom="460" w:left="1340" w:right="1300"/>
          <w:pgNumType w:start="1"/>
        </w:sectPr>
      </w:pPr>
    </w:p>
    <w:p>
      <w:pPr>
        <w:spacing w:before="1"/>
        <w:ind w:left="100" w:right="0" w:firstLine="0"/>
        <w:jc w:val="left"/>
        <w:rPr>
          <w:sz w:val="21"/>
        </w:rPr>
      </w:pPr>
      <w:r>
        <w:rPr>
          <w:sz w:val="21"/>
        </w:rPr>
        <w:t>Ans: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76" w:lineRule="auto" w:before="1"/>
        <w:ind w:left="39" w:right="7583" w:hanging="3"/>
      </w:pPr>
      <w:r>
        <w:rPr>
          <w:color w:val="00AF50"/>
        </w:rPr>
        <w:t>MEAN= 33.2713</w:t>
      </w:r>
      <w:r>
        <w:rPr>
          <w:color w:val="00AF50"/>
          <w:spacing w:val="-47"/>
        </w:rPr>
        <w:t> </w:t>
      </w:r>
      <w:r>
        <w:rPr>
          <w:color w:val="00AF50"/>
        </w:rPr>
        <w:t>STD=16.9454</w:t>
      </w:r>
      <w:r>
        <w:rPr>
          <w:color w:val="00AF50"/>
          <w:spacing w:val="1"/>
        </w:rPr>
        <w:t> </w:t>
      </w:r>
      <w:r>
        <w:rPr>
          <w:color w:val="00AF50"/>
        </w:rPr>
        <w:t>VAR=287.1466</w:t>
      </w:r>
    </w:p>
    <w:p>
      <w:pPr>
        <w:spacing w:after="0" w:line="276" w:lineRule="auto"/>
        <w:sectPr>
          <w:type w:val="continuous"/>
          <w:pgSz w:w="12240" w:h="15840"/>
          <w:pgMar w:top="1500" w:bottom="460" w:left="1340" w:right="1300"/>
          <w:cols w:num="2" w:equalWidth="0">
            <w:col w:w="472" w:space="40"/>
            <w:col w:w="9088"/>
          </w:cols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56"/>
        <w:ind w:left="100"/>
      </w:pPr>
      <w:r>
        <w:rPr>
          <w:color w:val="00AF50"/>
        </w:rPr>
        <w:t>Outlier</w:t>
      </w:r>
      <w:r>
        <w:rPr>
          <w:color w:val="00AF50"/>
          <w:spacing w:val="-2"/>
        </w:rPr>
        <w:t> </w:t>
      </w:r>
      <w:r>
        <w:rPr>
          <w:color w:val="00AF50"/>
        </w:rPr>
        <w:t>is</w:t>
      </w:r>
      <w:r>
        <w:rPr>
          <w:color w:val="00AF50"/>
          <w:spacing w:val="-4"/>
        </w:rPr>
        <w:t> </w:t>
      </w:r>
      <w:r>
        <w:rPr>
          <w:color w:val="00AF50"/>
        </w:rPr>
        <w:t>Morgan</w:t>
      </w:r>
      <w:r>
        <w:rPr>
          <w:color w:val="00AF50"/>
          <w:spacing w:val="-3"/>
        </w:rPr>
        <w:t> </w:t>
      </w:r>
      <w:r>
        <w:rPr>
          <w:color w:val="00AF50"/>
        </w:rPr>
        <w:t>Stanley</w:t>
      </w:r>
      <w:r>
        <w:rPr>
          <w:color w:val="00AF50"/>
          <w:spacing w:val="-2"/>
        </w:rPr>
        <w:t> </w:t>
      </w:r>
      <w:r>
        <w:rPr>
          <w:color w:val="00AF50"/>
        </w:rPr>
        <w:t>because</w:t>
      </w:r>
      <w:r>
        <w:rPr>
          <w:color w:val="00AF50"/>
          <w:spacing w:val="-2"/>
        </w:rPr>
        <w:t> </w:t>
      </w:r>
      <w:r>
        <w:rPr>
          <w:color w:val="00AF50"/>
        </w:rPr>
        <w:t>it’s</w:t>
      </w:r>
      <w:r>
        <w:rPr>
          <w:color w:val="00AF50"/>
          <w:spacing w:val="-1"/>
        </w:rPr>
        <w:t> </w:t>
      </w:r>
      <w:r>
        <w:rPr>
          <w:color w:val="00AF50"/>
        </w:rPr>
        <w:t>the</w:t>
      </w:r>
      <w:r>
        <w:rPr>
          <w:color w:val="00AF50"/>
          <w:spacing w:val="-1"/>
        </w:rPr>
        <w:t> </w:t>
      </w:r>
      <w:r>
        <w:rPr>
          <w:color w:val="00AF50"/>
        </w:rPr>
        <w:t>extreme</w:t>
      </w:r>
      <w:r>
        <w:rPr>
          <w:color w:val="00AF50"/>
          <w:spacing w:val="-1"/>
        </w:rPr>
        <w:t> </w:t>
      </w:r>
      <w:r>
        <w:rPr>
          <w:color w:val="00AF50"/>
        </w:rPr>
        <w:t>value.</w:t>
      </w:r>
    </w:p>
    <w:p>
      <w:pPr>
        <w:spacing w:after="0"/>
        <w:sectPr>
          <w:type w:val="continuous"/>
          <w:pgSz w:w="12240" w:h="15840"/>
          <w:pgMar w:top="1500" w:bottom="460" w:left="1340" w:right="1300"/>
        </w:sectPr>
      </w:pPr>
    </w:p>
    <w:p>
      <w:pPr>
        <w:pStyle w:val="BodyText"/>
        <w:ind w:left="978"/>
        <w:rPr>
          <w:sz w:val="20"/>
        </w:rPr>
      </w:pPr>
      <w:r>
        <w:rPr>
          <w:sz w:val="20"/>
        </w:rPr>
        <w:drawing>
          <wp:inline distT="0" distB="0" distL="0" distR="0">
            <wp:extent cx="4839295" cy="32095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295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56"/>
        <w:ind w:left="460"/>
      </w:pPr>
      <w:r>
        <w:rPr/>
        <w:t>2.</w:t>
      </w:r>
    </w:p>
    <w:p>
      <w:pPr>
        <w:spacing w:after="0"/>
        <w:sectPr>
          <w:pgSz w:w="12240" w:h="15840"/>
          <w:pgMar w:header="0" w:footer="269" w:top="1320" w:bottom="46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43600" cy="2600325"/>
            <wp:effectExtent l="0" t="0" r="0" b="0"/>
            <wp:docPr id="3" name="image2.png" descr="C:\Users\30644.ISBDOMAIN1\Dropbox\Ours\BA course\Our Era as TA's\Statistical Analysis 1-Estimation and Testing\Practice Problems\Boxplot Q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0"/>
        <w:ind w:left="820"/>
      </w:pPr>
      <w:r>
        <w:rPr/>
        <w:t>Answer</w:t>
      </w:r>
      <w:r>
        <w:rPr>
          <w:spacing w:val="-1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box-plot</w:t>
      </w:r>
      <w:r>
        <w:rPr>
          <w:spacing w:val="-1"/>
        </w:rPr>
        <w:t> </w:t>
      </w:r>
      <w:r>
        <w:rPr/>
        <w:t>above.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73" w:lineRule="auto" w:before="41" w:after="0"/>
        <w:ind w:left="1540" w:right="394" w:hanging="720"/>
        <w:jc w:val="left"/>
        <w:rPr>
          <w:sz w:val="22"/>
        </w:rPr>
      </w:pPr>
      <w:r>
        <w:rPr>
          <w:sz w:val="22"/>
        </w:rPr>
        <w:t>What is inter-quartile range of this dataset? (please approximate the numbers) In one</w:t>
      </w:r>
      <w:r>
        <w:rPr>
          <w:spacing w:val="-47"/>
          <w:sz w:val="22"/>
        </w:rPr>
        <w:t> </w:t>
      </w:r>
      <w:r>
        <w:rPr>
          <w:sz w:val="22"/>
        </w:rPr>
        <w:t>line, explain</w:t>
      </w:r>
      <w:r>
        <w:rPr>
          <w:spacing w:val="-3"/>
          <w:sz w:val="22"/>
        </w:rPr>
        <w:t> </w:t>
      </w:r>
      <w:r>
        <w:rPr>
          <w:sz w:val="22"/>
        </w:rPr>
        <w:t>what this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implies.</w:t>
      </w:r>
    </w:p>
    <w:p>
      <w:pPr>
        <w:pStyle w:val="BodyText"/>
        <w:spacing w:before="5"/>
        <w:ind w:left="1146"/>
      </w:pPr>
      <w:r>
        <w:rPr>
          <w:color w:val="00AF50"/>
        </w:rPr>
        <w:t>Ans: IQR=</w:t>
      </w:r>
      <w:r>
        <w:rPr>
          <w:color w:val="00AF50"/>
          <w:spacing w:val="-2"/>
        </w:rPr>
        <w:t> </w:t>
      </w:r>
      <w:r>
        <w:rPr>
          <w:color w:val="00AF50"/>
        </w:rPr>
        <w:t>Upper</w:t>
      </w:r>
      <w:r>
        <w:rPr>
          <w:color w:val="00AF50"/>
          <w:spacing w:val="-1"/>
        </w:rPr>
        <w:t> </w:t>
      </w:r>
      <w:r>
        <w:rPr>
          <w:color w:val="00AF50"/>
        </w:rPr>
        <w:t>Quartile</w:t>
      </w:r>
      <w:r>
        <w:rPr>
          <w:color w:val="00AF50"/>
          <w:spacing w:val="-2"/>
        </w:rPr>
        <w:t> </w:t>
      </w:r>
      <w:r>
        <w:rPr>
          <w:color w:val="00AF50"/>
        </w:rPr>
        <w:t>–</w:t>
      </w:r>
      <w:r>
        <w:rPr>
          <w:color w:val="00AF50"/>
          <w:spacing w:val="-3"/>
        </w:rPr>
        <w:t> </w:t>
      </w:r>
      <w:r>
        <w:rPr>
          <w:color w:val="00AF50"/>
        </w:rPr>
        <w:t>Lower</w:t>
      </w:r>
      <w:r>
        <w:rPr>
          <w:color w:val="00AF50"/>
          <w:spacing w:val="-2"/>
        </w:rPr>
        <w:t> </w:t>
      </w:r>
      <w:r>
        <w:rPr>
          <w:color w:val="00AF50"/>
        </w:rPr>
        <w:t>Quartile=</w:t>
      </w:r>
      <w:r>
        <w:rPr>
          <w:color w:val="00AF50"/>
          <w:spacing w:val="-1"/>
        </w:rPr>
        <w:t> </w:t>
      </w:r>
      <w:r>
        <w:rPr>
          <w:color w:val="00AF50"/>
        </w:rPr>
        <w:t>13-5= 8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73" w:lineRule="auto" w:before="41" w:after="0"/>
        <w:ind w:left="1146" w:right="3292" w:hanging="327"/>
        <w:jc w:val="left"/>
        <w:rPr>
          <w:sz w:val="22"/>
        </w:rPr>
      </w:pPr>
      <w:r>
        <w:rPr/>
        <w:tab/>
      </w:r>
      <w:r>
        <w:rPr>
          <w:sz w:val="22"/>
        </w:rPr>
        <w:t>What can we say about the skewness of this dataset?</w:t>
      </w:r>
      <w:r>
        <w:rPr>
          <w:spacing w:val="-48"/>
          <w:sz w:val="22"/>
        </w:rPr>
        <w:t> </w:t>
      </w:r>
      <w:r>
        <w:rPr>
          <w:color w:val="00AF50"/>
          <w:sz w:val="22"/>
        </w:rPr>
        <w:t>Ans:</w:t>
      </w:r>
      <w:r>
        <w:rPr>
          <w:color w:val="00AF50"/>
          <w:spacing w:val="-3"/>
          <w:sz w:val="22"/>
        </w:rPr>
        <w:t> </w:t>
      </w:r>
      <w:r>
        <w:rPr>
          <w:color w:val="00AF50"/>
          <w:sz w:val="22"/>
        </w:rPr>
        <w:t>The distribution</w:t>
      </w:r>
      <w:r>
        <w:rPr>
          <w:color w:val="00AF50"/>
          <w:spacing w:val="-2"/>
          <w:sz w:val="22"/>
        </w:rPr>
        <w:t> </w:t>
      </w:r>
      <w:r>
        <w:rPr>
          <w:color w:val="00AF50"/>
          <w:sz w:val="22"/>
        </w:rPr>
        <w:t>is positively</w:t>
      </w:r>
      <w:r>
        <w:rPr>
          <w:color w:val="00AF50"/>
          <w:spacing w:val="-1"/>
          <w:sz w:val="22"/>
        </w:rPr>
        <w:t> </w:t>
      </w:r>
      <w:r>
        <w:rPr>
          <w:color w:val="00AF50"/>
          <w:sz w:val="22"/>
        </w:rPr>
        <w:t>skewed.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76" w:lineRule="auto" w:before="4" w:after="0"/>
        <w:ind w:left="1540" w:right="308" w:hanging="720"/>
        <w:jc w:val="left"/>
        <w:rPr>
          <w:sz w:val="22"/>
        </w:rPr>
      </w:pPr>
      <w:r>
        <w:rPr>
          <w:sz w:val="22"/>
        </w:rPr>
        <w:t>If it was found that the data point with the value 25 is actually 2.5, how would the new</w:t>
      </w:r>
      <w:r>
        <w:rPr>
          <w:spacing w:val="-47"/>
          <w:sz w:val="22"/>
        </w:rPr>
        <w:t> </w:t>
      </w:r>
      <w:r>
        <w:rPr>
          <w:sz w:val="22"/>
        </w:rPr>
        <w:t>box-plot</w:t>
      </w:r>
      <w:r>
        <w:rPr>
          <w:spacing w:val="-3"/>
          <w:sz w:val="22"/>
        </w:rPr>
        <w:t> </w:t>
      </w:r>
      <w:r>
        <w:rPr>
          <w:sz w:val="22"/>
        </w:rPr>
        <w:t>be affected?</w:t>
      </w:r>
    </w:p>
    <w:p>
      <w:pPr>
        <w:pStyle w:val="BodyText"/>
        <w:spacing w:line="268" w:lineRule="exact"/>
        <w:ind w:left="1146"/>
      </w:pPr>
      <w:r>
        <w:rPr>
          <w:color w:val="00AF50"/>
        </w:rPr>
        <w:t>Ans:</w:t>
      </w:r>
      <w:r>
        <w:rPr>
          <w:color w:val="00AF50"/>
          <w:spacing w:val="-3"/>
        </w:rPr>
        <w:t> </w:t>
      </w:r>
      <w:r>
        <w:rPr>
          <w:color w:val="00AF50"/>
        </w:rPr>
        <w:t>There</w:t>
      </w:r>
      <w:r>
        <w:rPr>
          <w:color w:val="00AF50"/>
          <w:spacing w:val="-3"/>
        </w:rPr>
        <w:t> </w:t>
      </w:r>
      <w:r>
        <w:rPr>
          <w:color w:val="00AF50"/>
        </w:rPr>
        <w:t>won’t be any</w:t>
      </w:r>
      <w:r>
        <w:rPr>
          <w:color w:val="00AF50"/>
          <w:spacing w:val="-3"/>
        </w:rPr>
        <w:t> </w:t>
      </w:r>
      <w:r>
        <w:rPr>
          <w:color w:val="00AF50"/>
        </w:rPr>
        <w:t>outliers</w:t>
      </w:r>
      <w:r>
        <w:rPr>
          <w:color w:val="00AF50"/>
          <w:spacing w:val="-3"/>
        </w:rPr>
        <w:t> </w:t>
      </w:r>
      <w:r>
        <w:rPr>
          <w:color w:val="00AF50"/>
        </w:rPr>
        <w:t>and the boxplot</w:t>
      </w:r>
      <w:r>
        <w:rPr>
          <w:color w:val="00AF50"/>
          <w:spacing w:val="-1"/>
        </w:rPr>
        <w:t> </w:t>
      </w:r>
      <w:r>
        <w:rPr>
          <w:color w:val="00AF50"/>
        </w:rPr>
        <w:t>will</w:t>
      </w:r>
      <w:r>
        <w:rPr>
          <w:color w:val="00AF50"/>
          <w:spacing w:val="-4"/>
        </w:rPr>
        <w:t> </w:t>
      </w:r>
      <w:r>
        <w:rPr>
          <w:color w:val="00AF50"/>
        </w:rPr>
        <w:t>not</w:t>
      </w:r>
      <w:r>
        <w:rPr>
          <w:color w:val="00AF50"/>
          <w:spacing w:val="-3"/>
        </w:rPr>
        <w:t> </w:t>
      </w:r>
      <w:r>
        <w:rPr>
          <w:color w:val="00AF50"/>
        </w:rPr>
        <w:t>be</w:t>
      </w:r>
      <w:r>
        <w:rPr>
          <w:color w:val="00AF50"/>
          <w:spacing w:val="-1"/>
        </w:rPr>
        <w:t> </w:t>
      </w:r>
      <w:r>
        <w:rPr>
          <w:color w:val="00AF50"/>
        </w:rPr>
        <w:t>affected.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56"/>
        <w:ind w:left="460"/>
      </w:pPr>
      <w:r>
        <w:rPr/>
        <w:t>3.</w:t>
      </w:r>
    </w:p>
    <w:p>
      <w:pPr>
        <w:spacing w:after="0"/>
        <w:sectPr>
          <w:pgSz w:w="12240" w:h="15840"/>
          <w:pgMar w:header="0" w:footer="269" w:top="900" w:bottom="46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28151" cy="4114800"/>
            <wp:effectExtent l="0" t="0" r="0" b="0"/>
            <wp:docPr id="5" name="image3.jpeg" descr="C:\Users\30644.ISBDOMAIN1\Dropbox\Ours\BA course\Our Era as TA's\Statistical Analysis 1-Estimation and Testing\Practice Problems\Histogram Q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15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56"/>
        <w:ind w:left="820"/>
      </w:pPr>
      <w:r>
        <w:rPr/>
        <w:t>Answer</w:t>
      </w:r>
      <w:r>
        <w:rPr>
          <w:spacing w:val="-2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histogram above.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76" w:lineRule="auto" w:before="41" w:after="0"/>
        <w:ind w:left="998" w:right="4239" w:hanging="178"/>
        <w:jc w:val="left"/>
        <w:rPr>
          <w:sz w:val="22"/>
        </w:rPr>
      </w:pPr>
      <w:r>
        <w:rPr>
          <w:sz w:val="22"/>
        </w:rPr>
        <w:t>Where would the mode of this dataset lie?</w:t>
      </w:r>
      <w:r>
        <w:rPr>
          <w:spacing w:val="-47"/>
          <w:sz w:val="22"/>
        </w:rPr>
        <w:t> </w:t>
      </w:r>
      <w:r>
        <w:rPr>
          <w:color w:val="00AF50"/>
          <w:sz w:val="22"/>
        </w:rPr>
        <w:t>Ans:</w:t>
      </w:r>
      <w:r>
        <w:rPr>
          <w:color w:val="00AF50"/>
          <w:spacing w:val="-3"/>
          <w:sz w:val="22"/>
        </w:rPr>
        <w:t> </w:t>
      </w:r>
      <w:r>
        <w:rPr>
          <w:color w:val="00AF50"/>
          <w:sz w:val="22"/>
        </w:rPr>
        <w:t>The</w:t>
      </w:r>
      <w:r>
        <w:rPr>
          <w:color w:val="00AF50"/>
          <w:spacing w:val="-2"/>
          <w:sz w:val="22"/>
        </w:rPr>
        <w:t> </w:t>
      </w:r>
      <w:r>
        <w:rPr>
          <w:color w:val="00AF50"/>
          <w:sz w:val="22"/>
        </w:rPr>
        <w:t>mode</w:t>
      </w:r>
      <w:r>
        <w:rPr>
          <w:color w:val="00AF50"/>
          <w:spacing w:val="-2"/>
          <w:sz w:val="22"/>
        </w:rPr>
        <w:t> </w:t>
      </w:r>
      <w:r>
        <w:rPr>
          <w:color w:val="00AF50"/>
          <w:sz w:val="22"/>
        </w:rPr>
        <w:t>of this data</w:t>
      </w:r>
      <w:r>
        <w:rPr>
          <w:color w:val="00AF50"/>
          <w:spacing w:val="-2"/>
          <w:sz w:val="22"/>
        </w:rPr>
        <w:t> </w:t>
      </w:r>
      <w:r>
        <w:rPr>
          <w:color w:val="00AF50"/>
          <w:sz w:val="22"/>
        </w:rPr>
        <w:t>set is 5</w:t>
      </w:r>
      <w:r>
        <w:rPr>
          <w:color w:val="00AF50"/>
          <w:spacing w:val="-1"/>
          <w:sz w:val="22"/>
        </w:rPr>
        <w:t> </w:t>
      </w:r>
      <w:r>
        <w:rPr>
          <w:color w:val="00AF50"/>
          <w:sz w:val="22"/>
        </w:rPr>
        <w:t>and</w:t>
      </w:r>
      <w:r>
        <w:rPr>
          <w:color w:val="00AF50"/>
          <w:spacing w:val="-1"/>
          <w:sz w:val="22"/>
        </w:rPr>
        <w:t> </w:t>
      </w:r>
      <w:r>
        <w:rPr>
          <w:color w:val="00AF50"/>
          <w:sz w:val="22"/>
        </w:rPr>
        <w:t>7.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998" w:right="4284" w:hanging="178"/>
        <w:jc w:val="left"/>
        <w:rPr>
          <w:sz w:val="22"/>
        </w:rPr>
      </w:pPr>
      <w:r>
        <w:rPr>
          <w:sz w:val="22"/>
        </w:rPr>
        <w:t>Comment on the skewness of the dataset.</w:t>
      </w:r>
      <w:r>
        <w:rPr>
          <w:spacing w:val="-47"/>
          <w:sz w:val="22"/>
        </w:rPr>
        <w:t> </w:t>
      </w:r>
      <w:r>
        <w:rPr>
          <w:color w:val="00AF50"/>
          <w:sz w:val="22"/>
        </w:rPr>
        <w:t>Ans:</w:t>
      </w:r>
      <w:r>
        <w:rPr>
          <w:color w:val="00AF50"/>
          <w:spacing w:val="-3"/>
          <w:sz w:val="22"/>
        </w:rPr>
        <w:t> </w:t>
      </w:r>
      <w:r>
        <w:rPr>
          <w:color w:val="00AF50"/>
          <w:sz w:val="22"/>
        </w:rPr>
        <w:t>The</w:t>
      </w:r>
      <w:r>
        <w:rPr>
          <w:color w:val="00AF50"/>
          <w:spacing w:val="1"/>
          <w:sz w:val="22"/>
        </w:rPr>
        <w:t> </w:t>
      </w:r>
      <w:r>
        <w:rPr>
          <w:color w:val="00AF50"/>
          <w:sz w:val="22"/>
        </w:rPr>
        <w:t>distribution</w:t>
      </w:r>
      <w:r>
        <w:rPr>
          <w:color w:val="00AF50"/>
          <w:spacing w:val="-1"/>
          <w:sz w:val="22"/>
        </w:rPr>
        <w:t> </w:t>
      </w:r>
      <w:r>
        <w:rPr>
          <w:color w:val="00AF50"/>
          <w:sz w:val="22"/>
        </w:rPr>
        <w:t>is right</w:t>
      </w:r>
      <w:r>
        <w:rPr>
          <w:color w:val="00AF50"/>
          <w:spacing w:val="-2"/>
          <w:sz w:val="22"/>
        </w:rPr>
        <w:t> </w:t>
      </w:r>
      <w:r>
        <w:rPr>
          <w:color w:val="00AF50"/>
          <w:sz w:val="22"/>
        </w:rPr>
        <w:t>skewed.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0" w:right="535" w:hanging="720"/>
        <w:jc w:val="left"/>
        <w:rPr>
          <w:sz w:val="22"/>
        </w:rPr>
      </w:pPr>
      <w:r>
        <w:rPr>
          <w:sz w:val="22"/>
        </w:rPr>
        <w:t>Suppose that the above histogram and the box-plot in question 2 are plotted for the</w:t>
      </w:r>
      <w:r>
        <w:rPr>
          <w:spacing w:val="-47"/>
          <w:sz w:val="22"/>
        </w:rPr>
        <w:t> </w:t>
      </w:r>
      <w:r>
        <w:rPr>
          <w:sz w:val="22"/>
        </w:rPr>
        <w:t>same dataset. Explain how these graphs complement each other in providing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about any dataset?</w:t>
      </w:r>
    </w:p>
    <w:p>
      <w:pPr>
        <w:pStyle w:val="BodyText"/>
        <w:spacing w:line="276" w:lineRule="auto"/>
        <w:ind w:left="100" w:right="12" w:firstLine="947"/>
      </w:pPr>
      <w:r>
        <w:rPr/>
        <w:t>Ans</w:t>
      </w:r>
      <w:r>
        <w:rPr>
          <w:color w:val="00AF50"/>
        </w:rPr>
        <w:t>: Boxplot shows the outliers in the dataset whereas histogram shows if the data is</w:t>
      </w:r>
      <w:r>
        <w:rPr>
          <w:color w:val="00AF50"/>
          <w:spacing w:val="1"/>
        </w:rPr>
        <w:t> </w:t>
      </w:r>
      <w:r>
        <w:rPr>
          <w:color w:val="00AF50"/>
        </w:rPr>
        <w:t>symmetric or not. Histogram is frequency distribution so with histogram we can understand the</w:t>
      </w:r>
      <w:r>
        <w:rPr>
          <w:color w:val="00AF50"/>
          <w:spacing w:val="1"/>
        </w:rPr>
        <w:t> </w:t>
      </w:r>
      <w:r>
        <w:rPr>
          <w:color w:val="00AF50"/>
        </w:rPr>
        <w:t>occurrence</w:t>
      </w:r>
      <w:r>
        <w:rPr>
          <w:color w:val="00AF50"/>
          <w:spacing w:val="-3"/>
        </w:rPr>
        <w:t> </w:t>
      </w:r>
      <w:r>
        <w:rPr>
          <w:color w:val="00AF50"/>
        </w:rPr>
        <w:t>of</w:t>
      </w:r>
      <w:r>
        <w:rPr>
          <w:color w:val="00AF50"/>
          <w:spacing w:val="-1"/>
        </w:rPr>
        <w:t> </w:t>
      </w:r>
      <w:r>
        <w:rPr>
          <w:color w:val="00AF50"/>
        </w:rPr>
        <w:t>data</w:t>
      </w:r>
      <w:r>
        <w:rPr>
          <w:color w:val="00AF50"/>
          <w:spacing w:val="-3"/>
        </w:rPr>
        <w:t> </w:t>
      </w:r>
      <w:r>
        <w:rPr>
          <w:color w:val="00AF50"/>
        </w:rPr>
        <w:t>points.</w:t>
      </w:r>
      <w:r>
        <w:rPr>
          <w:color w:val="00AF50"/>
          <w:spacing w:val="-6"/>
        </w:rPr>
        <w:t> </w:t>
      </w:r>
      <w:r>
        <w:rPr>
          <w:color w:val="00AF50"/>
        </w:rPr>
        <w:t>We</w:t>
      </w:r>
      <w:r>
        <w:rPr>
          <w:color w:val="00AF50"/>
          <w:spacing w:val="-1"/>
        </w:rPr>
        <w:t> </w:t>
      </w:r>
      <w:r>
        <w:rPr>
          <w:color w:val="00AF50"/>
        </w:rPr>
        <w:t>can</w:t>
      </w:r>
      <w:r>
        <w:rPr>
          <w:color w:val="00AF50"/>
          <w:spacing w:val="-4"/>
        </w:rPr>
        <w:t> </w:t>
      </w:r>
      <w:r>
        <w:rPr>
          <w:color w:val="00AF50"/>
        </w:rPr>
        <w:t>see</w:t>
      </w:r>
      <w:r>
        <w:rPr>
          <w:color w:val="00AF50"/>
          <w:spacing w:val="-5"/>
        </w:rPr>
        <w:t> </w:t>
      </w:r>
      <w:r>
        <w:rPr>
          <w:color w:val="00AF50"/>
        </w:rPr>
        <w:t>median</w:t>
      </w:r>
      <w:r>
        <w:rPr>
          <w:color w:val="00AF50"/>
          <w:spacing w:val="-1"/>
        </w:rPr>
        <w:t> </w:t>
      </w:r>
      <w:r>
        <w:rPr>
          <w:color w:val="00AF50"/>
        </w:rPr>
        <w:t>from</w:t>
      </w:r>
      <w:r>
        <w:rPr>
          <w:color w:val="00AF50"/>
          <w:spacing w:val="-3"/>
        </w:rPr>
        <w:t> </w:t>
      </w:r>
      <w:r>
        <w:rPr>
          <w:color w:val="00AF50"/>
        </w:rPr>
        <w:t>boxplots and</w:t>
      </w:r>
      <w:r>
        <w:rPr>
          <w:color w:val="00AF50"/>
          <w:spacing w:val="-3"/>
        </w:rPr>
        <w:t> </w:t>
      </w:r>
      <w:r>
        <w:rPr>
          <w:color w:val="00AF50"/>
        </w:rPr>
        <w:t>mode from</w:t>
      </w:r>
      <w:r>
        <w:rPr>
          <w:color w:val="00AF50"/>
          <w:spacing w:val="1"/>
        </w:rPr>
        <w:t> </w:t>
      </w:r>
      <w:r>
        <w:rPr>
          <w:color w:val="00AF50"/>
        </w:rPr>
        <w:t>histogram.</w:t>
      </w:r>
      <w:r>
        <w:rPr>
          <w:color w:val="00AF50"/>
          <w:spacing w:val="-2"/>
        </w:rPr>
        <w:t> </w:t>
      </w:r>
      <w:r>
        <w:rPr>
          <w:color w:val="00AF50"/>
        </w:rPr>
        <w:t>From both</w:t>
      </w:r>
      <w:r>
        <w:rPr>
          <w:color w:val="00AF50"/>
          <w:spacing w:val="-3"/>
        </w:rPr>
        <w:t> </w:t>
      </w:r>
      <w:r>
        <w:rPr>
          <w:color w:val="00AF50"/>
        </w:rPr>
        <w:t>the</w:t>
      </w:r>
      <w:r>
        <w:rPr>
          <w:color w:val="00AF50"/>
          <w:spacing w:val="-47"/>
        </w:rPr>
        <w:t> </w:t>
      </w:r>
      <w:r>
        <w:rPr>
          <w:color w:val="00AF50"/>
        </w:rPr>
        <w:t>plots</w:t>
      </w:r>
      <w:r>
        <w:rPr>
          <w:color w:val="00AF50"/>
          <w:spacing w:val="-3"/>
        </w:rPr>
        <w:t> </w:t>
      </w:r>
      <w:r>
        <w:rPr>
          <w:color w:val="00AF50"/>
        </w:rPr>
        <w:t>we</w:t>
      </w:r>
      <w:r>
        <w:rPr>
          <w:color w:val="00AF50"/>
          <w:spacing w:val="-2"/>
        </w:rPr>
        <w:t> </w:t>
      </w:r>
      <w:r>
        <w:rPr>
          <w:color w:val="00AF50"/>
        </w:rPr>
        <w:t>can</w:t>
      </w:r>
      <w:r>
        <w:rPr>
          <w:color w:val="00AF50"/>
          <w:spacing w:val="-1"/>
        </w:rPr>
        <w:t> </w:t>
      </w:r>
      <w:r>
        <w:rPr>
          <w:color w:val="00AF50"/>
        </w:rPr>
        <w:t>understand</w:t>
      </w:r>
      <w:r>
        <w:rPr>
          <w:color w:val="00AF50"/>
          <w:spacing w:val="-1"/>
        </w:rPr>
        <w:t> </w:t>
      </w:r>
      <w:r>
        <w:rPr>
          <w:color w:val="00AF50"/>
        </w:rPr>
        <w:t>the</w:t>
      </w:r>
      <w:r>
        <w:rPr>
          <w:color w:val="00AF50"/>
          <w:spacing w:val="1"/>
        </w:rPr>
        <w:t> </w:t>
      </w:r>
      <w:r>
        <w:rPr>
          <w:color w:val="00AF50"/>
        </w:rPr>
        <w:t>distribution</w:t>
      </w:r>
      <w:r>
        <w:rPr>
          <w:color w:val="00AF50"/>
          <w:spacing w:val="-4"/>
        </w:rPr>
        <w:t> </w:t>
      </w:r>
      <w:r>
        <w:rPr>
          <w:color w:val="00AF50"/>
        </w:rPr>
        <w:t>is right skewed.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0" w:after="0"/>
        <w:ind w:left="820" w:right="210" w:hanging="360"/>
        <w:jc w:val="left"/>
        <w:rPr>
          <w:sz w:val="22"/>
        </w:rPr>
      </w:pPr>
      <w:r>
        <w:rPr>
          <w:sz w:val="22"/>
        </w:rPr>
        <w:t>AT&amp;T was running commercials in 1990 aimed at luring back customers who had switched to</w:t>
      </w:r>
      <w:r>
        <w:rPr>
          <w:spacing w:val="1"/>
          <w:sz w:val="22"/>
        </w:rPr>
        <w:t> </w:t>
      </w:r>
      <w:r>
        <w:rPr>
          <w:sz w:val="22"/>
        </w:rPr>
        <w:t>one of the other long-distance phone service providers. One such commercial shows a</w:t>
      </w:r>
      <w:r>
        <w:rPr>
          <w:spacing w:val="1"/>
          <w:sz w:val="22"/>
        </w:rPr>
        <w:t> </w:t>
      </w:r>
      <w:r>
        <w:rPr>
          <w:sz w:val="22"/>
        </w:rPr>
        <w:t>businessman trying to reach Phoenix and mistakenly getting Fiji, where a half-naked native on a</w:t>
      </w:r>
      <w:r>
        <w:rPr>
          <w:spacing w:val="-47"/>
          <w:sz w:val="22"/>
        </w:rPr>
        <w:t> </w:t>
      </w:r>
      <w:r>
        <w:rPr>
          <w:sz w:val="22"/>
        </w:rPr>
        <w:t>beach responds incomprehensibly in Polynesian. When asked about this advertisement, AT&amp;T</w:t>
      </w:r>
      <w:r>
        <w:rPr>
          <w:spacing w:val="1"/>
          <w:sz w:val="22"/>
        </w:rPr>
        <w:t> </w:t>
      </w:r>
      <w:r>
        <w:rPr>
          <w:sz w:val="22"/>
        </w:rPr>
        <w:t>admitted that the portrayed incident did not actually take place but added that this was an</w:t>
      </w:r>
      <w:r>
        <w:rPr>
          <w:spacing w:val="1"/>
          <w:sz w:val="22"/>
        </w:rPr>
        <w:t> </w:t>
      </w:r>
      <w:r>
        <w:rPr>
          <w:sz w:val="22"/>
        </w:rPr>
        <w:t>enactment of something that “could happen.” Suppose that one in 200 long-distance telephone</w:t>
      </w:r>
      <w:r>
        <w:rPr>
          <w:spacing w:val="-47"/>
          <w:sz w:val="22"/>
        </w:rPr>
        <w:t> </w:t>
      </w:r>
      <w:r>
        <w:rPr>
          <w:sz w:val="22"/>
        </w:rPr>
        <w:t>calls is misdirected. What is the probability that at least one in five attempted telephone calls</w:t>
      </w:r>
      <w:r>
        <w:rPr>
          <w:spacing w:val="1"/>
          <w:sz w:val="22"/>
        </w:rPr>
        <w:t> </w:t>
      </w:r>
      <w:r>
        <w:rPr>
          <w:sz w:val="22"/>
        </w:rPr>
        <w:t>reaches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wrong</w:t>
      </w:r>
      <w:r>
        <w:rPr>
          <w:spacing w:val="-1"/>
          <w:sz w:val="22"/>
        </w:rPr>
        <w:t> </w:t>
      </w:r>
      <w:r>
        <w:rPr>
          <w:sz w:val="22"/>
        </w:rPr>
        <w:t>number? (Assume</w:t>
      </w:r>
      <w:r>
        <w:rPr>
          <w:spacing w:val="-2"/>
          <w:sz w:val="22"/>
        </w:rPr>
        <w:t> </w:t>
      </w:r>
      <w:r>
        <w:rPr>
          <w:sz w:val="22"/>
        </w:rPr>
        <w:t>independence</w:t>
      </w:r>
      <w:r>
        <w:rPr>
          <w:spacing w:val="-2"/>
          <w:sz w:val="22"/>
        </w:rPr>
        <w:t> </w:t>
      </w:r>
      <w:r>
        <w:rPr>
          <w:sz w:val="22"/>
        </w:rPr>
        <w:t>of attempts).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269" w:top="900" w:bottom="460" w:left="1340" w:right="1300"/>
        </w:sectPr>
      </w:pPr>
    </w:p>
    <w:p>
      <w:pPr>
        <w:pStyle w:val="BodyText"/>
        <w:spacing w:line="276" w:lineRule="auto" w:before="39"/>
        <w:ind w:left="498" w:right="2555" w:hanging="399"/>
      </w:pPr>
      <w:r>
        <w:rPr>
          <w:color w:val="00AF50"/>
        </w:rPr>
        <w:t>Ans: If one in every 200 Calls are getting misdirected the probability is : 1/200</w:t>
      </w:r>
      <w:r>
        <w:rPr>
          <w:color w:val="00AF50"/>
          <w:spacing w:val="-47"/>
        </w:rPr>
        <w:t> </w:t>
      </w:r>
      <w:r>
        <w:rPr>
          <w:color w:val="00AF50"/>
        </w:rPr>
        <w:t>Probability</w:t>
      </w:r>
      <w:r>
        <w:rPr>
          <w:color w:val="00AF50"/>
          <w:spacing w:val="-3"/>
        </w:rPr>
        <w:t> </w:t>
      </w:r>
      <w:r>
        <w:rPr>
          <w:color w:val="00AF50"/>
        </w:rPr>
        <w:t>of calls not</w:t>
      </w:r>
      <w:r>
        <w:rPr>
          <w:color w:val="00AF50"/>
          <w:spacing w:val="-2"/>
        </w:rPr>
        <w:t> </w:t>
      </w:r>
      <w:r>
        <w:rPr>
          <w:color w:val="00AF50"/>
        </w:rPr>
        <w:t>misdirected</w:t>
      </w:r>
      <w:r>
        <w:rPr>
          <w:color w:val="00AF50"/>
          <w:spacing w:val="-1"/>
        </w:rPr>
        <w:t> </w:t>
      </w:r>
      <w:r>
        <w:rPr>
          <w:color w:val="00AF50"/>
        </w:rPr>
        <w:t>is=</w:t>
      </w:r>
      <w:r>
        <w:rPr>
          <w:color w:val="00AF50"/>
          <w:spacing w:val="1"/>
        </w:rPr>
        <w:t> </w:t>
      </w:r>
      <w:r>
        <w:rPr>
          <w:color w:val="00AF50"/>
        </w:rPr>
        <w:t>1-1/200=</w:t>
      </w:r>
      <w:r>
        <w:rPr>
          <w:color w:val="00AF50"/>
          <w:spacing w:val="-2"/>
        </w:rPr>
        <w:t> </w:t>
      </w:r>
      <w:r>
        <w:rPr>
          <w:color w:val="00AF50"/>
        </w:rPr>
        <w:t>199</w:t>
      </w:r>
    </w:p>
    <w:p>
      <w:pPr>
        <w:pStyle w:val="BodyText"/>
        <w:spacing w:line="268" w:lineRule="exact"/>
        <w:ind w:left="501"/>
      </w:pPr>
      <w:r>
        <w:rPr>
          <w:color w:val="00AF50"/>
        </w:rPr>
        <w:t>n=5</w:t>
      </w:r>
    </w:p>
    <w:p>
      <w:pPr>
        <w:pStyle w:val="BodyText"/>
        <w:spacing w:before="132"/>
        <w:ind w:left="460"/>
      </w:pPr>
      <w:r>
        <w:rPr>
          <w:color w:val="00AF50"/>
        </w:rPr>
        <w:t>= 1</w:t>
      </w:r>
      <w:r>
        <w:rPr>
          <w:color w:val="00AF50"/>
          <w:spacing w:val="1"/>
        </w:rPr>
        <w:t> </w:t>
      </w:r>
      <w:r>
        <w:rPr>
          <w:color w:val="00AF50"/>
        </w:rPr>
        <w:t>-</w:t>
      </w:r>
      <w:r>
        <w:rPr>
          <w:color w:val="00AF50"/>
          <w:spacing w:val="-3"/>
        </w:rPr>
        <w:t> </w:t>
      </w:r>
      <w:r>
        <w:rPr>
          <w:color w:val="00AF50"/>
        </w:rPr>
        <w:t>none</w:t>
      </w:r>
      <w:r>
        <w:rPr>
          <w:color w:val="00AF50"/>
          <w:spacing w:val="-2"/>
        </w:rPr>
        <w:t> </w:t>
      </w:r>
      <w:r>
        <w:rPr>
          <w:color w:val="00AF50"/>
        </w:rPr>
        <w:t>of</w:t>
      </w:r>
      <w:r>
        <w:rPr>
          <w:color w:val="00AF50"/>
          <w:spacing w:val="-2"/>
        </w:rPr>
        <w:t> </w:t>
      </w:r>
      <w:r>
        <w:rPr>
          <w:color w:val="00AF50"/>
        </w:rPr>
        <w:t>the</w:t>
      </w:r>
      <w:r>
        <w:rPr>
          <w:color w:val="00AF50"/>
          <w:spacing w:val="-2"/>
        </w:rPr>
        <w:t> </w:t>
      </w:r>
      <w:r>
        <w:rPr>
          <w:color w:val="00AF50"/>
        </w:rPr>
        <w:t>call</w:t>
      </w:r>
      <w:r>
        <w:rPr>
          <w:color w:val="00AF50"/>
          <w:spacing w:val="-1"/>
        </w:rPr>
        <w:t> </w:t>
      </w:r>
      <w:r>
        <w:rPr>
          <w:color w:val="00AF50"/>
        </w:rPr>
        <w:t>reaches the</w:t>
      </w:r>
      <w:r>
        <w:rPr>
          <w:color w:val="00AF50"/>
          <w:spacing w:val="-1"/>
        </w:rPr>
        <w:t> </w:t>
      </w:r>
      <w:r>
        <w:rPr>
          <w:color w:val="00AF50"/>
        </w:rPr>
        <w:t>wrong</w:t>
      </w:r>
      <w:r>
        <w:rPr>
          <w:color w:val="00AF50"/>
          <w:spacing w:val="-1"/>
        </w:rPr>
        <w:t> </w:t>
      </w:r>
      <w:r>
        <w:rPr>
          <w:color w:val="00AF50"/>
        </w:rPr>
        <w:t>number</w:t>
      </w:r>
    </w:p>
    <w:p>
      <w:pPr>
        <w:pStyle w:val="BodyText"/>
        <w:spacing w:before="92"/>
        <w:ind w:left="460"/>
      </w:pPr>
      <w:r>
        <w:rPr>
          <w:color w:val="00AF50"/>
        </w:rPr>
        <w:t>= 1</w:t>
      </w:r>
      <w:r>
        <w:rPr>
          <w:color w:val="00AF50"/>
          <w:spacing w:val="1"/>
        </w:rPr>
        <w:t> </w:t>
      </w:r>
      <w:r>
        <w:rPr>
          <w:color w:val="00AF50"/>
        </w:rPr>
        <w:t>-</w:t>
      </w:r>
      <w:r>
        <w:rPr>
          <w:color w:val="00AF50"/>
          <w:spacing w:val="-2"/>
        </w:rPr>
        <w:t> </w:t>
      </w:r>
      <w:r>
        <w:rPr>
          <w:color w:val="00AF50"/>
        </w:rPr>
        <w:t>P</w:t>
      </w:r>
      <w:r>
        <w:rPr>
          <w:color w:val="00AF50"/>
          <w:spacing w:val="-2"/>
        </w:rPr>
        <w:t> </w:t>
      </w:r>
      <w:r>
        <w:rPr>
          <w:color w:val="00AF50"/>
        </w:rPr>
        <w:t>(0)</w:t>
      </w:r>
    </w:p>
    <w:p>
      <w:pPr>
        <w:pStyle w:val="BodyText"/>
        <w:spacing w:before="91"/>
        <w:ind w:left="460"/>
      </w:pPr>
      <w:r>
        <w:rPr>
          <w:color w:val="00AF50"/>
        </w:rPr>
        <w:t>=</w:t>
      </w:r>
      <w:r>
        <w:rPr>
          <w:color w:val="00AF50"/>
          <w:spacing w:val="-2"/>
        </w:rPr>
        <w:t> </w:t>
      </w:r>
      <w:r>
        <w:rPr>
          <w:color w:val="00AF50"/>
        </w:rPr>
        <w:t>1</w:t>
      </w:r>
      <w:r>
        <w:rPr>
          <w:color w:val="00AF50"/>
          <w:spacing w:val="47"/>
        </w:rPr>
        <w:t> </w:t>
      </w:r>
      <w:r>
        <w:rPr>
          <w:color w:val="00AF50"/>
        </w:rPr>
        <w:t>-</w:t>
      </w:r>
      <w:r>
        <w:rPr>
          <w:color w:val="00AF50"/>
          <w:spacing w:val="-1"/>
        </w:rPr>
        <w:t> </w:t>
      </w:r>
      <w:r>
        <w:rPr>
          <w:color w:val="00AF50"/>
        </w:rPr>
        <w:t>(1/200)</w:t>
      </w:r>
      <w:r>
        <w:rPr>
          <w:color w:val="00AF50"/>
          <w:spacing w:val="-4"/>
        </w:rPr>
        <w:t> </w:t>
      </w:r>
      <w:r>
        <w:rPr>
          <w:color w:val="00AF50"/>
        </w:rPr>
        <w:t>(199/200)</w:t>
      </w:r>
      <w:r>
        <w:rPr>
          <w:color w:val="00AF50"/>
          <w:spacing w:val="-1"/>
        </w:rPr>
        <w:t> </w:t>
      </w:r>
      <w:r>
        <w:rPr>
          <w:color w:val="00AF50"/>
        </w:rPr>
        <w:t>^5</w:t>
      </w:r>
    </w:p>
    <w:p>
      <w:pPr>
        <w:pStyle w:val="BodyText"/>
        <w:spacing w:before="92"/>
        <w:ind w:left="460"/>
      </w:pPr>
      <w:r>
        <w:rPr>
          <w:color w:val="00AF50"/>
        </w:rPr>
        <w:t>=</w:t>
      </w:r>
      <w:r>
        <w:rPr>
          <w:color w:val="00AF50"/>
          <w:spacing w:val="-2"/>
        </w:rPr>
        <w:t> </w:t>
      </w:r>
      <w:r>
        <w:rPr>
          <w:color w:val="00AF50"/>
        </w:rPr>
        <w:t>1 -</w:t>
      </w:r>
      <w:r>
        <w:rPr>
          <w:color w:val="00AF50"/>
          <w:spacing w:val="-4"/>
        </w:rPr>
        <w:t> </w:t>
      </w:r>
      <w:r>
        <w:rPr>
          <w:color w:val="00AF50"/>
        </w:rPr>
        <w:t>(199/200)</w:t>
      </w:r>
      <w:r>
        <w:rPr>
          <w:color w:val="00AF50"/>
          <w:spacing w:val="-1"/>
        </w:rPr>
        <w:t> </w:t>
      </w:r>
      <w:r>
        <w:rPr>
          <w:color w:val="00AF50"/>
        </w:rPr>
        <w:t>^5</w:t>
      </w:r>
    </w:p>
    <w:p>
      <w:pPr>
        <w:pStyle w:val="BodyText"/>
        <w:spacing w:before="91"/>
        <w:ind w:left="460"/>
      </w:pPr>
      <w:r>
        <w:rPr>
          <w:color w:val="00AF50"/>
        </w:rPr>
        <w:t>=</w:t>
      </w:r>
      <w:r>
        <w:rPr>
          <w:color w:val="00AF50"/>
          <w:spacing w:val="-2"/>
        </w:rPr>
        <w:t> </w:t>
      </w:r>
      <w:r>
        <w:rPr>
          <w:color w:val="00AF50"/>
        </w:rPr>
        <w:t>0.02475.</w:t>
      </w:r>
    </w:p>
    <w:p>
      <w:pPr>
        <w:pStyle w:val="BodyText"/>
        <w:spacing w:line="276" w:lineRule="auto"/>
        <w:ind w:left="100" w:right="790" w:firstLine="360"/>
      </w:pPr>
      <w:r>
        <w:rPr>
          <w:color w:val="00AF50"/>
        </w:rPr>
        <w:t>The probability that at least one in five attempted telephone calls reaches the wrong number</w:t>
      </w:r>
      <w:r>
        <w:rPr>
          <w:color w:val="00AF50"/>
          <w:spacing w:val="-47"/>
        </w:rPr>
        <w:t> </w:t>
      </w:r>
      <w:r>
        <w:rPr>
          <w:color w:val="00AF50"/>
        </w:rPr>
        <w:t>0.02475.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6" w:lineRule="auto" w:before="162" w:after="2"/>
        <w:ind w:left="820" w:right="247" w:hanging="360"/>
        <w:jc w:val="left"/>
        <w:rPr>
          <w:sz w:val="22"/>
        </w:rPr>
      </w:pPr>
      <w:r>
        <w:rPr>
          <w:sz w:val="22"/>
        </w:rPr>
        <w:t>Returns on a certain business venture, to the nearest $1,000, are known to follow the following</w:t>
      </w:r>
      <w:r>
        <w:rPr>
          <w:spacing w:val="-47"/>
          <w:sz w:val="22"/>
        </w:rPr>
        <w:t> </w:t>
      </w:r>
      <w:r>
        <w:rPr>
          <w:sz w:val="22"/>
        </w:rPr>
        <w:t>probability</w:t>
      </w:r>
      <w:r>
        <w:rPr>
          <w:spacing w:val="-1"/>
          <w:sz w:val="22"/>
        </w:rPr>
        <w:t> </w:t>
      </w:r>
      <w:r>
        <w:rPr>
          <w:sz w:val="22"/>
        </w:rPr>
        <w:t>distribution</w:t>
      </w:r>
    </w:p>
    <w:tbl>
      <w:tblPr>
        <w:tblW w:w="0" w:type="auto"/>
        <w:jc w:val="left"/>
        <w:tblInd w:w="2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2074"/>
      </w:tblGrid>
      <w:tr>
        <w:trPr>
          <w:trHeight w:val="275" w:hRule="atLeast"/>
        </w:trPr>
        <w:tc>
          <w:tcPr>
            <w:tcW w:w="2078" w:type="dxa"/>
          </w:tcPr>
          <w:p>
            <w:pPr>
              <w:pStyle w:val="TableParagraph"/>
              <w:spacing w:line="256" w:lineRule="exact" w:before="0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2074" w:type="dxa"/>
          </w:tcPr>
          <w:p>
            <w:pPr>
              <w:pStyle w:val="TableParagraph"/>
              <w:spacing w:line="256" w:lineRule="exact" w:before="0"/>
              <w:ind w:left="864"/>
              <w:rPr>
                <w:sz w:val="22"/>
              </w:rPr>
            </w:pPr>
            <w:r>
              <w:rPr>
                <w:sz w:val="22"/>
              </w:rPr>
              <w:t>P(x)</w:t>
            </w:r>
          </w:p>
        </w:tc>
      </w:tr>
      <w:tr>
        <w:trPr>
          <w:trHeight w:val="275" w:hRule="atLeast"/>
        </w:trPr>
        <w:tc>
          <w:tcPr>
            <w:tcW w:w="2078" w:type="dxa"/>
          </w:tcPr>
          <w:p>
            <w:pPr>
              <w:pStyle w:val="TableParagraph"/>
              <w:spacing w:line="256" w:lineRule="exact" w:before="0"/>
              <w:ind w:left="733" w:right="725"/>
              <w:jc w:val="center"/>
              <w:rPr>
                <w:sz w:val="22"/>
              </w:rPr>
            </w:pPr>
            <w:r>
              <w:rPr>
                <w:sz w:val="22"/>
              </w:rPr>
              <w:t>-2,000</w:t>
            </w:r>
          </w:p>
        </w:tc>
        <w:tc>
          <w:tcPr>
            <w:tcW w:w="2074" w:type="dxa"/>
          </w:tcPr>
          <w:p>
            <w:pPr>
              <w:pStyle w:val="TableParagraph"/>
              <w:spacing w:line="256" w:lineRule="exact" w:before="0"/>
              <w:ind w:left="895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>
        <w:trPr>
          <w:trHeight w:val="275" w:hRule="atLeast"/>
        </w:trPr>
        <w:tc>
          <w:tcPr>
            <w:tcW w:w="2078" w:type="dxa"/>
          </w:tcPr>
          <w:p>
            <w:pPr>
              <w:pStyle w:val="TableParagraph"/>
              <w:spacing w:line="256" w:lineRule="exact" w:before="0"/>
              <w:ind w:left="733" w:right="725"/>
              <w:jc w:val="center"/>
              <w:rPr>
                <w:sz w:val="22"/>
              </w:rPr>
            </w:pPr>
            <w:r>
              <w:rPr>
                <w:sz w:val="22"/>
              </w:rPr>
              <w:t>-1,000</w:t>
            </w:r>
          </w:p>
        </w:tc>
        <w:tc>
          <w:tcPr>
            <w:tcW w:w="2074" w:type="dxa"/>
          </w:tcPr>
          <w:p>
            <w:pPr>
              <w:pStyle w:val="TableParagraph"/>
              <w:spacing w:line="256" w:lineRule="exact" w:before="0"/>
              <w:ind w:left="895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>
        <w:trPr>
          <w:trHeight w:val="275" w:hRule="atLeast"/>
        </w:trPr>
        <w:tc>
          <w:tcPr>
            <w:tcW w:w="2078" w:type="dxa"/>
          </w:tcPr>
          <w:p>
            <w:pPr>
              <w:pStyle w:val="TableParagraph"/>
              <w:spacing w:line="256" w:lineRule="exact" w:before="0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074" w:type="dxa"/>
          </w:tcPr>
          <w:p>
            <w:pPr>
              <w:pStyle w:val="TableParagraph"/>
              <w:spacing w:line="256" w:lineRule="exact" w:before="0"/>
              <w:ind w:left="895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>
        <w:trPr>
          <w:trHeight w:val="275" w:hRule="atLeast"/>
        </w:trPr>
        <w:tc>
          <w:tcPr>
            <w:tcW w:w="2078" w:type="dxa"/>
          </w:tcPr>
          <w:p>
            <w:pPr>
              <w:pStyle w:val="TableParagraph"/>
              <w:spacing w:line="256" w:lineRule="exact" w:before="0"/>
              <w:ind w:left="733" w:right="722"/>
              <w:jc w:val="center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2074" w:type="dxa"/>
          </w:tcPr>
          <w:p>
            <w:pPr>
              <w:pStyle w:val="TableParagraph"/>
              <w:spacing w:line="256" w:lineRule="exact" w:before="0"/>
              <w:ind w:left="895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</w:tr>
      <w:tr>
        <w:trPr>
          <w:trHeight w:val="277" w:hRule="atLeast"/>
        </w:trPr>
        <w:tc>
          <w:tcPr>
            <w:tcW w:w="2078" w:type="dxa"/>
          </w:tcPr>
          <w:p>
            <w:pPr>
              <w:pStyle w:val="TableParagraph"/>
              <w:spacing w:line="258" w:lineRule="exact" w:before="0"/>
              <w:ind w:left="733" w:right="722"/>
              <w:jc w:val="center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2074" w:type="dxa"/>
          </w:tcPr>
          <w:p>
            <w:pPr>
              <w:pStyle w:val="TableParagraph"/>
              <w:spacing w:line="258" w:lineRule="exact" w:before="0"/>
              <w:ind w:left="895"/>
              <w:rPr>
                <w:sz w:val="22"/>
              </w:rPr>
            </w:pPr>
            <w:r>
              <w:rPr>
                <w:sz w:val="22"/>
              </w:rPr>
              <w:t>0.3</w:t>
            </w:r>
          </w:p>
        </w:tc>
      </w:tr>
      <w:tr>
        <w:trPr>
          <w:trHeight w:val="275" w:hRule="atLeast"/>
        </w:trPr>
        <w:tc>
          <w:tcPr>
            <w:tcW w:w="2078" w:type="dxa"/>
          </w:tcPr>
          <w:p>
            <w:pPr>
              <w:pStyle w:val="TableParagraph"/>
              <w:spacing w:line="256" w:lineRule="exact" w:before="0"/>
              <w:ind w:left="733" w:right="722"/>
              <w:jc w:val="center"/>
              <w:rPr>
                <w:sz w:val="22"/>
              </w:rPr>
            </w:pPr>
            <w:r>
              <w:rPr>
                <w:sz w:val="22"/>
              </w:rPr>
              <w:t>3000</w:t>
            </w:r>
          </w:p>
        </w:tc>
        <w:tc>
          <w:tcPr>
            <w:tcW w:w="2074" w:type="dxa"/>
          </w:tcPr>
          <w:p>
            <w:pPr>
              <w:pStyle w:val="TableParagraph"/>
              <w:spacing w:line="256" w:lineRule="exact" w:before="0"/>
              <w:ind w:left="895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72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most likely</w:t>
      </w:r>
      <w:r>
        <w:rPr>
          <w:spacing w:val="-2"/>
          <w:sz w:val="22"/>
        </w:rPr>
        <w:t> </w:t>
      </w:r>
      <w:r>
        <w:rPr>
          <w:sz w:val="22"/>
        </w:rPr>
        <w:t>monetary</w:t>
      </w:r>
      <w:r>
        <w:rPr>
          <w:spacing w:val="-2"/>
          <w:sz w:val="22"/>
        </w:rPr>
        <w:t> </w:t>
      </w:r>
      <w:r>
        <w:rPr>
          <w:sz w:val="22"/>
        </w:rPr>
        <w:t>outcome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business venture?</w:t>
      </w:r>
    </w:p>
    <w:p>
      <w:pPr>
        <w:pStyle w:val="BodyText"/>
        <w:spacing w:before="38"/>
        <w:ind w:left="700"/>
      </w:pPr>
      <w:r>
        <w:rPr>
          <w:color w:val="00AF50"/>
        </w:rPr>
        <w:t>Ans:</w:t>
      </w:r>
      <w:r>
        <w:rPr>
          <w:color w:val="00AF50"/>
          <w:spacing w:val="-2"/>
        </w:rPr>
        <w:t> </w:t>
      </w:r>
      <w:r>
        <w:rPr>
          <w:color w:val="00AF50"/>
        </w:rPr>
        <w:t>P(x)=</w:t>
      </w:r>
      <w:r>
        <w:rPr>
          <w:color w:val="00AF50"/>
          <w:spacing w:val="-1"/>
        </w:rPr>
        <w:t> </w:t>
      </w:r>
      <w:r>
        <w:rPr>
          <w:color w:val="00AF50"/>
        </w:rPr>
        <w:t>2000.</w:t>
      </w:r>
      <w:r>
        <w:rPr>
          <w:color w:val="00AF50"/>
          <w:spacing w:val="-4"/>
        </w:rPr>
        <w:t> </w:t>
      </w:r>
      <w:r>
        <w:rPr>
          <w:color w:val="00AF50"/>
        </w:rPr>
        <w:t>The</w:t>
      </w:r>
      <w:r>
        <w:rPr>
          <w:color w:val="00AF50"/>
          <w:spacing w:val="-4"/>
        </w:rPr>
        <w:t> </w:t>
      </w:r>
      <w:r>
        <w:rPr>
          <w:color w:val="00AF50"/>
        </w:rPr>
        <w:t>probability</w:t>
      </w:r>
      <w:r>
        <w:rPr>
          <w:color w:val="00AF50"/>
          <w:spacing w:val="-3"/>
        </w:rPr>
        <w:t> </w:t>
      </w:r>
      <w:r>
        <w:rPr>
          <w:color w:val="00AF50"/>
        </w:rPr>
        <w:t>is</w:t>
      </w:r>
      <w:r>
        <w:rPr>
          <w:color w:val="00AF50"/>
          <w:spacing w:val="-3"/>
        </w:rPr>
        <w:t> </w:t>
      </w:r>
      <w:r>
        <w:rPr>
          <w:color w:val="00AF50"/>
        </w:rPr>
        <w:t>more so</w:t>
      </w:r>
      <w:r>
        <w:rPr>
          <w:color w:val="00AF50"/>
          <w:spacing w:val="-1"/>
        </w:rPr>
        <w:t> </w:t>
      </w:r>
      <w:r>
        <w:rPr>
          <w:color w:val="00AF50"/>
        </w:rPr>
        <w:t>we</w:t>
      </w:r>
      <w:r>
        <w:rPr>
          <w:color w:val="00AF50"/>
          <w:spacing w:val="-1"/>
        </w:rPr>
        <w:t> </w:t>
      </w:r>
      <w:r>
        <w:rPr>
          <w:color w:val="00AF50"/>
        </w:rPr>
        <w:t>can</w:t>
      </w:r>
      <w:r>
        <w:rPr>
          <w:color w:val="00AF50"/>
          <w:spacing w:val="-2"/>
        </w:rPr>
        <w:t> </w:t>
      </w:r>
      <w:r>
        <w:rPr>
          <w:color w:val="00AF50"/>
        </w:rPr>
        <w:t>conclude</w:t>
      </w:r>
      <w:r>
        <w:rPr>
          <w:color w:val="00AF50"/>
          <w:spacing w:val="-3"/>
        </w:rPr>
        <w:t> </w:t>
      </w:r>
      <w:r>
        <w:rPr>
          <w:color w:val="00AF50"/>
        </w:rPr>
        <w:t>that</w:t>
      </w:r>
      <w:r>
        <w:rPr>
          <w:color w:val="00AF50"/>
          <w:spacing w:val="-3"/>
        </w:rPr>
        <w:t> </w:t>
      </w:r>
      <w:r>
        <w:rPr>
          <w:color w:val="00AF50"/>
        </w:rPr>
        <w:t>most likely</w:t>
      </w:r>
      <w:r>
        <w:rPr>
          <w:color w:val="00AF50"/>
          <w:spacing w:val="-1"/>
        </w:rPr>
        <w:t> </w:t>
      </w:r>
      <w:r>
        <w:rPr>
          <w:color w:val="00AF50"/>
        </w:rPr>
        <w:t>outcome will</w:t>
      </w:r>
      <w:r>
        <w:rPr>
          <w:color w:val="00AF50"/>
          <w:spacing w:val="-4"/>
        </w:rPr>
        <w:t> </w:t>
      </w:r>
      <w:r>
        <w:rPr>
          <w:color w:val="00AF50"/>
        </w:rPr>
        <w:t>be</w:t>
      </w:r>
      <w:r>
        <w:rPr>
          <w:color w:val="00AF50"/>
          <w:spacing w:val="-2"/>
        </w:rPr>
        <w:t> </w:t>
      </w:r>
      <w:r>
        <w:rPr>
          <w:color w:val="00AF50"/>
        </w:rPr>
        <w:t>2000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162" w:after="0"/>
        <w:ind w:left="1540" w:right="0" w:hanging="721"/>
        <w:jc w:val="left"/>
        <w:rPr>
          <w:sz w:val="22"/>
        </w:rPr>
      </w:pP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venture</w:t>
      </w:r>
      <w:r>
        <w:rPr>
          <w:spacing w:val="-3"/>
          <w:sz w:val="22"/>
        </w:rPr>
        <w:t> </w:t>
      </w:r>
      <w:r>
        <w:rPr>
          <w:sz w:val="22"/>
        </w:rPr>
        <w:t>likely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 successful?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</w:p>
    <w:p>
      <w:pPr>
        <w:pStyle w:val="BodyText"/>
        <w:spacing w:before="41"/>
        <w:ind w:left="650"/>
      </w:pPr>
      <w:r>
        <w:rPr>
          <w:color w:val="00AF50"/>
        </w:rPr>
        <w:t>Ans:</w:t>
      </w:r>
      <w:r>
        <w:rPr>
          <w:color w:val="00AF50"/>
          <w:spacing w:val="-3"/>
        </w:rPr>
        <w:t> </w:t>
      </w:r>
      <w:r>
        <w:rPr>
          <w:color w:val="00AF50"/>
        </w:rPr>
        <w:t>Yes,</w:t>
      </w:r>
      <w:r>
        <w:rPr>
          <w:color w:val="00AF50"/>
          <w:spacing w:val="-1"/>
        </w:rPr>
        <w:t> </w:t>
      </w:r>
      <w:r>
        <w:rPr>
          <w:color w:val="00AF50"/>
        </w:rPr>
        <w:t>because the probability</w:t>
      </w:r>
      <w:r>
        <w:rPr>
          <w:color w:val="00AF50"/>
          <w:spacing w:val="-3"/>
        </w:rPr>
        <w:t> </w:t>
      </w:r>
      <w:r>
        <w:rPr>
          <w:color w:val="00AF50"/>
        </w:rPr>
        <w:t>of</w:t>
      </w:r>
      <w:r>
        <w:rPr>
          <w:color w:val="00AF50"/>
          <w:spacing w:val="-3"/>
        </w:rPr>
        <w:t> </w:t>
      </w:r>
      <w:r>
        <w:rPr>
          <w:color w:val="00AF50"/>
        </w:rPr>
        <w:t>making</w:t>
      </w:r>
      <w:r>
        <w:rPr>
          <w:color w:val="00AF50"/>
          <w:spacing w:val="-4"/>
        </w:rPr>
        <w:t> </w:t>
      </w:r>
      <w:r>
        <w:rPr>
          <w:color w:val="00AF50"/>
        </w:rPr>
        <w:t>money is</w:t>
      </w:r>
      <w:r>
        <w:rPr>
          <w:color w:val="00AF50"/>
          <w:spacing w:val="-3"/>
        </w:rPr>
        <w:t> </w:t>
      </w:r>
      <w:r>
        <w:rPr>
          <w:color w:val="00AF50"/>
        </w:rPr>
        <w:t>more</w:t>
      </w:r>
      <w:r>
        <w:rPr>
          <w:color w:val="00AF50"/>
          <w:spacing w:val="-3"/>
        </w:rPr>
        <w:t> </w:t>
      </w:r>
      <w:r>
        <w:rPr>
          <w:color w:val="00AF50"/>
        </w:rPr>
        <w:t>than</w:t>
      </w:r>
      <w:r>
        <w:rPr>
          <w:color w:val="00AF50"/>
          <w:spacing w:val="-2"/>
        </w:rPr>
        <w:t> </w:t>
      </w:r>
      <w:r>
        <w:rPr>
          <w:color w:val="00AF50"/>
        </w:rPr>
        <w:t>loss.</w:t>
      </w:r>
    </w:p>
    <w:p>
      <w:pPr>
        <w:pStyle w:val="BodyText"/>
        <w:spacing w:before="39"/>
        <w:ind w:left="1096"/>
      </w:pPr>
      <w:r>
        <w:rPr>
          <w:color w:val="00AF50"/>
        </w:rPr>
        <w:t>P(x&gt;1000)</w:t>
      </w:r>
      <w:r>
        <w:rPr>
          <w:color w:val="00AF50"/>
          <w:spacing w:val="-4"/>
        </w:rPr>
        <w:t> </w:t>
      </w:r>
      <w:r>
        <w:rPr>
          <w:color w:val="00AF50"/>
        </w:rPr>
        <w:t>+</w:t>
      </w:r>
      <w:r>
        <w:rPr>
          <w:color w:val="00AF50"/>
          <w:spacing w:val="-3"/>
        </w:rPr>
        <w:t> </w:t>
      </w:r>
      <w:r>
        <w:rPr>
          <w:color w:val="00AF50"/>
        </w:rPr>
        <w:t>P(x&gt;2000)</w:t>
      </w:r>
      <w:r>
        <w:rPr>
          <w:color w:val="00AF50"/>
          <w:spacing w:val="-1"/>
        </w:rPr>
        <w:t> </w:t>
      </w:r>
      <w:r>
        <w:rPr>
          <w:color w:val="00AF50"/>
        </w:rPr>
        <w:t>+</w:t>
      </w:r>
      <w:r>
        <w:rPr>
          <w:color w:val="00AF50"/>
          <w:spacing w:val="-3"/>
        </w:rPr>
        <w:t> </w:t>
      </w:r>
      <w:r>
        <w:rPr>
          <w:color w:val="00AF50"/>
        </w:rPr>
        <w:t>P(x&gt;3000)</w:t>
      </w:r>
      <w:r>
        <w:rPr>
          <w:color w:val="00AF50"/>
          <w:spacing w:val="-4"/>
        </w:rPr>
        <w:t> </w:t>
      </w:r>
      <w:r>
        <w:rPr>
          <w:color w:val="00AF50"/>
        </w:rPr>
        <w:t>=</w:t>
      </w:r>
      <w:r>
        <w:rPr>
          <w:color w:val="00AF50"/>
          <w:spacing w:val="-3"/>
        </w:rPr>
        <w:t> </w:t>
      </w:r>
      <w:r>
        <w:rPr>
          <w:color w:val="00AF50"/>
        </w:rPr>
        <w:t>0.2</w:t>
      </w:r>
      <w:r>
        <w:rPr>
          <w:color w:val="00AF50"/>
          <w:spacing w:val="-3"/>
        </w:rPr>
        <w:t> </w:t>
      </w:r>
      <w:r>
        <w:rPr>
          <w:color w:val="00AF50"/>
        </w:rPr>
        <w:t>+</w:t>
      </w:r>
      <w:r>
        <w:rPr>
          <w:color w:val="00AF50"/>
          <w:spacing w:val="-3"/>
        </w:rPr>
        <w:t> </w:t>
      </w:r>
      <w:r>
        <w:rPr>
          <w:color w:val="00AF50"/>
        </w:rPr>
        <w:t>0.3</w:t>
      </w:r>
      <w:r>
        <w:rPr>
          <w:color w:val="00AF50"/>
          <w:spacing w:val="-3"/>
        </w:rPr>
        <w:t> </w:t>
      </w:r>
      <w:r>
        <w:rPr>
          <w:color w:val="00AF50"/>
        </w:rPr>
        <w:t>+</w:t>
      </w:r>
      <w:r>
        <w:rPr>
          <w:color w:val="00AF50"/>
          <w:spacing w:val="-1"/>
        </w:rPr>
        <w:t> </w:t>
      </w:r>
      <w:r>
        <w:rPr>
          <w:color w:val="00AF50"/>
        </w:rPr>
        <w:t>0.1</w:t>
      </w:r>
      <w:r>
        <w:rPr>
          <w:color w:val="00AF50"/>
          <w:spacing w:val="-1"/>
        </w:rPr>
        <w:t> </w:t>
      </w:r>
      <w:r>
        <w:rPr>
          <w:color w:val="00AF50"/>
        </w:rPr>
        <w:t>=6</w:t>
      </w:r>
    </w:p>
    <w:p>
      <w:pPr>
        <w:pStyle w:val="BodyText"/>
        <w:spacing w:before="41"/>
        <w:ind w:left="1098"/>
      </w:pPr>
      <w:r>
        <w:rPr>
          <w:color w:val="00AF50"/>
        </w:rPr>
        <w:t>So,</w:t>
      </w:r>
      <w:r>
        <w:rPr>
          <w:color w:val="00AF50"/>
          <w:spacing w:val="-4"/>
        </w:rPr>
        <w:t> </w:t>
      </w:r>
      <w:r>
        <w:rPr>
          <w:color w:val="00AF50"/>
        </w:rPr>
        <w:t>the</w:t>
      </w:r>
      <w:r>
        <w:rPr>
          <w:color w:val="00AF50"/>
          <w:spacing w:val="-1"/>
        </w:rPr>
        <w:t> </w:t>
      </w:r>
      <w:r>
        <w:rPr>
          <w:color w:val="00AF50"/>
        </w:rPr>
        <w:t>probability</w:t>
      </w:r>
      <w:r>
        <w:rPr>
          <w:color w:val="00AF50"/>
          <w:spacing w:val="-3"/>
        </w:rPr>
        <w:t> </w:t>
      </w:r>
      <w:r>
        <w:rPr>
          <w:color w:val="00AF50"/>
        </w:rPr>
        <w:t>of</w:t>
      </w:r>
      <w:r>
        <w:rPr>
          <w:color w:val="00AF50"/>
          <w:spacing w:val="-1"/>
        </w:rPr>
        <w:t> </w:t>
      </w:r>
      <w:r>
        <w:rPr>
          <w:color w:val="00AF50"/>
        </w:rPr>
        <w:t>being</w:t>
      </w:r>
      <w:r>
        <w:rPr>
          <w:color w:val="00AF50"/>
          <w:spacing w:val="-3"/>
        </w:rPr>
        <w:t> </w:t>
      </w:r>
      <w:r>
        <w:rPr>
          <w:color w:val="00AF50"/>
        </w:rPr>
        <w:t>successful</w:t>
      </w:r>
      <w:r>
        <w:rPr>
          <w:color w:val="00AF50"/>
          <w:spacing w:val="-1"/>
        </w:rPr>
        <w:t> </w:t>
      </w:r>
      <w:r>
        <w:rPr>
          <w:color w:val="00AF50"/>
        </w:rPr>
        <w:t>is</w:t>
      </w:r>
      <w:r>
        <w:rPr>
          <w:color w:val="00AF50"/>
          <w:spacing w:val="-4"/>
        </w:rPr>
        <w:t> </w:t>
      </w:r>
      <w:r>
        <w:rPr>
          <w:color w:val="00AF50"/>
        </w:rPr>
        <w:t>60%.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650" w:right="889" w:firstLine="170"/>
        <w:jc w:val="left"/>
        <w:rPr>
          <w:sz w:val="22"/>
        </w:rPr>
      </w:pPr>
      <w:r>
        <w:rPr>
          <w:sz w:val="22"/>
        </w:rPr>
        <w:t>What is the long-term average earning of business ventures of this kind? Explain</w:t>
      </w:r>
      <w:r>
        <w:rPr>
          <w:spacing w:val="-47"/>
          <w:sz w:val="22"/>
        </w:rPr>
        <w:t> </w:t>
      </w:r>
      <w:r>
        <w:rPr>
          <w:color w:val="00AF50"/>
          <w:sz w:val="22"/>
        </w:rPr>
        <w:t>Ans:800$</w:t>
      </w:r>
      <w:r>
        <w:rPr>
          <w:color w:val="00AF50"/>
          <w:spacing w:val="-1"/>
          <w:sz w:val="22"/>
        </w:rPr>
        <w:t> </w:t>
      </w:r>
      <w:r>
        <w:rPr>
          <w:color w:val="00AF50"/>
          <w:sz w:val="22"/>
        </w:rPr>
        <w:t>is</w:t>
      </w:r>
      <w:r>
        <w:rPr>
          <w:color w:val="00AF50"/>
          <w:spacing w:val="-2"/>
          <w:sz w:val="22"/>
        </w:rPr>
        <w:t> </w:t>
      </w:r>
      <w:r>
        <w:rPr>
          <w:color w:val="00AF50"/>
          <w:sz w:val="22"/>
        </w:rPr>
        <w:t>the average</w:t>
      </w:r>
      <w:r>
        <w:rPr>
          <w:color w:val="00AF50"/>
          <w:spacing w:val="1"/>
          <w:sz w:val="22"/>
        </w:rPr>
        <w:t> </w:t>
      </w:r>
      <w:r>
        <w:rPr>
          <w:color w:val="00AF50"/>
          <w:sz w:val="22"/>
        </w:rPr>
        <w:t>earnings.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3" w:lineRule="auto" w:before="2" w:after="0"/>
        <w:ind w:left="1540" w:right="438" w:hanging="720"/>
        <w:jc w:val="left"/>
        <w:rPr>
          <w:sz w:val="22"/>
        </w:rPr>
      </w:pPr>
      <w:r>
        <w:rPr>
          <w:sz w:val="22"/>
        </w:rPr>
        <w:t>What is the good measure of the risk involved in a venture of this kind? Compute this</w:t>
      </w:r>
      <w:r>
        <w:rPr>
          <w:spacing w:val="-47"/>
          <w:sz w:val="22"/>
        </w:rPr>
        <w:t> </w:t>
      </w:r>
      <w:r>
        <w:rPr>
          <w:sz w:val="22"/>
        </w:rPr>
        <w:t>measure</w:t>
      </w:r>
    </w:p>
    <w:p>
      <w:pPr>
        <w:pStyle w:val="BodyText"/>
        <w:spacing w:before="4"/>
        <w:ind w:left="599"/>
      </w:pPr>
      <w:r>
        <w:rPr>
          <w:color w:val="00AF50"/>
        </w:rPr>
        <w:t>Ans:</w:t>
      </w:r>
      <w:r>
        <w:rPr>
          <w:color w:val="00AF50"/>
          <w:spacing w:val="-4"/>
        </w:rPr>
        <w:t> </w:t>
      </w:r>
      <w:r>
        <w:rPr>
          <w:color w:val="00AF50"/>
        </w:rPr>
        <w:t>P(Loss)=</w:t>
      </w:r>
      <w:r>
        <w:rPr>
          <w:color w:val="00AF50"/>
          <w:spacing w:val="-3"/>
        </w:rPr>
        <w:t> </w:t>
      </w:r>
      <w:r>
        <w:rPr>
          <w:color w:val="00AF50"/>
        </w:rPr>
        <w:t>P(X=1)</w:t>
      </w:r>
      <w:r>
        <w:rPr>
          <w:color w:val="00AF50"/>
          <w:spacing w:val="-3"/>
        </w:rPr>
        <w:t> </w:t>
      </w:r>
      <w:r>
        <w:rPr>
          <w:color w:val="00AF50"/>
        </w:rPr>
        <w:t>+</w:t>
      </w:r>
      <w:r>
        <w:rPr>
          <w:color w:val="00AF50"/>
          <w:spacing w:val="-1"/>
        </w:rPr>
        <w:t> </w:t>
      </w:r>
      <w:r>
        <w:rPr>
          <w:color w:val="00AF50"/>
        </w:rPr>
        <w:t>(PX=1)</w:t>
      </w:r>
      <w:r>
        <w:rPr>
          <w:color w:val="00AF50"/>
          <w:spacing w:val="-3"/>
        </w:rPr>
        <w:t> </w:t>
      </w:r>
      <w:r>
        <w:rPr>
          <w:color w:val="00AF50"/>
        </w:rPr>
        <w:t>=</w:t>
      </w:r>
      <w:r>
        <w:rPr>
          <w:color w:val="00AF50"/>
          <w:spacing w:val="-1"/>
        </w:rPr>
        <w:t> </w:t>
      </w:r>
      <w:r>
        <w:rPr>
          <w:color w:val="00AF50"/>
        </w:rPr>
        <w:t>2.</w:t>
      </w:r>
      <w:r>
        <w:rPr>
          <w:color w:val="00AF50"/>
          <w:spacing w:val="49"/>
        </w:rPr>
        <w:t> </w:t>
      </w:r>
      <w:r>
        <w:rPr>
          <w:color w:val="00AF50"/>
        </w:rPr>
        <w:t>Probability</w:t>
      </w:r>
      <w:r>
        <w:rPr>
          <w:color w:val="00AF50"/>
          <w:spacing w:val="-3"/>
        </w:rPr>
        <w:t> </w:t>
      </w:r>
      <w:r>
        <w:rPr>
          <w:color w:val="00AF50"/>
        </w:rPr>
        <w:t>of</w:t>
      </w:r>
      <w:r>
        <w:rPr>
          <w:color w:val="00AF50"/>
          <w:spacing w:val="-4"/>
        </w:rPr>
        <w:t> </w:t>
      </w:r>
      <w:r>
        <w:rPr>
          <w:color w:val="00AF50"/>
        </w:rPr>
        <w:t>loss</w:t>
      </w:r>
      <w:r>
        <w:rPr>
          <w:color w:val="00AF50"/>
          <w:spacing w:val="-1"/>
        </w:rPr>
        <w:t> </w:t>
      </w:r>
      <w:r>
        <w:rPr>
          <w:color w:val="00AF50"/>
        </w:rPr>
        <w:t>is</w:t>
      </w:r>
      <w:r>
        <w:rPr>
          <w:color w:val="00AF50"/>
          <w:spacing w:val="-1"/>
        </w:rPr>
        <w:t> </w:t>
      </w:r>
      <w:r>
        <w:rPr>
          <w:color w:val="00AF50"/>
        </w:rPr>
        <w:t>20%</w:t>
      </w:r>
    </w:p>
    <w:sectPr>
      <w:pgSz w:w="12240" w:h="15840"/>
      <w:pgMar w:header="0" w:footer="269" w:top="860" w:bottom="4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pt;margin-top:767.570007pt;width:369.15pt;height:12pt;mso-position-horizontal-relative:page;mso-position-vertical-relative:page;z-index:-1587097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sz w:val="20"/>
                  </w:rPr>
                  <w:t>Questions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referred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from </w:t>
                </w:r>
                <w:r>
                  <w:rPr>
                    <w:i/>
                    <w:sz w:val="20"/>
                  </w:rPr>
                  <w:t>Aczel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A.,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Sounderpandian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J.,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Complete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Business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Statistics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(7ed.)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540" w:hanging="72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98" w:hanging="72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1540" w:hanging="72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7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 w:line="249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dcterms:created xsi:type="dcterms:W3CDTF">2023-08-07T18:01:19Z</dcterms:created>
  <dcterms:modified xsi:type="dcterms:W3CDTF">2023-08-07T18:01:19Z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2023-08-07T00:00:00Z</vt:filetime>
  </property>
</Properties>
</file>