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CA48C" w14:textId="77777777" w:rsidR="0070195B" w:rsidRPr="00CC4084" w:rsidRDefault="0070195B" w:rsidP="006547C7">
      <w:pPr>
        <w:spacing w:line="360" w:lineRule="auto"/>
        <w:contextualSpacing/>
        <w:rPr>
          <w:rFonts w:ascii="Times New Roman" w:hAnsi="Times New Roman" w:cs="Times New Roman"/>
        </w:rPr>
      </w:pPr>
    </w:p>
    <w:p w14:paraId="55314D93" w14:textId="77777777" w:rsidR="0070195B" w:rsidRPr="00CC4084" w:rsidRDefault="0070195B" w:rsidP="006547C7">
      <w:pPr>
        <w:spacing w:line="360" w:lineRule="auto"/>
        <w:contextualSpacing/>
        <w:rPr>
          <w:rFonts w:ascii="Times New Roman" w:hAnsi="Times New Roman" w:cs="Times New Roman"/>
        </w:rPr>
      </w:pPr>
    </w:p>
    <w:p w14:paraId="5F79DB83"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44"/>
        </w:rPr>
        <w:t>Stagnation-to-Success Analytics (S2S)</w:t>
      </w:r>
    </w:p>
    <w:p w14:paraId="60E72BFF"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i/>
          <w:sz w:val="30"/>
        </w:rPr>
        <w:t>Career Progression and Promotion Gap Analysis</w:t>
      </w:r>
      <w:r w:rsidRPr="00CC4084">
        <w:rPr>
          <w:rFonts w:ascii="Times New Roman" w:hAnsi="Times New Roman" w:cs="Times New Roman"/>
          <w:i/>
          <w:sz w:val="30"/>
        </w:rPr>
        <w:br/>
        <w:t>for Retention Optimization at Palo Alto Networks</w:t>
      </w:r>
    </w:p>
    <w:p w14:paraId="1F8FB5B2" w14:textId="77777777" w:rsidR="0070195B" w:rsidRPr="00CC4084" w:rsidRDefault="0070195B" w:rsidP="006547C7">
      <w:pPr>
        <w:spacing w:line="360" w:lineRule="auto"/>
        <w:contextualSpacing/>
        <w:rPr>
          <w:rFonts w:ascii="Times New Roman" w:hAnsi="Times New Roman" w:cs="Times New Roman"/>
        </w:rPr>
      </w:pPr>
    </w:p>
    <w:p w14:paraId="673A4242" w14:textId="77777777" w:rsidR="0070195B" w:rsidRPr="00CC4084" w:rsidRDefault="0070195B" w:rsidP="006547C7">
      <w:pPr>
        <w:pBdr>
          <w:bottom w:val="single" w:sz="6" w:space="1" w:color="1F497D"/>
        </w:pBdr>
        <w:spacing w:after="80" w:line="360" w:lineRule="auto"/>
        <w:contextualSpacing/>
        <w:rPr>
          <w:rFonts w:ascii="Times New Roman" w:hAnsi="Times New Roman" w:cs="Times New Roman"/>
        </w:rPr>
      </w:pPr>
    </w:p>
    <w:p w14:paraId="410CBA97" w14:textId="77777777" w:rsidR="0070195B" w:rsidRPr="00CC4084" w:rsidRDefault="0070195B" w:rsidP="006547C7">
      <w:pPr>
        <w:spacing w:line="360" w:lineRule="auto"/>
        <w:contextualSpacing/>
        <w:rPr>
          <w:rFonts w:ascii="Times New Roman" w:hAnsi="Times New Roman" w:cs="Times New Roman"/>
        </w:rPr>
      </w:pPr>
    </w:p>
    <w:p w14:paraId="205EF9D1" w14:textId="0B19E31E"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rPr>
        <w:t xml:space="preserve">Prepared by:  </w:t>
      </w:r>
      <w:r w:rsidRPr="00CC4084">
        <w:rPr>
          <w:rFonts w:ascii="Times New Roman" w:hAnsi="Times New Roman" w:cs="Times New Roman"/>
        </w:rPr>
        <w:t>Neerja</w:t>
      </w:r>
      <w:r w:rsidR="0006017F" w:rsidRPr="00CC4084">
        <w:rPr>
          <w:rFonts w:ascii="Times New Roman" w:hAnsi="Times New Roman" w:cs="Times New Roman"/>
        </w:rPr>
        <w:t xml:space="preserve"> Raval</w:t>
      </w:r>
    </w:p>
    <w:p w14:paraId="76A27AEC"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rPr>
        <w:t xml:space="preserve">Organization:  </w:t>
      </w:r>
      <w:r w:rsidRPr="00CC4084">
        <w:rPr>
          <w:rFonts w:ascii="Times New Roman" w:hAnsi="Times New Roman" w:cs="Times New Roman"/>
        </w:rPr>
        <w:t>Palo Alto Networks — HR Analytics Division</w:t>
      </w:r>
    </w:p>
    <w:p w14:paraId="5252B22F"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rPr>
        <w:t xml:space="preserve">Date:  </w:t>
      </w:r>
      <w:r w:rsidRPr="00CC4084">
        <w:rPr>
          <w:rFonts w:ascii="Times New Roman" w:hAnsi="Times New Roman" w:cs="Times New Roman"/>
        </w:rPr>
        <w:t>June 05, 2026</w:t>
      </w:r>
    </w:p>
    <w:p w14:paraId="1F45FB43" w14:textId="3032D35C" w:rsidR="0070195B" w:rsidRPr="008E66BB" w:rsidRDefault="008E66BB" w:rsidP="008E66BB">
      <w:pPr>
        <w:spacing w:line="360" w:lineRule="auto"/>
        <w:contextualSpacing/>
        <w:jc w:val="center"/>
        <w:rPr>
          <w:rFonts w:ascii="Times New Roman" w:hAnsi="Times New Roman" w:cs="Times New Roman"/>
          <w:bCs/>
        </w:rPr>
      </w:pPr>
      <w:r w:rsidRPr="008E66BB">
        <w:rPr>
          <w:rFonts w:ascii="Times New Roman" w:hAnsi="Times New Roman" w:cs="Times New Roman"/>
          <w:b/>
        </w:rPr>
        <w:t xml:space="preserve">Dataset: </w:t>
      </w:r>
      <w:r w:rsidRPr="008E66BB">
        <w:rPr>
          <w:rFonts w:ascii="Times New Roman" w:hAnsi="Times New Roman" w:cs="Times New Roman"/>
          <w:bCs/>
        </w:rPr>
        <w:t>Palo_Alto_Networks.csv — 1470 Employees, 30 Career/HR Features</w:t>
      </w:r>
    </w:p>
    <w:p w14:paraId="5AC50EE8" w14:textId="77777777" w:rsidR="0070195B" w:rsidRPr="00CC4084" w:rsidRDefault="0070195B" w:rsidP="006547C7">
      <w:pPr>
        <w:pBdr>
          <w:bottom w:val="single" w:sz="6" w:space="1" w:color="1F497D"/>
        </w:pBdr>
        <w:spacing w:after="80" w:line="360" w:lineRule="auto"/>
        <w:contextualSpacing/>
        <w:rPr>
          <w:rFonts w:ascii="Times New Roman" w:hAnsi="Times New Roman" w:cs="Times New Roman"/>
        </w:rPr>
      </w:pPr>
    </w:p>
    <w:p w14:paraId="54D9C4C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rPr>
        <w:br w:type="page"/>
      </w:r>
    </w:p>
    <w:p w14:paraId="415DFE39" w14:textId="77777777" w:rsidR="0070195B" w:rsidRPr="00CC4084" w:rsidRDefault="00000000" w:rsidP="006547C7">
      <w:pPr>
        <w:pStyle w:val="Heading1"/>
        <w:spacing w:line="360" w:lineRule="auto"/>
        <w:contextualSpacing/>
        <w:jc w:val="center"/>
        <w:rPr>
          <w:rFonts w:ascii="Times New Roman" w:hAnsi="Times New Roman" w:cs="Times New Roman"/>
          <w:color w:val="auto"/>
        </w:rPr>
      </w:pPr>
      <w:r w:rsidRPr="00CC4084">
        <w:rPr>
          <w:rFonts w:ascii="Times New Roman" w:hAnsi="Times New Roman" w:cs="Times New Roman"/>
          <w:color w:val="auto"/>
          <w:sz w:val="32"/>
        </w:rPr>
        <w:lastRenderedPageBreak/>
        <w:t>Abstract</w:t>
      </w:r>
    </w:p>
    <w:p w14:paraId="4DEEAFF1" w14:textId="77777777" w:rsidR="0070195B" w:rsidRPr="00CC4084" w:rsidRDefault="00000000" w:rsidP="006547C7">
      <w:pPr>
        <w:spacing w:after="120" w:line="360" w:lineRule="auto"/>
        <w:contextualSpacing/>
        <w:jc w:val="both"/>
        <w:rPr>
          <w:rFonts w:ascii="Times New Roman" w:hAnsi="Times New Roman" w:cs="Times New Roman"/>
          <w:sz w:val="24"/>
          <w:szCs w:val="24"/>
        </w:rPr>
      </w:pPr>
      <w:r w:rsidRPr="00CC4084">
        <w:rPr>
          <w:rFonts w:ascii="Times New Roman" w:hAnsi="Times New Roman" w:cs="Times New Roman"/>
          <w:sz w:val="24"/>
          <w:szCs w:val="24"/>
        </w:rPr>
        <w:t>Employee attrition is one of the most costly and disruptive challenges facing modern technology organizations. Traditional predictive attrition models focus on identifying who is likely to leave, but rarely explain the structural career reasons driving that disengagement. This research paper presents the Stagnation-to-Success (S2S) Analytics framework — a data-driven approach developed during an internship at Palo Alto Networks — that shifts the paradigm from reactive attrition prediction to proactive career-centric retention management.</w:t>
      </w:r>
      <w:r w:rsidRPr="00CC4084">
        <w:rPr>
          <w:rFonts w:ascii="Times New Roman" w:hAnsi="Times New Roman" w:cs="Times New Roman"/>
          <w:sz w:val="24"/>
          <w:szCs w:val="24"/>
        </w:rPr>
        <w:br/>
      </w:r>
      <w:r w:rsidRPr="00CC4084">
        <w:rPr>
          <w:rFonts w:ascii="Times New Roman" w:hAnsi="Times New Roman" w:cs="Times New Roman"/>
          <w:sz w:val="24"/>
          <w:szCs w:val="24"/>
        </w:rPr>
        <w:br/>
        <w:t>Using a rich employee dataset comprising 30 career and satisfaction attributes, S2S applies custom feature engineering to construct four novel career intelligence metrics: the Promotion Gap Ratio, Role Stagnation Index, Training Intensity Score, and Manager Stagnation Index. These metrics power an unsupervised K-Means clustering pipeline that segments employees into four distinct career trajectory archetypes: Fast-Track Performers, Stable Long-Term Contributors, Early-Career Explorers, and Promotion-Stalled High-Risk Profiles. A supervised Random Forest Classifier further quantifies stagnation-driven attrition risk for each employee profile.</w:t>
      </w:r>
      <w:r w:rsidRPr="00CC4084">
        <w:rPr>
          <w:rFonts w:ascii="Times New Roman" w:hAnsi="Times New Roman" w:cs="Times New Roman"/>
          <w:sz w:val="24"/>
          <w:szCs w:val="24"/>
        </w:rPr>
        <w:br/>
      </w:r>
      <w:r w:rsidRPr="00CC4084">
        <w:rPr>
          <w:rFonts w:ascii="Times New Roman" w:hAnsi="Times New Roman" w:cs="Times New Roman"/>
          <w:sz w:val="24"/>
          <w:szCs w:val="24"/>
        </w:rPr>
        <w:br/>
        <w:t>The resulting analytics platform — delivered as a full-stack web application (React frontend + FastAPI backend) — provides HR stakeholders with actionable dashboards for identifying retention opportunities before disengagement occurs, enabling Palo Alto Networks to move toward proactive, personalized workforce management.</w:t>
      </w:r>
    </w:p>
    <w:p w14:paraId="58E08538" w14:textId="77777777" w:rsidR="0070195B" w:rsidRPr="00CC4084" w:rsidRDefault="0070195B" w:rsidP="006547C7">
      <w:pPr>
        <w:spacing w:line="360" w:lineRule="auto"/>
        <w:contextualSpacing/>
        <w:jc w:val="both"/>
        <w:rPr>
          <w:rFonts w:ascii="Times New Roman" w:hAnsi="Times New Roman" w:cs="Times New Roman"/>
          <w:sz w:val="24"/>
          <w:szCs w:val="24"/>
        </w:rPr>
      </w:pPr>
    </w:p>
    <w:p w14:paraId="386398ED" w14:textId="77777777" w:rsidR="0070195B" w:rsidRPr="00CC4084" w:rsidRDefault="00000000" w:rsidP="006547C7">
      <w:pPr>
        <w:spacing w:line="360" w:lineRule="auto"/>
        <w:contextualSpacing/>
        <w:jc w:val="both"/>
        <w:rPr>
          <w:rFonts w:ascii="Times New Roman" w:hAnsi="Times New Roman" w:cs="Times New Roman"/>
          <w:sz w:val="24"/>
          <w:szCs w:val="24"/>
        </w:rPr>
      </w:pPr>
      <w:r w:rsidRPr="00CC4084">
        <w:rPr>
          <w:rFonts w:ascii="Times New Roman" w:hAnsi="Times New Roman" w:cs="Times New Roman"/>
          <w:b/>
          <w:sz w:val="24"/>
          <w:szCs w:val="24"/>
        </w:rPr>
        <w:t xml:space="preserve">Keywords: </w:t>
      </w:r>
      <w:r w:rsidRPr="00CC4084">
        <w:rPr>
          <w:rFonts w:ascii="Times New Roman" w:hAnsi="Times New Roman" w:cs="Times New Roman"/>
          <w:i/>
          <w:sz w:val="24"/>
          <w:szCs w:val="24"/>
        </w:rPr>
        <w:t>Career Intelligence, Employee Retention, Promotion Gap Analysis, K-Means Clustering, Random Forest, HR Analytics, Attrition Prediction, Workforce Management</w:t>
      </w:r>
    </w:p>
    <w:p w14:paraId="5FEE7EEF"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rPr>
        <w:br w:type="page"/>
      </w:r>
    </w:p>
    <w:p w14:paraId="5B887190" w14:textId="77777777" w:rsidR="0070195B" w:rsidRPr="00CC4084" w:rsidRDefault="00000000" w:rsidP="006547C7">
      <w:pPr>
        <w:pStyle w:val="Heading1"/>
        <w:spacing w:line="360" w:lineRule="auto"/>
        <w:contextualSpacing/>
        <w:jc w:val="center"/>
        <w:rPr>
          <w:rFonts w:ascii="Times New Roman" w:hAnsi="Times New Roman" w:cs="Times New Roman"/>
          <w:color w:val="auto"/>
        </w:rPr>
      </w:pPr>
      <w:r w:rsidRPr="00CC4084">
        <w:rPr>
          <w:rFonts w:ascii="Times New Roman" w:hAnsi="Times New Roman" w:cs="Times New Roman"/>
          <w:color w:val="auto"/>
          <w:sz w:val="32"/>
        </w:rPr>
        <w:lastRenderedPageBreak/>
        <w:t>Table of Contents</w:t>
      </w:r>
    </w:p>
    <w:p w14:paraId="1C7979E1" w14:textId="7AB7116F" w:rsidR="0070195B" w:rsidRPr="002D6BE2" w:rsidRDefault="00000000" w:rsidP="006547C7">
      <w:pPr>
        <w:tabs>
          <w:tab w:val="left" w:pos="7920"/>
        </w:tabs>
        <w:spacing w:after="60" w:line="360" w:lineRule="auto"/>
        <w:contextualSpacing/>
        <w:rPr>
          <w:rFonts w:ascii="Times New Roman" w:hAnsi="Times New Roman" w:cs="Times New Roman"/>
          <w:b/>
          <w:bCs/>
        </w:rPr>
      </w:pPr>
      <w:r w:rsidRPr="002D6BE2">
        <w:rPr>
          <w:rFonts w:ascii="Times New Roman" w:hAnsi="Times New Roman" w:cs="Times New Roman"/>
          <w:b/>
          <w:bCs/>
        </w:rPr>
        <w:t>1.  Introduction</w:t>
      </w:r>
      <w:r w:rsidRPr="002D6BE2">
        <w:rPr>
          <w:rFonts w:ascii="Times New Roman" w:hAnsi="Times New Roman" w:cs="Times New Roman"/>
          <w:b/>
          <w:bCs/>
        </w:rPr>
        <w:tab/>
      </w:r>
      <w:r w:rsidR="00791476">
        <w:rPr>
          <w:rFonts w:ascii="Times New Roman" w:hAnsi="Times New Roman" w:cs="Times New Roman"/>
        </w:rPr>
        <w:t>4</w:t>
      </w:r>
    </w:p>
    <w:p w14:paraId="7B457B09" w14:textId="2FD6DD47" w:rsidR="0070195B" w:rsidRPr="002D6BE2" w:rsidRDefault="00000000" w:rsidP="006547C7">
      <w:pPr>
        <w:tabs>
          <w:tab w:val="left" w:pos="7920"/>
        </w:tabs>
        <w:spacing w:after="60" w:line="360" w:lineRule="auto"/>
        <w:contextualSpacing/>
        <w:rPr>
          <w:rFonts w:ascii="Times New Roman" w:hAnsi="Times New Roman" w:cs="Times New Roman"/>
          <w:b/>
          <w:bCs/>
        </w:rPr>
      </w:pPr>
      <w:r w:rsidRPr="002D6BE2">
        <w:rPr>
          <w:rFonts w:ascii="Times New Roman" w:hAnsi="Times New Roman" w:cs="Times New Roman"/>
          <w:b/>
          <w:bCs/>
        </w:rPr>
        <w:t>2.  Problem Statement</w:t>
      </w:r>
      <w:r w:rsidRPr="002D6BE2">
        <w:rPr>
          <w:rFonts w:ascii="Times New Roman" w:hAnsi="Times New Roman" w:cs="Times New Roman"/>
          <w:b/>
          <w:bCs/>
        </w:rPr>
        <w:tab/>
      </w:r>
      <w:r w:rsidR="00791476">
        <w:rPr>
          <w:rFonts w:ascii="Times New Roman" w:hAnsi="Times New Roman" w:cs="Times New Roman"/>
          <w:b/>
          <w:bCs/>
        </w:rPr>
        <w:t>4</w:t>
      </w:r>
    </w:p>
    <w:p w14:paraId="338E015B" w14:textId="00662591" w:rsidR="0070195B" w:rsidRPr="002D6BE2" w:rsidRDefault="00000000" w:rsidP="006547C7">
      <w:pPr>
        <w:tabs>
          <w:tab w:val="left" w:pos="7920"/>
        </w:tabs>
        <w:spacing w:after="60" w:line="360" w:lineRule="auto"/>
        <w:contextualSpacing/>
        <w:rPr>
          <w:rFonts w:ascii="Times New Roman" w:hAnsi="Times New Roman" w:cs="Times New Roman"/>
          <w:b/>
          <w:bCs/>
        </w:rPr>
      </w:pPr>
      <w:r w:rsidRPr="002D6BE2">
        <w:rPr>
          <w:rFonts w:ascii="Times New Roman" w:hAnsi="Times New Roman" w:cs="Times New Roman"/>
          <w:b/>
          <w:bCs/>
        </w:rPr>
        <w:t>3.  Literature Review</w:t>
      </w:r>
      <w:r w:rsidRPr="002D6BE2">
        <w:rPr>
          <w:rFonts w:ascii="Times New Roman" w:hAnsi="Times New Roman" w:cs="Times New Roman"/>
          <w:b/>
          <w:bCs/>
        </w:rPr>
        <w:tab/>
      </w:r>
      <w:r w:rsidR="00791476">
        <w:rPr>
          <w:rFonts w:ascii="Times New Roman" w:hAnsi="Times New Roman" w:cs="Times New Roman"/>
        </w:rPr>
        <w:t>5</w:t>
      </w:r>
    </w:p>
    <w:p w14:paraId="69D6C7EA" w14:textId="77777777" w:rsidR="0070195B" w:rsidRPr="002D6BE2" w:rsidRDefault="00000000" w:rsidP="006547C7">
      <w:pPr>
        <w:tabs>
          <w:tab w:val="left" w:pos="7920"/>
        </w:tabs>
        <w:spacing w:after="60" w:line="360" w:lineRule="auto"/>
        <w:contextualSpacing/>
        <w:rPr>
          <w:rFonts w:ascii="Times New Roman" w:hAnsi="Times New Roman" w:cs="Times New Roman"/>
        </w:rPr>
      </w:pPr>
      <w:r w:rsidRPr="002D6BE2">
        <w:rPr>
          <w:rFonts w:ascii="Times New Roman" w:hAnsi="Times New Roman" w:cs="Times New Roman"/>
          <w:b/>
          <w:bCs/>
        </w:rPr>
        <w:t>4.  Dataset Description</w:t>
      </w:r>
      <w:r w:rsidRPr="002D6BE2">
        <w:rPr>
          <w:rFonts w:ascii="Times New Roman" w:hAnsi="Times New Roman" w:cs="Times New Roman"/>
          <w:b/>
          <w:bCs/>
        </w:rPr>
        <w:tab/>
      </w:r>
      <w:r w:rsidRPr="002D6BE2">
        <w:rPr>
          <w:rFonts w:ascii="Times New Roman" w:hAnsi="Times New Roman" w:cs="Times New Roman"/>
        </w:rPr>
        <w:t>5</w:t>
      </w:r>
    </w:p>
    <w:p w14:paraId="6FC03D43" w14:textId="66197C1A" w:rsidR="0070195B" w:rsidRPr="00CC4084" w:rsidRDefault="00000000" w:rsidP="006547C7">
      <w:pPr>
        <w:tabs>
          <w:tab w:val="left" w:pos="7920"/>
        </w:tabs>
        <w:spacing w:after="60" w:line="360" w:lineRule="auto"/>
        <w:contextualSpacing/>
        <w:rPr>
          <w:rFonts w:ascii="Times New Roman" w:hAnsi="Times New Roman" w:cs="Times New Roman"/>
        </w:rPr>
      </w:pPr>
      <w:r w:rsidRPr="002D6BE2">
        <w:rPr>
          <w:rFonts w:ascii="Times New Roman" w:hAnsi="Times New Roman" w:cs="Times New Roman"/>
          <w:b/>
          <w:bCs/>
        </w:rPr>
        <w:t>5.  Data Science Methodology</w:t>
      </w:r>
      <w:r w:rsidRPr="00CC4084">
        <w:rPr>
          <w:rFonts w:ascii="Times New Roman" w:hAnsi="Times New Roman" w:cs="Times New Roman"/>
        </w:rPr>
        <w:tab/>
      </w:r>
      <w:r w:rsidR="00791476">
        <w:rPr>
          <w:rFonts w:ascii="Times New Roman" w:hAnsi="Times New Roman" w:cs="Times New Roman"/>
        </w:rPr>
        <w:t>7</w:t>
      </w:r>
    </w:p>
    <w:p w14:paraId="3CFB2AB3" w14:textId="6B4EFE9A" w:rsidR="0070195B" w:rsidRPr="00CC4084" w:rsidRDefault="00000000" w:rsidP="006547C7">
      <w:pPr>
        <w:tabs>
          <w:tab w:val="left" w:pos="7920"/>
        </w:tabs>
        <w:spacing w:after="60" w:line="360" w:lineRule="auto"/>
        <w:contextualSpacing/>
        <w:rPr>
          <w:rFonts w:ascii="Times New Roman" w:hAnsi="Times New Roman" w:cs="Times New Roman"/>
        </w:rPr>
      </w:pPr>
      <w:r w:rsidRPr="00CC4084">
        <w:rPr>
          <w:rFonts w:ascii="Times New Roman" w:hAnsi="Times New Roman" w:cs="Times New Roman"/>
        </w:rPr>
        <w:t xml:space="preserve">  </w:t>
      </w:r>
      <w:proofErr w:type="gramStart"/>
      <w:r w:rsidRPr="00CC4084">
        <w:rPr>
          <w:rFonts w:ascii="Times New Roman" w:hAnsi="Times New Roman" w:cs="Times New Roman"/>
        </w:rPr>
        <w:t>5.1  Feature</w:t>
      </w:r>
      <w:proofErr w:type="gramEnd"/>
      <w:r w:rsidRPr="00CC4084">
        <w:rPr>
          <w:rFonts w:ascii="Times New Roman" w:hAnsi="Times New Roman" w:cs="Times New Roman"/>
        </w:rPr>
        <w:t xml:space="preserve"> Engineering</w:t>
      </w:r>
      <w:r w:rsidRPr="00CC4084">
        <w:rPr>
          <w:rFonts w:ascii="Times New Roman" w:hAnsi="Times New Roman" w:cs="Times New Roman"/>
        </w:rPr>
        <w:tab/>
      </w:r>
      <w:r w:rsidR="00791476">
        <w:rPr>
          <w:rFonts w:ascii="Times New Roman" w:hAnsi="Times New Roman" w:cs="Times New Roman"/>
        </w:rPr>
        <w:t>7</w:t>
      </w:r>
    </w:p>
    <w:p w14:paraId="0AA1FC82" w14:textId="65CB3FE5" w:rsidR="0070195B" w:rsidRPr="00CC4084" w:rsidRDefault="00000000" w:rsidP="006547C7">
      <w:pPr>
        <w:tabs>
          <w:tab w:val="left" w:pos="7920"/>
        </w:tabs>
        <w:spacing w:after="60" w:line="360" w:lineRule="auto"/>
        <w:contextualSpacing/>
        <w:rPr>
          <w:rFonts w:ascii="Times New Roman" w:hAnsi="Times New Roman" w:cs="Times New Roman"/>
        </w:rPr>
      </w:pPr>
      <w:r w:rsidRPr="00CC4084">
        <w:rPr>
          <w:rFonts w:ascii="Times New Roman" w:hAnsi="Times New Roman" w:cs="Times New Roman"/>
        </w:rPr>
        <w:t xml:space="preserve">  </w:t>
      </w:r>
      <w:proofErr w:type="gramStart"/>
      <w:r w:rsidRPr="00CC4084">
        <w:rPr>
          <w:rFonts w:ascii="Times New Roman" w:hAnsi="Times New Roman" w:cs="Times New Roman"/>
        </w:rPr>
        <w:t>5.2  Data</w:t>
      </w:r>
      <w:proofErr w:type="gramEnd"/>
      <w:r w:rsidRPr="00CC4084">
        <w:rPr>
          <w:rFonts w:ascii="Times New Roman" w:hAnsi="Times New Roman" w:cs="Times New Roman"/>
        </w:rPr>
        <w:t xml:space="preserve"> Preprocessing</w:t>
      </w:r>
      <w:r w:rsidRPr="00CC4084">
        <w:rPr>
          <w:rFonts w:ascii="Times New Roman" w:hAnsi="Times New Roman" w:cs="Times New Roman"/>
        </w:rPr>
        <w:tab/>
      </w:r>
      <w:r w:rsidR="00791476">
        <w:rPr>
          <w:rFonts w:ascii="Times New Roman" w:hAnsi="Times New Roman" w:cs="Times New Roman"/>
        </w:rPr>
        <w:t>7</w:t>
      </w:r>
    </w:p>
    <w:p w14:paraId="0360B4C9" w14:textId="7B0E0802" w:rsidR="0070195B" w:rsidRPr="00CC4084" w:rsidRDefault="00000000" w:rsidP="006547C7">
      <w:pPr>
        <w:tabs>
          <w:tab w:val="left" w:pos="7920"/>
        </w:tabs>
        <w:spacing w:after="60" w:line="360" w:lineRule="auto"/>
        <w:contextualSpacing/>
        <w:rPr>
          <w:rFonts w:ascii="Times New Roman" w:hAnsi="Times New Roman" w:cs="Times New Roman"/>
        </w:rPr>
      </w:pPr>
      <w:r w:rsidRPr="00CC4084">
        <w:rPr>
          <w:rFonts w:ascii="Times New Roman" w:hAnsi="Times New Roman" w:cs="Times New Roman"/>
        </w:rPr>
        <w:t xml:space="preserve">  </w:t>
      </w:r>
      <w:proofErr w:type="gramStart"/>
      <w:r w:rsidRPr="00CC4084">
        <w:rPr>
          <w:rFonts w:ascii="Times New Roman" w:hAnsi="Times New Roman" w:cs="Times New Roman"/>
        </w:rPr>
        <w:t>5.3  Career</w:t>
      </w:r>
      <w:proofErr w:type="gramEnd"/>
      <w:r w:rsidRPr="00CC4084">
        <w:rPr>
          <w:rFonts w:ascii="Times New Roman" w:hAnsi="Times New Roman" w:cs="Times New Roman"/>
        </w:rPr>
        <w:t xml:space="preserve"> Path Clustering (Unsupervised Learning)</w:t>
      </w:r>
      <w:r w:rsidRPr="00CC4084">
        <w:rPr>
          <w:rFonts w:ascii="Times New Roman" w:hAnsi="Times New Roman" w:cs="Times New Roman"/>
        </w:rPr>
        <w:tab/>
      </w:r>
      <w:r w:rsidR="00791476">
        <w:rPr>
          <w:rFonts w:ascii="Times New Roman" w:hAnsi="Times New Roman" w:cs="Times New Roman"/>
        </w:rPr>
        <w:t>8</w:t>
      </w:r>
    </w:p>
    <w:p w14:paraId="30044748" w14:textId="5A254109" w:rsidR="0070195B" w:rsidRPr="00CC4084" w:rsidRDefault="00000000" w:rsidP="006547C7">
      <w:pPr>
        <w:tabs>
          <w:tab w:val="left" w:pos="7920"/>
        </w:tabs>
        <w:spacing w:after="60" w:line="360" w:lineRule="auto"/>
        <w:contextualSpacing/>
        <w:rPr>
          <w:rFonts w:ascii="Times New Roman" w:hAnsi="Times New Roman" w:cs="Times New Roman"/>
        </w:rPr>
      </w:pPr>
      <w:r w:rsidRPr="00CC4084">
        <w:rPr>
          <w:rFonts w:ascii="Times New Roman" w:hAnsi="Times New Roman" w:cs="Times New Roman"/>
        </w:rPr>
        <w:t xml:space="preserve">  </w:t>
      </w:r>
      <w:proofErr w:type="gramStart"/>
      <w:r w:rsidRPr="00CC4084">
        <w:rPr>
          <w:rFonts w:ascii="Times New Roman" w:hAnsi="Times New Roman" w:cs="Times New Roman"/>
        </w:rPr>
        <w:t>5.4  Cluster</w:t>
      </w:r>
      <w:proofErr w:type="gramEnd"/>
      <w:r w:rsidRPr="00CC4084">
        <w:rPr>
          <w:rFonts w:ascii="Times New Roman" w:hAnsi="Times New Roman" w:cs="Times New Roman"/>
        </w:rPr>
        <w:t xml:space="preserve"> Interpretation &amp; Labeling</w:t>
      </w:r>
      <w:r w:rsidRPr="00CC4084">
        <w:rPr>
          <w:rFonts w:ascii="Times New Roman" w:hAnsi="Times New Roman" w:cs="Times New Roman"/>
        </w:rPr>
        <w:tab/>
      </w:r>
      <w:r w:rsidR="00791476">
        <w:rPr>
          <w:rFonts w:ascii="Times New Roman" w:hAnsi="Times New Roman" w:cs="Times New Roman"/>
        </w:rPr>
        <w:t>8</w:t>
      </w:r>
    </w:p>
    <w:p w14:paraId="2F2F5AD7" w14:textId="564A02D4" w:rsidR="0070195B" w:rsidRPr="00CC4084" w:rsidRDefault="00000000" w:rsidP="006547C7">
      <w:pPr>
        <w:tabs>
          <w:tab w:val="left" w:pos="7920"/>
        </w:tabs>
        <w:spacing w:after="60" w:line="360" w:lineRule="auto"/>
        <w:contextualSpacing/>
        <w:rPr>
          <w:rFonts w:ascii="Times New Roman" w:hAnsi="Times New Roman" w:cs="Times New Roman"/>
        </w:rPr>
      </w:pPr>
      <w:r w:rsidRPr="00CC4084">
        <w:rPr>
          <w:rFonts w:ascii="Times New Roman" w:hAnsi="Times New Roman" w:cs="Times New Roman"/>
        </w:rPr>
        <w:t xml:space="preserve">  </w:t>
      </w:r>
      <w:proofErr w:type="gramStart"/>
      <w:r w:rsidRPr="00CC4084">
        <w:rPr>
          <w:rFonts w:ascii="Times New Roman" w:hAnsi="Times New Roman" w:cs="Times New Roman"/>
        </w:rPr>
        <w:t>5.5  Attrition</w:t>
      </w:r>
      <w:proofErr w:type="gramEnd"/>
      <w:r w:rsidRPr="00CC4084">
        <w:rPr>
          <w:rFonts w:ascii="Times New Roman" w:hAnsi="Times New Roman" w:cs="Times New Roman"/>
        </w:rPr>
        <w:t xml:space="preserve"> Risk Classification</w:t>
      </w:r>
      <w:r w:rsidRPr="00CC4084">
        <w:rPr>
          <w:rFonts w:ascii="Times New Roman" w:hAnsi="Times New Roman" w:cs="Times New Roman"/>
        </w:rPr>
        <w:tab/>
      </w:r>
      <w:r w:rsidR="00791476">
        <w:rPr>
          <w:rFonts w:ascii="Times New Roman" w:hAnsi="Times New Roman" w:cs="Times New Roman"/>
        </w:rPr>
        <w:t>9</w:t>
      </w:r>
    </w:p>
    <w:p w14:paraId="46BCC119" w14:textId="77777777" w:rsidR="0070195B" w:rsidRPr="00CC4084" w:rsidRDefault="00000000" w:rsidP="006547C7">
      <w:pPr>
        <w:tabs>
          <w:tab w:val="left" w:pos="7920"/>
        </w:tabs>
        <w:spacing w:after="60" w:line="360" w:lineRule="auto"/>
        <w:contextualSpacing/>
        <w:rPr>
          <w:rFonts w:ascii="Times New Roman" w:hAnsi="Times New Roman" w:cs="Times New Roman"/>
        </w:rPr>
      </w:pPr>
      <w:r w:rsidRPr="00CC4084">
        <w:rPr>
          <w:rFonts w:ascii="Times New Roman" w:hAnsi="Times New Roman" w:cs="Times New Roman"/>
        </w:rPr>
        <w:t xml:space="preserve">  </w:t>
      </w:r>
      <w:proofErr w:type="gramStart"/>
      <w:r w:rsidRPr="00CC4084">
        <w:rPr>
          <w:rFonts w:ascii="Times New Roman" w:hAnsi="Times New Roman" w:cs="Times New Roman"/>
        </w:rPr>
        <w:t>5.6  Retention</w:t>
      </w:r>
      <w:proofErr w:type="gramEnd"/>
      <w:r w:rsidRPr="00CC4084">
        <w:rPr>
          <w:rFonts w:ascii="Times New Roman" w:hAnsi="Times New Roman" w:cs="Times New Roman"/>
        </w:rPr>
        <w:t xml:space="preserve"> Opportunity Identification</w:t>
      </w:r>
      <w:r w:rsidRPr="00CC4084">
        <w:rPr>
          <w:rFonts w:ascii="Times New Roman" w:hAnsi="Times New Roman" w:cs="Times New Roman"/>
        </w:rPr>
        <w:tab/>
        <w:t>9</w:t>
      </w:r>
    </w:p>
    <w:p w14:paraId="5248B180" w14:textId="77777777" w:rsidR="0070195B" w:rsidRPr="002D6BE2" w:rsidRDefault="00000000" w:rsidP="006547C7">
      <w:pPr>
        <w:tabs>
          <w:tab w:val="left" w:pos="7920"/>
        </w:tabs>
        <w:spacing w:after="60" w:line="360" w:lineRule="auto"/>
        <w:contextualSpacing/>
        <w:rPr>
          <w:rFonts w:ascii="Times New Roman" w:hAnsi="Times New Roman" w:cs="Times New Roman"/>
          <w:b/>
          <w:bCs/>
        </w:rPr>
      </w:pPr>
      <w:r w:rsidRPr="002D6BE2">
        <w:rPr>
          <w:rFonts w:ascii="Times New Roman" w:hAnsi="Times New Roman" w:cs="Times New Roman"/>
          <w:b/>
          <w:bCs/>
        </w:rPr>
        <w:t>6.  System Architecture &amp; Implementation</w:t>
      </w:r>
      <w:r w:rsidRPr="002D6BE2">
        <w:rPr>
          <w:rFonts w:ascii="Times New Roman" w:hAnsi="Times New Roman" w:cs="Times New Roman"/>
          <w:b/>
          <w:bCs/>
        </w:rPr>
        <w:tab/>
      </w:r>
      <w:r w:rsidRPr="002D6BE2">
        <w:rPr>
          <w:rFonts w:ascii="Times New Roman" w:hAnsi="Times New Roman" w:cs="Times New Roman"/>
        </w:rPr>
        <w:t>9</w:t>
      </w:r>
    </w:p>
    <w:p w14:paraId="49CE5809" w14:textId="77777777" w:rsidR="0070195B" w:rsidRPr="002D6BE2" w:rsidRDefault="00000000" w:rsidP="006547C7">
      <w:pPr>
        <w:tabs>
          <w:tab w:val="left" w:pos="7920"/>
        </w:tabs>
        <w:spacing w:after="60" w:line="360" w:lineRule="auto"/>
        <w:contextualSpacing/>
        <w:rPr>
          <w:rFonts w:ascii="Times New Roman" w:hAnsi="Times New Roman" w:cs="Times New Roman"/>
          <w:b/>
          <w:bCs/>
        </w:rPr>
      </w:pPr>
      <w:r w:rsidRPr="002D6BE2">
        <w:rPr>
          <w:rFonts w:ascii="Times New Roman" w:hAnsi="Times New Roman" w:cs="Times New Roman"/>
          <w:b/>
          <w:bCs/>
        </w:rPr>
        <w:t>7.  Key Performance Indicators (KPIs)</w:t>
      </w:r>
      <w:r w:rsidRPr="002D6BE2">
        <w:rPr>
          <w:rFonts w:ascii="Times New Roman" w:hAnsi="Times New Roman" w:cs="Times New Roman"/>
          <w:b/>
          <w:bCs/>
        </w:rPr>
        <w:tab/>
      </w:r>
      <w:r w:rsidRPr="002D6BE2">
        <w:rPr>
          <w:rFonts w:ascii="Times New Roman" w:hAnsi="Times New Roman" w:cs="Times New Roman"/>
        </w:rPr>
        <w:t>11</w:t>
      </w:r>
    </w:p>
    <w:p w14:paraId="0C1437A0" w14:textId="77777777" w:rsidR="0070195B" w:rsidRPr="002D6BE2" w:rsidRDefault="00000000" w:rsidP="006547C7">
      <w:pPr>
        <w:tabs>
          <w:tab w:val="left" w:pos="7920"/>
        </w:tabs>
        <w:spacing w:after="60" w:line="360" w:lineRule="auto"/>
        <w:contextualSpacing/>
        <w:rPr>
          <w:rFonts w:ascii="Times New Roman" w:hAnsi="Times New Roman" w:cs="Times New Roman"/>
          <w:b/>
          <w:bCs/>
        </w:rPr>
      </w:pPr>
      <w:r w:rsidRPr="002D6BE2">
        <w:rPr>
          <w:rFonts w:ascii="Times New Roman" w:hAnsi="Times New Roman" w:cs="Times New Roman"/>
          <w:b/>
          <w:bCs/>
        </w:rPr>
        <w:t>8.  Results and Discussion</w:t>
      </w:r>
      <w:r w:rsidRPr="002D6BE2">
        <w:rPr>
          <w:rFonts w:ascii="Times New Roman" w:hAnsi="Times New Roman" w:cs="Times New Roman"/>
          <w:b/>
          <w:bCs/>
        </w:rPr>
        <w:tab/>
      </w:r>
      <w:r w:rsidRPr="002D6BE2">
        <w:rPr>
          <w:rFonts w:ascii="Times New Roman" w:hAnsi="Times New Roman" w:cs="Times New Roman"/>
        </w:rPr>
        <w:t>11</w:t>
      </w:r>
    </w:p>
    <w:p w14:paraId="7EA6AD3E" w14:textId="4776C702" w:rsidR="0070195B" w:rsidRPr="002D6BE2" w:rsidRDefault="00000000" w:rsidP="006547C7">
      <w:pPr>
        <w:tabs>
          <w:tab w:val="left" w:pos="7920"/>
        </w:tabs>
        <w:spacing w:after="60" w:line="360" w:lineRule="auto"/>
        <w:contextualSpacing/>
        <w:rPr>
          <w:rFonts w:ascii="Times New Roman" w:hAnsi="Times New Roman" w:cs="Times New Roman"/>
          <w:b/>
          <w:bCs/>
        </w:rPr>
      </w:pPr>
      <w:r w:rsidRPr="002D6BE2">
        <w:rPr>
          <w:rFonts w:ascii="Times New Roman" w:hAnsi="Times New Roman" w:cs="Times New Roman"/>
          <w:b/>
          <w:bCs/>
        </w:rPr>
        <w:t>9.  Recommendations</w:t>
      </w:r>
      <w:r w:rsidRPr="002D6BE2">
        <w:rPr>
          <w:rFonts w:ascii="Times New Roman" w:hAnsi="Times New Roman" w:cs="Times New Roman"/>
          <w:b/>
          <w:bCs/>
        </w:rPr>
        <w:tab/>
      </w:r>
      <w:r w:rsidR="00791476">
        <w:rPr>
          <w:rFonts w:ascii="Times New Roman" w:hAnsi="Times New Roman" w:cs="Times New Roman"/>
        </w:rPr>
        <w:t>12</w:t>
      </w:r>
    </w:p>
    <w:p w14:paraId="5B512599" w14:textId="209BB474" w:rsidR="0070195B" w:rsidRPr="002D6BE2" w:rsidRDefault="00791476" w:rsidP="006547C7">
      <w:pPr>
        <w:tabs>
          <w:tab w:val="left" w:pos="7920"/>
        </w:tabs>
        <w:spacing w:after="60" w:line="360" w:lineRule="auto"/>
        <w:contextualSpacing/>
        <w:rPr>
          <w:rFonts w:ascii="Times New Roman" w:hAnsi="Times New Roman" w:cs="Times New Roman"/>
          <w:b/>
          <w:bCs/>
        </w:rPr>
      </w:pPr>
      <w:r>
        <w:rPr>
          <w:rFonts w:ascii="Times New Roman" w:hAnsi="Times New Roman" w:cs="Times New Roman"/>
          <w:b/>
          <w:bCs/>
        </w:rPr>
        <w:t xml:space="preserve">   </w:t>
      </w:r>
      <w:r w:rsidR="00000000" w:rsidRPr="002D6BE2">
        <w:rPr>
          <w:rFonts w:ascii="Times New Roman" w:hAnsi="Times New Roman" w:cs="Times New Roman"/>
          <w:b/>
          <w:bCs/>
        </w:rPr>
        <w:t xml:space="preserve">  Conclusion</w:t>
      </w:r>
      <w:r w:rsidR="00000000" w:rsidRPr="002D6BE2">
        <w:rPr>
          <w:rFonts w:ascii="Times New Roman" w:hAnsi="Times New Roman" w:cs="Times New Roman"/>
          <w:b/>
          <w:bCs/>
        </w:rPr>
        <w:tab/>
      </w:r>
      <w:r w:rsidR="00000000" w:rsidRPr="002D6BE2">
        <w:rPr>
          <w:rFonts w:ascii="Times New Roman" w:hAnsi="Times New Roman" w:cs="Times New Roman"/>
        </w:rPr>
        <w:t>1</w:t>
      </w:r>
      <w:r>
        <w:rPr>
          <w:rFonts w:ascii="Times New Roman" w:hAnsi="Times New Roman" w:cs="Times New Roman"/>
        </w:rPr>
        <w:t>4</w:t>
      </w:r>
    </w:p>
    <w:p w14:paraId="531C4502" w14:textId="1E18AEB8" w:rsidR="0070195B" w:rsidRPr="00CC4084" w:rsidRDefault="00791476" w:rsidP="006547C7">
      <w:pPr>
        <w:tabs>
          <w:tab w:val="left" w:pos="7920"/>
        </w:tabs>
        <w:spacing w:after="60" w:line="360" w:lineRule="auto"/>
        <w:contextualSpacing/>
        <w:rPr>
          <w:rFonts w:ascii="Times New Roman" w:hAnsi="Times New Roman" w:cs="Times New Roman"/>
        </w:rPr>
      </w:pPr>
      <w:r>
        <w:rPr>
          <w:rFonts w:ascii="Times New Roman" w:hAnsi="Times New Roman" w:cs="Times New Roman"/>
          <w:b/>
          <w:bCs/>
        </w:rPr>
        <w:t xml:space="preserve">   </w:t>
      </w:r>
      <w:r w:rsidR="00000000" w:rsidRPr="002D6BE2">
        <w:rPr>
          <w:rFonts w:ascii="Times New Roman" w:hAnsi="Times New Roman" w:cs="Times New Roman"/>
          <w:b/>
          <w:bCs/>
        </w:rPr>
        <w:t xml:space="preserve">  References</w:t>
      </w:r>
      <w:r w:rsidR="00000000" w:rsidRPr="00CC4084">
        <w:rPr>
          <w:rFonts w:ascii="Times New Roman" w:hAnsi="Times New Roman" w:cs="Times New Roman"/>
        </w:rPr>
        <w:tab/>
        <w:t>1</w:t>
      </w:r>
      <w:r>
        <w:rPr>
          <w:rFonts w:ascii="Times New Roman" w:hAnsi="Times New Roman" w:cs="Times New Roman"/>
        </w:rPr>
        <w:t>5</w:t>
      </w:r>
    </w:p>
    <w:p w14:paraId="0FA1137F" w14:textId="77777777" w:rsidR="002D6BE2" w:rsidRDefault="002D6BE2">
      <w:pPr>
        <w:rPr>
          <w:rFonts w:ascii="Times New Roman" w:hAnsi="Times New Roman" w:cs="Times New Roman"/>
        </w:rPr>
      </w:pPr>
      <w:r>
        <w:rPr>
          <w:rFonts w:ascii="Times New Roman" w:hAnsi="Times New Roman" w:cs="Times New Roman"/>
        </w:rPr>
        <w:br w:type="page"/>
      </w:r>
    </w:p>
    <w:p w14:paraId="7F6E134C" w14:textId="19092A1B" w:rsidR="0070195B" w:rsidRPr="00CC4084" w:rsidRDefault="00000000" w:rsidP="002D6BE2">
      <w:pPr>
        <w:rPr>
          <w:rFonts w:ascii="Times New Roman" w:hAnsi="Times New Roman" w:cs="Times New Roman"/>
        </w:rPr>
      </w:pPr>
      <w:r w:rsidRPr="00CC4084">
        <w:rPr>
          <w:rFonts w:ascii="Times New Roman" w:hAnsi="Times New Roman" w:cs="Times New Roman"/>
          <w:b/>
          <w:sz w:val="32"/>
        </w:rPr>
        <w:lastRenderedPageBreak/>
        <w:t>1. Introduction</w:t>
      </w:r>
    </w:p>
    <w:p w14:paraId="3CE757DA"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In the highly competitive technology sector, retaining top talent is as strategically critical as acquiring it. Palo Alto Networks, a global leader in cybersecurity, invests substantially in recruiting and developing specialized professionals. When skilled employees leave, the organization bears not only direct replacement costs — estimated at 50–200% of annual salary — but also the hidden costs of lost institutional knowledge, diminished team productivity, and disrupted project continuity.</w:t>
      </w:r>
    </w:p>
    <w:p w14:paraId="122208CF"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A critical insight, often overlooked by conventional HR analytics, is that many employees do not leave because of immediate dissatisfaction. Instead, they disengage gradually due to structural career issues: prolonged gaps between promotions, role stagnation, insufficient skill development opportunities, and managerial instability. By the time these employees appear on a predictive attrition radar, the disengagement is already deeply rooted.</w:t>
      </w:r>
    </w:p>
    <w:p w14:paraId="3EB8B308"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This research introduces the Stagnation-to-Success (S2S) Analytics Framework — a comprehensive data science solution that diagnoses these structural career issues at an organizational scale, enabling HR teams to intervene proactively before talent is lost.</w:t>
      </w:r>
    </w:p>
    <w:p w14:paraId="4EB91ED6" w14:textId="77777777" w:rsidR="0070195B" w:rsidRPr="00CC4084" w:rsidRDefault="00000000" w:rsidP="006547C7">
      <w:pPr>
        <w:pStyle w:val="Heading1"/>
        <w:spacing w:line="360" w:lineRule="auto"/>
        <w:contextualSpacing/>
        <w:rPr>
          <w:rFonts w:ascii="Times New Roman" w:hAnsi="Times New Roman" w:cs="Times New Roman"/>
          <w:color w:val="auto"/>
        </w:rPr>
      </w:pPr>
      <w:r w:rsidRPr="00CC4084">
        <w:rPr>
          <w:rFonts w:ascii="Times New Roman" w:hAnsi="Times New Roman" w:cs="Times New Roman"/>
          <w:color w:val="auto"/>
          <w:sz w:val="32"/>
        </w:rPr>
        <w:t>2. Problem Statement</w:t>
      </w:r>
    </w:p>
    <w:p w14:paraId="2EE0C4EB"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Palo Alto Networks currently lacks a systematic, data-driven mechanism to:</w:t>
      </w:r>
    </w:p>
    <w:p w14:paraId="7FEF48A7"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Visualize and understand career progression patterns across departments and roles.</w:t>
      </w:r>
    </w:p>
    <w:p w14:paraId="19C33458"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Identify employees experiencing promotion stagnation before they exhibit disengagement behavior.</w:t>
      </w:r>
    </w:p>
    <w:p w14:paraId="70BBC93D"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Capture early retention opportunities for employees who are still engaged but structurally at risk.</w:t>
      </w:r>
    </w:p>
    <w:p w14:paraId="6F242EFB"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Provide HR managers with personalized, actionable career intervention recommendations.</w:t>
      </w:r>
    </w:p>
    <w:p w14:paraId="5A2B3CE8" w14:textId="77777777" w:rsidR="0070195B" w:rsidRPr="00CC4084" w:rsidRDefault="0070195B" w:rsidP="006547C7">
      <w:pPr>
        <w:spacing w:line="360" w:lineRule="auto"/>
        <w:contextualSpacing/>
        <w:rPr>
          <w:rFonts w:ascii="Times New Roman" w:hAnsi="Times New Roman" w:cs="Times New Roman"/>
        </w:rPr>
      </w:pPr>
    </w:p>
    <w:p w14:paraId="47CC7582"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Without these capabilities, retention strategies remain generic and reactive — applied broadly rather than tailored to individual career needs. This project directly addresses this gap by building a career trajectory intelligence system grounded in machine learning and real employee data.</w:t>
      </w:r>
    </w:p>
    <w:p w14:paraId="09C4E548"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 xml:space="preserve">The central research question this project answers is: </w:t>
      </w:r>
    </w:p>
    <w:p w14:paraId="50F02507" w14:textId="4C3F398B" w:rsidR="0070195B" w:rsidRPr="00CC4084" w:rsidRDefault="00000000" w:rsidP="006547C7">
      <w:pPr>
        <w:spacing w:line="360" w:lineRule="auto"/>
        <w:ind w:left="720"/>
        <w:contextualSpacing/>
        <w:rPr>
          <w:rFonts w:ascii="Times New Roman" w:hAnsi="Times New Roman" w:cs="Times New Roman"/>
        </w:rPr>
      </w:pPr>
      <w:r w:rsidRPr="00CC4084">
        <w:rPr>
          <w:rFonts w:ascii="Times New Roman" w:hAnsi="Times New Roman" w:cs="Times New Roman"/>
          <w:i/>
        </w:rPr>
        <w:t>"What structural career patterns — particularly around promotion gaps and role stagnation — place employees at elevated retention risk, and how can these patterns be identified and acted upon before disengagement occurs?"</w:t>
      </w:r>
    </w:p>
    <w:p w14:paraId="27C94B18" w14:textId="77777777" w:rsidR="0070195B" w:rsidRPr="00CC4084" w:rsidRDefault="00000000" w:rsidP="006547C7">
      <w:pPr>
        <w:pStyle w:val="Heading1"/>
        <w:spacing w:line="360" w:lineRule="auto"/>
        <w:contextualSpacing/>
        <w:rPr>
          <w:rFonts w:ascii="Times New Roman" w:hAnsi="Times New Roman" w:cs="Times New Roman"/>
          <w:color w:val="auto"/>
        </w:rPr>
      </w:pPr>
      <w:r w:rsidRPr="00CC4084">
        <w:rPr>
          <w:rFonts w:ascii="Times New Roman" w:hAnsi="Times New Roman" w:cs="Times New Roman"/>
          <w:color w:val="auto"/>
          <w:sz w:val="32"/>
        </w:rPr>
        <w:lastRenderedPageBreak/>
        <w:t>3. Literature Review</w:t>
      </w:r>
    </w:p>
    <w:p w14:paraId="7052B17B"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Employee attrition prediction has been an active area of HR analytics research. Existing literature broadly falls into two categories: predictive attrition modeling and career progression analytics.</w:t>
      </w:r>
    </w:p>
    <w:p w14:paraId="2F6FACC0"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3.1 Predictive Attrition Modeling</w:t>
      </w:r>
    </w:p>
    <w:p w14:paraId="6A431F55"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Numerous studies have applied machine learning algorithms — including logistic regression, decision trees, support vector machines, and gradient boosting — to predict attrition probability from employee survey and HR data (Punnoose &amp; Ajit, 2016; Zhao et al., 2018). The IBM HR Analytics Employee Attrition Dataset, widely used in benchmarking, demonstrates that features such as OverTime, MonthlyIncome, and JobSatisfaction are among the most predictive. However, these models primarily answer who will leave, not why.</w:t>
      </w:r>
    </w:p>
    <w:p w14:paraId="2C15FB10"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3.2 Career Progression Analytics</w:t>
      </w:r>
    </w:p>
    <w:p w14:paraId="624D5FF7"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Scholarship on internal labor markets (Doeringer &amp; Piore, 1971) and career mobility (Rosenbaum, 1979) established that promotion velocity and role transitions significantly influence employee commitment and organizational attachment. More recent studies in organizational behavior confirm that perceived career stagnation is a major antecedent of turnover intention (Ng &amp; Feldman, 2014).</w:t>
      </w:r>
    </w:p>
    <w:p w14:paraId="4D6767B0"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3.3 Clustering for HR Segmentation</w:t>
      </w:r>
    </w:p>
    <w:p w14:paraId="1301A66E"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Unsupervised clustering methods — particularly K-Means — have been applied to HR data to segment employees into behavioral personas (Saradhi &amp; Palshikar, 2011). Such segmentation enables targeted retention strategies rather than uniform, one-size-fits-all interventions. The S2S framework builds on this foundation by combining unsupervised clustering with novel stagnation-specific feature engineering.</w:t>
      </w:r>
    </w:p>
    <w:p w14:paraId="415A751F"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3.4 Research Gap</w:t>
      </w:r>
    </w:p>
    <w:p w14:paraId="5268FA60" w14:textId="09443C03" w:rsidR="00CC4084" w:rsidRPr="00CC4084" w:rsidRDefault="00000000" w:rsidP="006547C7">
      <w:pPr>
        <w:spacing w:after="120" w:line="360" w:lineRule="auto"/>
        <w:contextualSpacing/>
        <w:rPr>
          <w:rFonts w:ascii="Times New Roman" w:hAnsi="Times New Roman" w:cs="Times New Roman"/>
          <w:sz w:val="32"/>
        </w:rPr>
      </w:pPr>
      <w:r w:rsidRPr="00CC4084">
        <w:rPr>
          <w:rFonts w:ascii="Times New Roman" w:hAnsi="Times New Roman" w:cs="Times New Roman"/>
        </w:rPr>
        <w:t>Despite extensive literature on attrition prediction and career analytics, no widely adopted framework integrates both into a unified, deployable analytics platform with real-time dashboard capabilities. The S2S project addresses this gap by delivering a production-ready system that moves from data science insights to actionable HR decisions.</w:t>
      </w:r>
    </w:p>
    <w:p w14:paraId="042A6849" w14:textId="79A03AE9" w:rsidR="0070195B" w:rsidRPr="00CC4084" w:rsidRDefault="00000000" w:rsidP="006547C7">
      <w:pPr>
        <w:pStyle w:val="Heading1"/>
        <w:spacing w:line="360" w:lineRule="auto"/>
        <w:contextualSpacing/>
        <w:rPr>
          <w:rFonts w:ascii="Times New Roman" w:hAnsi="Times New Roman" w:cs="Times New Roman"/>
          <w:color w:val="auto"/>
        </w:rPr>
      </w:pPr>
      <w:r w:rsidRPr="00CC4084">
        <w:rPr>
          <w:rFonts w:ascii="Times New Roman" w:hAnsi="Times New Roman" w:cs="Times New Roman"/>
          <w:color w:val="auto"/>
          <w:sz w:val="32"/>
        </w:rPr>
        <w:t>4. Dataset Description</w:t>
      </w:r>
    </w:p>
    <w:p w14:paraId="69EF652D"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 xml:space="preserve">The analysis is based on the Palo Alto Networks Employee Dataset, a structured tabular dataset containing demographic, compensation, satisfaction, and career history records for all active and </w:t>
      </w:r>
      <w:r w:rsidRPr="00CC4084">
        <w:rPr>
          <w:rFonts w:ascii="Times New Roman" w:hAnsi="Times New Roman" w:cs="Times New Roman"/>
        </w:rPr>
        <w:lastRenderedPageBreak/>
        <w:t>former employees. The dataset is stored as a CSV file (Palo Alto Networks.csv) containing 1,470 employee records and 30 feature columns.</w:t>
      </w:r>
    </w:p>
    <w:p w14:paraId="20095314" w14:textId="77777777" w:rsidR="0070195B" w:rsidRPr="00CC4084" w:rsidRDefault="0070195B" w:rsidP="006547C7">
      <w:pPr>
        <w:spacing w:line="360" w:lineRule="auto"/>
        <w:contextualSpacing/>
        <w:rPr>
          <w:rFonts w:ascii="Times New Roman" w:hAnsi="Times New Roman" w:cs="Times New Roman"/>
        </w:rPr>
      </w:pPr>
    </w:p>
    <w:tbl>
      <w:tblPr>
        <w:tblStyle w:val="TableGrid"/>
        <w:tblW w:w="0" w:type="auto"/>
        <w:jc w:val="center"/>
        <w:tblLook w:val="04A0" w:firstRow="1" w:lastRow="0" w:firstColumn="1" w:lastColumn="0" w:noHBand="0" w:noVBand="1"/>
      </w:tblPr>
      <w:tblGrid>
        <w:gridCol w:w="2592"/>
        <w:gridCol w:w="1728"/>
        <w:gridCol w:w="4608"/>
      </w:tblGrid>
      <w:tr w:rsidR="0006017F" w:rsidRPr="00CC4084" w14:paraId="2D4A6B98" w14:textId="77777777">
        <w:trPr>
          <w:jc w:val="center"/>
        </w:trPr>
        <w:tc>
          <w:tcPr>
            <w:tcW w:w="2592" w:type="dxa"/>
            <w:shd w:val="clear" w:color="auto" w:fill="1F497D"/>
          </w:tcPr>
          <w:p w14:paraId="20C4F70A"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Field Name</w:t>
            </w:r>
          </w:p>
        </w:tc>
        <w:tc>
          <w:tcPr>
            <w:tcW w:w="1728" w:type="dxa"/>
            <w:shd w:val="clear" w:color="auto" w:fill="1F497D"/>
          </w:tcPr>
          <w:p w14:paraId="3F460D21"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Data Type</w:t>
            </w:r>
          </w:p>
        </w:tc>
        <w:tc>
          <w:tcPr>
            <w:tcW w:w="4608" w:type="dxa"/>
            <w:shd w:val="clear" w:color="auto" w:fill="1F497D"/>
          </w:tcPr>
          <w:p w14:paraId="7D72844D"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Description</w:t>
            </w:r>
          </w:p>
        </w:tc>
      </w:tr>
      <w:tr w:rsidR="0006017F" w:rsidRPr="00CC4084" w14:paraId="3E851921"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1B0E762B"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Age</w:t>
            </w:r>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14D8223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Integer</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42A49215"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Employee age in years</w:t>
            </w:r>
          </w:p>
        </w:tc>
      </w:tr>
      <w:tr w:rsidR="0006017F" w:rsidRPr="00CC4084" w14:paraId="461025C9"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1321D73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Attrition</w:t>
            </w:r>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144B073F"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Binary (0/1)</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1D61A553"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Whether the employee left (1) or stayed (0)</w:t>
            </w:r>
          </w:p>
        </w:tc>
      </w:tr>
      <w:tr w:rsidR="0006017F" w:rsidRPr="00CC4084" w14:paraId="3648546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7486788B"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BusinessTravel</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65CB553E"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Categorical</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4492295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Travel frequency: Non-Travel / Travel Rarely / Frequently</w:t>
            </w:r>
          </w:p>
        </w:tc>
      </w:tr>
      <w:tr w:rsidR="0006017F" w:rsidRPr="00CC4084" w14:paraId="166EAB3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0FD9F76A"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DailyRate</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37F55FBF"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Float</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5B66EBB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Daily compensation rate</w:t>
            </w:r>
          </w:p>
        </w:tc>
      </w:tr>
      <w:tr w:rsidR="0006017F" w:rsidRPr="00CC4084" w14:paraId="0E788F49"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2EAA6878"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Department</w:t>
            </w:r>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5A768C2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Categorical</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10EA7AE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Department: R&amp;D, Sales, Human Resources</w:t>
            </w:r>
          </w:p>
        </w:tc>
      </w:tr>
      <w:tr w:rsidR="0006017F" w:rsidRPr="00CC4084" w14:paraId="10443469"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421DA7EE"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DistanceFromHome</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06C02916"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Integer</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14F4D96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Commute distance in miles</w:t>
            </w:r>
          </w:p>
        </w:tc>
      </w:tr>
      <w:tr w:rsidR="0006017F" w:rsidRPr="00CC4084" w14:paraId="024CE9F3"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239B4F4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Education</w:t>
            </w:r>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183D13F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Ordinal 1–5</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7A329A0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1=Below College … 5=Doctor</w:t>
            </w:r>
          </w:p>
        </w:tc>
      </w:tr>
      <w:tr w:rsidR="0006017F" w:rsidRPr="00CC4084" w14:paraId="037A059E"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5BB7C141"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EducationField</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337DBA6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Categorical</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7963C498"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Field of study (Life Sciences, Medical, Technical…)</w:t>
            </w:r>
          </w:p>
        </w:tc>
      </w:tr>
      <w:tr w:rsidR="0006017F" w:rsidRPr="00CC4084" w14:paraId="57577FFF"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7B361E64"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EnvironmentSatisfaction</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6638D1AB"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Ordinal 1–4</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2CD08A5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Work environment satisfaction (1=Low, 4=High)</w:t>
            </w:r>
          </w:p>
        </w:tc>
      </w:tr>
      <w:tr w:rsidR="0006017F" w:rsidRPr="00CC4084" w14:paraId="53A74A96"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52D63E6A"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Gender</w:t>
            </w:r>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00254E1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Categorical</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32326DB3"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Male / Female</w:t>
            </w:r>
          </w:p>
        </w:tc>
      </w:tr>
      <w:tr w:rsidR="0006017F" w:rsidRPr="00CC4084" w14:paraId="4E91D21E"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53E54D8F"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HourlyRate</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1EDD4476"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Float</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299830B8"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Hourly wage</w:t>
            </w:r>
          </w:p>
        </w:tc>
      </w:tr>
      <w:tr w:rsidR="0006017F" w:rsidRPr="00CC4084" w14:paraId="23FD438B"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4B36A97B"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JobInvolvement</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0B10B2B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Ordinal 1–4</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1AA4166E"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Involvement level in current role</w:t>
            </w:r>
          </w:p>
        </w:tc>
      </w:tr>
      <w:tr w:rsidR="0006017F" w:rsidRPr="00CC4084" w14:paraId="68A6A4FD"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4614ED35"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JobLevel</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2BDCEF8F"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Ordinal 1–5</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55DF0A9A"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Seniority level (1=Entry … 5=Executive)</w:t>
            </w:r>
          </w:p>
        </w:tc>
      </w:tr>
      <w:tr w:rsidR="0006017F" w:rsidRPr="00CC4084" w14:paraId="1D97A639"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5C145F17"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JobRole</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1490E5C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Categorical</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15CABBE9"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Specific designation</w:t>
            </w:r>
          </w:p>
        </w:tc>
      </w:tr>
      <w:tr w:rsidR="0006017F" w:rsidRPr="00CC4084" w14:paraId="0AAFD2A0"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5DD0A49C"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JobSatisfaction</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2847CE96"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Ordinal 1–4</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65CD292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Satisfaction with current role</w:t>
            </w:r>
          </w:p>
        </w:tc>
      </w:tr>
      <w:tr w:rsidR="0006017F" w:rsidRPr="00CC4084" w14:paraId="1BC4633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162FEC5D"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MaritalStatus</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478B740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Categorical</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4BEE9B3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Single / Married / Divorced</w:t>
            </w:r>
          </w:p>
        </w:tc>
      </w:tr>
      <w:tr w:rsidR="0006017F" w:rsidRPr="00CC4084" w14:paraId="7518B09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581E3813"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MonthlyIncome</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1A5A129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Float</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0C88BF1F"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Monthly salary in USD</w:t>
            </w:r>
          </w:p>
        </w:tc>
      </w:tr>
      <w:tr w:rsidR="0006017F" w:rsidRPr="00CC4084" w14:paraId="4DD7AEE9"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4F3AC69A"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NumCompaniesWorked</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1CE1DBA3"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Integer</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1FB3BFF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Prior companies worked at</w:t>
            </w:r>
          </w:p>
        </w:tc>
      </w:tr>
      <w:tr w:rsidR="0006017F" w:rsidRPr="00CC4084" w14:paraId="65B84E90"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665DEE1E"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OverTime</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3C84EE0F"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Binary</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52AD8446"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Whether employee works overtime</w:t>
            </w:r>
          </w:p>
        </w:tc>
      </w:tr>
      <w:tr w:rsidR="0006017F" w:rsidRPr="00CC4084" w14:paraId="78D78943"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6AAAE20C"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PercentSalaryHike</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38AECA3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Float</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249164DF"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Last appraisal salary increase (%)</w:t>
            </w:r>
          </w:p>
        </w:tc>
      </w:tr>
      <w:tr w:rsidR="0006017F" w:rsidRPr="00CC4084" w14:paraId="78F8859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7FB9CFC3"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PerformanceRating</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166478EF"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Ordinal 1–4</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27801D8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Performance evaluation score</w:t>
            </w:r>
          </w:p>
        </w:tc>
      </w:tr>
      <w:tr w:rsidR="0006017F" w:rsidRPr="00CC4084" w14:paraId="41C22C8E"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71293C94"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RelationshipSatisfaction</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5605F46C"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Ordinal 1–4</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3D7EBA69"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Satisfaction with workplace relationships</w:t>
            </w:r>
          </w:p>
        </w:tc>
      </w:tr>
      <w:tr w:rsidR="0006017F" w:rsidRPr="00CC4084" w14:paraId="1FC0A8F1"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51341854"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StockOptionLevel</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5696391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Ordinal 0–3</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5C17FFE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Level of stock option grant</w:t>
            </w:r>
          </w:p>
        </w:tc>
      </w:tr>
      <w:tr w:rsidR="0006017F" w:rsidRPr="00CC4084" w14:paraId="53A14B93"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3D1DFA98"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TotalWorkingYears</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4223794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Integer</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65F06D63"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Total professional experience</w:t>
            </w:r>
          </w:p>
        </w:tc>
      </w:tr>
      <w:tr w:rsidR="0006017F" w:rsidRPr="00CC4084" w14:paraId="11508146"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6DDD33B8"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TrainingTimesLastYear</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5A161A9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Integer</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1D062F4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Training programs attended last year</w:t>
            </w:r>
          </w:p>
        </w:tc>
      </w:tr>
      <w:tr w:rsidR="0006017F" w:rsidRPr="00CC4084" w14:paraId="73BF1A4F"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587C2309"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WorkLifeBalance</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2D58EA7C"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Ordinal 1–4</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4728653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Work-life balance rating</w:t>
            </w:r>
          </w:p>
        </w:tc>
      </w:tr>
      <w:tr w:rsidR="0006017F" w:rsidRPr="00CC4084" w14:paraId="1DF2CFA5"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05613F2A"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YearsAtCompany</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7EC0E879"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Integer</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49A36F5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Tenure at Palo Alto Networks</w:t>
            </w:r>
          </w:p>
        </w:tc>
      </w:tr>
      <w:tr w:rsidR="0006017F" w:rsidRPr="00CC4084" w14:paraId="2009618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0714B686"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YearsInCurrentRole</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40AAF46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Integer</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796E85A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Tenure in current role</w:t>
            </w:r>
          </w:p>
        </w:tc>
      </w:tr>
      <w:tr w:rsidR="0006017F" w:rsidRPr="00CC4084" w14:paraId="26FEEFB4"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22EE80FC"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YearsSinceLastPromotion</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D9E1F2"/>
          </w:tcPr>
          <w:p w14:paraId="32D70556"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Integer</w:t>
            </w:r>
          </w:p>
        </w:tc>
        <w:tc>
          <w:tcPr>
            <w:tcW w:w="4608" w:type="dxa"/>
            <w:tcBorders>
              <w:top w:val="single" w:sz="4" w:space="0" w:color="B8CCE4"/>
              <w:left w:val="single" w:sz="4" w:space="0" w:color="B8CCE4"/>
              <w:bottom w:val="single" w:sz="4" w:space="0" w:color="B8CCE4"/>
              <w:right w:val="single" w:sz="4" w:space="0" w:color="B8CCE4"/>
            </w:tcBorders>
            <w:shd w:val="clear" w:color="auto" w:fill="D9E1F2"/>
          </w:tcPr>
          <w:p w14:paraId="7DF47A26"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Years since most recent promotion</w:t>
            </w:r>
          </w:p>
        </w:tc>
      </w:tr>
      <w:tr w:rsidR="0006017F" w:rsidRPr="00CC4084" w14:paraId="3E1F6555"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1D3E9573" w14:textId="77777777" w:rsidR="0070195B" w:rsidRPr="00CC4084" w:rsidRDefault="00000000" w:rsidP="006547C7">
            <w:pPr>
              <w:spacing w:line="360" w:lineRule="auto"/>
              <w:contextualSpacing/>
              <w:rPr>
                <w:rFonts w:ascii="Times New Roman" w:hAnsi="Times New Roman" w:cs="Times New Roman"/>
              </w:rPr>
            </w:pPr>
            <w:proofErr w:type="spellStart"/>
            <w:r w:rsidRPr="00CC4084">
              <w:rPr>
                <w:rFonts w:ascii="Times New Roman" w:hAnsi="Times New Roman" w:cs="Times New Roman"/>
                <w:sz w:val="20"/>
              </w:rPr>
              <w:t>YearsWithCurrManager</w:t>
            </w:r>
            <w:proofErr w:type="spellEnd"/>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04F8141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Integer</w:t>
            </w:r>
          </w:p>
        </w:tc>
        <w:tc>
          <w:tcPr>
            <w:tcW w:w="4608" w:type="dxa"/>
            <w:tcBorders>
              <w:top w:val="single" w:sz="4" w:space="0" w:color="B8CCE4"/>
              <w:left w:val="single" w:sz="4" w:space="0" w:color="B8CCE4"/>
              <w:bottom w:val="single" w:sz="4" w:space="0" w:color="B8CCE4"/>
              <w:right w:val="single" w:sz="4" w:space="0" w:color="B8CCE4"/>
            </w:tcBorders>
            <w:shd w:val="clear" w:color="auto" w:fill="FFFFFF"/>
          </w:tcPr>
          <w:p w14:paraId="3C26F8B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Years working with current manager</w:t>
            </w:r>
          </w:p>
        </w:tc>
      </w:tr>
    </w:tbl>
    <w:p w14:paraId="1C801169" w14:textId="77777777" w:rsidR="0070195B" w:rsidRPr="00CC4084" w:rsidRDefault="00000000" w:rsidP="006547C7">
      <w:pPr>
        <w:pStyle w:val="Heading1"/>
        <w:spacing w:line="360" w:lineRule="auto"/>
        <w:contextualSpacing/>
        <w:rPr>
          <w:rFonts w:ascii="Times New Roman" w:hAnsi="Times New Roman" w:cs="Times New Roman"/>
          <w:color w:val="auto"/>
        </w:rPr>
      </w:pPr>
      <w:r w:rsidRPr="00CC4084">
        <w:rPr>
          <w:rFonts w:ascii="Times New Roman" w:hAnsi="Times New Roman" w:cs="Times New Roman"/>
          <w:color w:val="auto"/>
          <w:sz w:val="32"/>
        </w:rPr>
        <w:lastRenderedPageBreak/>
        <w:t>5. Data Science Methodology</w:t>
      </w:r>
    </w:p>
    <w:p w14:paraId="7828B678"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S2S pipeline consists of six sequential stages, designed to transform raw HR records into actionable career intelligence. Each stage is implemented as a modular Python component within the src/ package, ensuring maintainability and reproducibility.</w:t>
      </w:r>
    </w:p>
    <w:p w14:paraId="4CED04D1"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5.1 Feature Engineering</w:t>
      </w:r>
    </w:p>
    <w:p w14:paraId="3BDE9D11"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Raw dataset fields alone are insufficient to capture the nuanced patterns of career stagnation. Four custom derived metrics are engineered to quantify career progression dynamics:</w:t>
      </w:r>
    </w:p>
    <w:p w14:paraId="663C7887"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b/>
        </w:rPr>
        <w:t xml:space="preserve">Promotion Gap Ratio = YearsSinceLastPromotion / YearsAtCompany: </w:t>
      </w:r>
      <w:r w:rsidRPr="00CC4084">
        <w:rPr>
          <w:rFonts w:ascii="Times New Roman" w:hAnsi="Times New Roman" w:cs="Times New Roman"/>
        </w:rPr>
        <w:t>Measures the proportion of an employee's company tenure that has elapsed without a promotion. Values approaching 1.0 indicate long gaps relative to total tenure.</w:t>
      </w:r>
    </w:p>
    <w:p w14:paraId="38E8CDB4"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b/>
        </w:rPr>
        <w:t xml:space="preserve">Role Stagnation Index = YearsInCurrentRole / YearsAtCompany: </w:t>
      </w:r>
      <w:r w:rsidRPr="00CC4084">
        <w:rPr>
          <w:rFonts w:ascii="Times New Roman" w:hAnsi="Times New Roman" w:cs="Times New Roman"/>
        </w:rPr>
        <w:t>Captures how long an employee has been in their current role relative to total tenure. High values signal role entrenchment.</w:t>
      </w:r>
    </w:p>
    <w:p w14:paraId="56283321"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b/>
        </w:rPr>
        <w:t xml:space="preserve">Training Intensity Score = TrainingTimesLastYear / (YearsAtCompany + 1): </w:t>
      </w:r>
      <w:r w:rsidRPr="00CC4084">
        <w:rPr>
          <w:rFonts w:ascii="Times New Roman" w:hAnsi="Times New Roman" w:cs="Times New Roman"/>
        </w:rPr>
        <w:t>Reflects the rate of skill development investment relative to tenure length.</w:t>
      </w:r>
    </w:p>
    <w:p w14:paraId="5F3E506E"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b/>
        </w:rPr>
        <w:t xml:space="preserve">Manager Stagnation Index = YearsWithCurrManager / YearsAtCompany: </w:t>
      </w:r>
      <w:r w:rsidRPr="00CC4084">
        <w:rPr>
          <w:rFonts w:ascii="Times New Roman" w:hAnsi="Times New Roman" w:cs="Times New Roman"/>
        </w:rPr>
        <w:t>Indicates manager continuity. Very high values may correlate with either stability or lack of growth opportunities through managerial change.</w:t>
      </w:r>
    </w:p>
    <w:p w14:paraId="74A064D3" w14:textId="77777777" w:rsidR="0070195B" w:rsidRPr="00CC4084" w:rsidRDefault="0070195B" w:rsidP="006547C7">
      <w:pPr>
        <w:spacing w:line="360" w:lineRule="auto"/>
        <w:contextualSpacing/>
        <w:rPr>
          <w:rFonts w:ascii="Times New Roman" w:hAnsi="Times New Roman" w:cs="Times New Roman"/>
        </w:rPr>
      </w:pPr>
    </w:p>
    <w:p w14:paraId="4848DCD3"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All ratio metrics are clipped to the [0.0, 1.0] range to handle edge cases such as new employees or data anomalies. Safe division is applied where YearsAtCompany = 0 to avoid divide-by-zero errors.</w:t>
      </w:r>
    </w:p>
    <w:p w14:paraId="2E4C7354"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5.2 Data Preprocessing</w:t>
      </w:r>
    </w:p>
    <w:p w14:paraId="45F12DD7"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preprocessing pipeline performs the following transformations:</w:t>
      </w:r>
    </w:p>
    <w:p w14:paraId="50786027"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Seven categorical fields — BusinessTravel, Department, EducationField, Gender, MaritalStatus, JobRole, OverTime — are encoded using scikit-learn's LabelEncoder. Fitted encoders are serialized to models/encoders.pkl for inference consistency.</w:t>
      </w:r>
    </w:p>
    <w:p w14:paraId="350DAA36"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All feature columns are normalized using StandardScaler before model training to ensure unit-invariant distance calculations in clustering.</w:t>
      </w:r>
    </w:p>
    <w:p w14:paraId="68479EA0"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Extreme outliers identified in late-career edge cases are handled via ratio clipping.</w:t>
      </w:r>
    </w:p>
    <w:p w14:paraId="1E9D4521"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lastRenderedPageBreak/>
        <w:t>Missing values are filled with zero, a valid representation given the dataset's completeness guarantees.</w:t>
      </w:r>
    </w:p>
    <w:p w14:paraId="1271D723"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5.3 Career Path Clustering (Unsupervised Learning)</w:t>
      </w:r>
    </w:p>
    <w:p w14:paraId="34570C84"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K-Means clustering (k=4, random_state=42, n_init=10) is applied to eight carefully selected career features:</w:t>
      </w:r>
    </w:p>
    <w:p w14:paraId="0A8803A4"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JobLevel</w:t>
      </w:r>
    </w:p>
    <w:p w14:paraId="1F005C55"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YearsAtCompany</w:t>
      </w:r>
    </w:p>
    <w:p w14:paraId="6BE2F3BB"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YearsInCurrentRole</w:t>
      </w:r>
    </w:p>
    <w:p w14:paraId="7CAD3861"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YearsSinceLastPromotion</w:t>
      </w:r>
    </w:p>
    <w:p w14:paraId="1C58CD5D"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PromotionGapRatio</w:t>
      </w:r>
    </w:p>
    <w:p w14:paraId="15CB2076"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RoleStagnationIndex</w:t>
      </w:r>
    </w:p>
    <w:p w14:paraId="2CA900C5"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PerformanceRating</w:t>
      </w:r>
    </w:p>
    <w:p w14:paraId="6A8F5E5B"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JobSatisfaction</w:t>
      </w:r>
    </w:p>
    <w:p w14:paraId="1923AC44" w14:textId="77777777" w:rsidR="0070195B" w:rsidRPr="00CC4084" w:rsidRDefault="0070195B" w:rsidP="006547C7">
      <w:pPr>
        <w:spacing w:line="360" w:lineRule="auto"/>
        <w:contextualSpacing/>
        <w:rPr>
          <w:rFonts w:ascii="Times New Roman" w:hAnsi="Times New Roman" w:cs="Times New Roman"/>
        </w:rPr>
      </w:pPr>
    </w:p>
    <w:p w14:paraId="08947311"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choice of k=4 was determined through visual inspection of the Elbow Curve (inertia vs. k) and Silhouette Score analysis, which indicated four as the optimal cluster count for interpretable business personas. Hierarchical clustering (Ward linkage) was applied as a validation technique and produced consistent groupings.</w:t>
      </w:r>
    </w:p>
    <w:p w14:paraId="420EF5CB"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5.4 Cluster Interpretation &amp; Labeling</w:t>
      </w:r>
    </w:p>
    <w:p w14:paraId="52F84370"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Each cluster is analyzed along four dimensions — promotion frequency, role change velocity, training participation, and manager continuity — and assigned a career archetype persona:</w:t>
      </w:r>
    </w:p>
    <w:tbl>
      <w:tblPr>
        <w:tblStyle w:val="TableGrid"/>
        <w:tblW w:w="0" w:type="auto"/>
        <w:jc w:val="center"/>
        <w:tblLook w:val="04A0" w:firstRow="1" w:lastRow="0" w:firstColumn="1" w:lastColumn="0" w:noHBand="0" w:noVBand="1"/>
      </w:tblPr>
      <w:tblGrid>
        <w:gridCol w:w="1006"/>
        <w:gridCol w:w="2571"/>
        <w:gridCol w:w="3992"/>
        <w:gridCol w:w="1431"/>
      </w:tblGrid>
      <w:tr w:rsidR="0006017F" w:rsidRPr="00CC4084" w14:paraId="30387BCD" w14:textId="77777777">
        <w:trPr>
          <w:jc w:val="center"/>
        </w:trPr>
        <w:tc>
          <w:tcPr>
            <w:tcW w:w="1008" w:type="dxa"/>
            <w:shd w:val="clear" w:color="auto" w:fill="1F497D"/>
          </w:tcPr>
          <w:p w14:paraId="193FFF99"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Cluster</w:t>
            </w:r>
          </w:p>
        </w:tc>
        <w:tc>
          <w:tcPr>
            <w:tcW w:w="2592" w:type="dxa"/>
            <w:shd w:val="clear" w:color="auto" w:fill="1F497D"/>
          </w:tcPr>
          <w:p w14:paraId="473D573D"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Persona</w:t>
            </w:r>
          </w:p>
        </w:tc>
        <w:tc>
          <w:tcPr>
            <w:tcW w:w="4032" w:type="dxa"/>
            <w:shd w:val="clear" w:color="auto" w:fill="1F497D"/>
          </w:tcPr>
          <w:p w14:paraId="1748A404"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Key Characteristics</w:t>
            </w:r>
          </w:p>
        </w:tc>
        <w:tc>
          <w:tcPr>
            <w:tcW w:w="1440" w:type="dxa"/>
            <w:shd w:val="clear" w:color="auto" w:fill="1F497D"/>
          </w:tcPr>
          <w:p w14:paraId="58C8F3A9"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Risk Level</w:t>
            </w:r>
          </w:p>
        </w:tc>
      </w:tr>
      <w:tr w:rsidR="0006017F" w:rsidRPr="00CC4084" w14:paraId="478E7E66" w14:textId="77777777">
        <w:trPr>
          <w:jc w:val="center"/>
        </w:trPr>
        <w:tc>
          <w:tcPr>
            <w:tcW w:w="1008" w:type="dxa"/>
            <w:tcBorders>
              <w:top w:val="single" w:sz="4" w:space="0" w:color="B8CCE4"/>
              <w:left w:val="single" w:sz="4" w:space="0" w:color="B8CCE4"/>
              <w:bottom w:val="single" w:sz="4" w:space="0" w:color="B8CCE4"/>
              <w:right w:val="single" w:sz="4" w:space="0" w:color="B8CCE4"/>
            </w:tcBorders>
            <w:shd w:val="clear" w:color="auto" w:fill="D9E1F2"/>
          </w:tcPr>
          <w:p w14:paraId="01F24669"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0</w:t>
            </w:r>
          </w:p>
        </w:tc>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4683E2F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Fast-Track Performers</w:t>
            </w:r>
          </w:p>
        </w:tc>
        <w:tc>
          <w:tcPr>
            <w:tcW w:w="4032" w:type="dxa"/>
            <w:tcBorders>
              <w:top w:val="single" w:sz="4" w:space="0" w:color="B8CCE4"/>
              <w:left w:val="single" w:sz="4" w:space="0" w:color="B8CCE4"/>
              <w:bottom w:val="single" w:sz="4" w:space="0" w:color="B8CCE4"/>
              <w:right w:val="single" w:sz="4" w:space="0" w:color="B8CCE4"/>
            </w:tcBorders>
            <w:shd w:val="clear" w:color="auto" w:fill="D9E1F2"/>
          </w:tcPr>
          <w:p w14:paraId="4CA6054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High job level, short promotion gaps, high performance</w:t>
            </w:r>
          </w:p>
        </w:tc>
        <w:tc>
          <w:tcPr>
            <w:tcW w:w="1440" w:type="dxa"/>
            <w:tcBorders>
              <w:top w:val="single" w:sz="4" w:space="0" w:color="B8CCE4"/>
              <w:left w:val="single" w:sz="4" w:space="0" w:color="B8CCE4"/>
              <w:bottom w:val="single" w:sz="4" w:space="0" w:color="B8CCE4"/>
              <w:right w:val="single" w:sz="4" w:space="0" w:color="B8CCE4"/>
            </w:tcBorders>
            <w:shd w:val="clear" w:color="auto" w:fill="D9E1F2"/>
          </w:tcPr>
          <w:p w14:paraId="182466F5"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Low</w:t>
            </w:r>
          </w:p>
        </w:tc>
      </w:tr>
      <w:tr w:rsidR="0006017F" w:rsidRPr="00CC4084" w14:paraId="32E4787C" w14:textId="77777777">
        <w:trPr>
          <w:jc w:val="center"/>
        </w:trPr>
        <w:tc>
          <w:tcPr>
            <w:tcW w:w="1008" w:type="dxa"/>
            <w:tcBorders>
              <w:top w:val="single" w:sz="4" w:space="0" w:color="B8CCE4"/>
              <w:left w:val="single" w:sz="4" w:space="0" w:color="B8CCE4"/>
              <w:bottom w:val="single" w:sz="4" w:space="0" w:color="B8CCE4"/>
              <w:right w:val="single" w:sz="4" w:space="0" w:color="B8CCE4"/>
            </w:tcBorders>
            <w:shd w:val="clear" w:color="auto" w:fill="FFFFFF"/>
          </w:tcPr>
          <w:p w14:paraId="4093EE2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1</w:t>
            </w:r>
          </w:p>
        </w:tc>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0623A1D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Stable Long-Term Contributors</w:t>
            </w:r>
          </w:p>
        </w:tc>
        <w:tc>
          <w:tcPr>
            <w:tcW w:w="4032" w:type="dxa"/>
            <w:tcBorders>
              <w:top w:val="single" w:sz="4" w:space="0" w:color="B8CCE4"/>
              <w:left w:val="single" w:sz="4" w:space="0" w:color="B8CCE4"/>
              <w:bottom w:val="single" w:sz="4" w:space="0" w:color="B8CCE4"/>
              <w:right w:val="single" w:sz="4" w:space="0" w:color="B8CCE4"/>
            </w:tcBorders>
            <w:shd w:val="clear" w:color="auto" w:fill="FFFFFF"/>
          </w:tcPr>
          <w:p w14:paraId="20036E06"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Long tenure, moderate gaps, high satisfaction, low attrition risk</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3EA09E4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Low–Medium</w:t>
            </w:r>
          </w:p>
        </w:tc>
      </w:tr>
      <w:tr w:rsidR="0006017F" w:rsidRPr="00CC4084" w14:paraId="04C26612" w14:textId="77777777">
        <w:trPr>
          <w:jc w:val="center"/>
        </w:trPr>
        <w:tc>
          <w:tcPr>
            <w:tcW w:w="1008" w:type="dxa"/>
            <w:tcBorders>
              <w:top w:val="single" w:sz="4" w:space="0" w:color="B8CCE4"/>
              <w:left w:val="single" w:sz="4" w:space="0" w:color="B8CCE4"/>
              <w:bottom w:val="single" w:sz="4" w:space="0" w:color="B8CCE4"/>
              <w:right w:val="single" w:sz="4" w:space="0" w:color="B8CCE4"/>
            </w:tcBorders>
            <w:shd w:val="clear" w:color="auto" w:fill="D9E1F2"/>
          </w:tcPr>
          <w:p w14:paraId="01EF087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2</w:t>
            </w:r>
          </w:p>
        </w:tc>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4A24616C"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Early-Career Explorers</w:t>
            </w:r>
          </w:p>
        </w:tc>
        <w:tc>
          <w:tcPr>
            <w:tcW w:w="4032" w:type="dxa"/>
            <w:tcBorders>
              <w:top w:val="single" w:sz="4" w:space="0" w:color="B8CCE4"/>
              <w:left w:val="single" w:sz="4" w:space="0" w:color="B8CCE4"/>
              <w:bottom w:val="single" w:sz="4" w:space="0" w:color="B8CCE4"/>
              <w:right w:val="single" w:sz="4" w:space="0" w:color="B8CCE4"/>
            </w:tcBorders>
            <w:shd w:val="clear" w:color="auto" w:fill="D9E1F2"/>
          </w:tcPr>
          <w:p w14:paraId="70BA3BCF"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Low job level, short tenure, moderate training, transitional stage</w:t>
            </w:r>
          </w:p>
        </w:tc>
        <w:tc>
          <w:tcPr>
            <w:tcW w:w="1440" w:type="dxa"/>
            <w:tcBorders>
              <w:top w:val="single" w:sz="4" w:space="0" w:color="B8CCE4"/>
              <w:left w:val="single" w:sz="4" w:space="0" w:color="B8CCE4"/>
              <w:bottom w:val="single" w:sz="4" w:space="0" w:color="B8CCE4"/>
              <w:right w:val="single" w:sz="4" w:space="0" w:color="B8CCE4"/>
            </w:tcBorders>
            <w:shd w:val="clear" w:color="auto" w:fill="D9E1F2"/>
          </w:tcPr>
          <w:p w14:paraId="3395614C"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Medium</w:t>
            </w:r>
          </w:p>
        </w:tc>
      </w:tr>
      <w:tr w:rsidR="0006017F" w:rsidRPr="00CC4084" w14:paraId="17D6AEEC" w14:textId="77777777">
        <w:trPr>
          <w:jc w:val="center"/>
        </w:trPr>
        <w:tc>
          <w:tcPr>
            <w:tcW w:w="1008" w:type="dxa"/>
            <w:tcBorders>
              <w:top w:val="single" w:sz="4" w:space="0" w:color="B8CCE4"/>
              <w:left w:val="single" w:sz="4" w:space="0" w:color="B8CCE4"/>
              <w:bottom w:val="single" w:sz="4" w:space="0" w:color="B8CCE4"/>
              <w:right w:val="single" w:sz="4" w:space="0" w:color="B8CCE4"/>
            </w:tcBorders>
            <w:shd w:val="clear" w:color="auto" w:fill="FFFFFF"/>
          </w:tcPr>
          <w:p w14:paraId="30D282A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3</w:t>
            </w:r>
          </w:p>
        </w:tc>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16EA15E9"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Promotion-Stalled High-Risk</w:t>
            </w:r>
          </w:p>
        </w:tc>
        <w:tc>
          <w:tcPr>
            <w:tcW w:w="4032" w:type="dxa"/>
            <w:tcBorders>
              <w:top w:val="single" w:sz="4" w:space="0" w:color="B8CCE4"/>
              <w:left w:val="single" w:sz="4" w:space="0" w:color="B8CCE4"/>
              <w:bottom w:val="single" w:sz="4" w:space="0" w:color="B8CCE4"/>
              <w:right w:val="single" w:sz="4" w:space="0" w:color="B8CCE4"/>
            </w:tcBorders>
            <w:shd w:val="clear" w:color="auto" w:fill="FFFFFF"/>
          </w:tcPr>
          <w:p w14:paraId="2D5740B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High promotion gap ratio, high role stagnation index, lower satisfaction</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0759B739"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High</w:t>
            </w:r>
          </w:p>
        </w:tc>
      </w:tr>
    </w:tbl>
    <w:p w14:paraId="22014377" w14:textId="77777777" w:rsidR="0070195B" w:rsidRPr="00CC4084" w:rsidRDefault="0070195B" w:rsidP="006547C7">
      <w:pPr>
        <w:spacing w:line="360" w:lineRule="auto"/>
        <w:contextualSpacing/>
        <w:rPr>
          <w:rFonts w:ascii="Times New Roman" w:hAnsi="Times New Roman" w:cs="Times New Roman"/>
        </w:rPr>
      </w:pPr>
    </w:p>
    <w:p w14:paraId="2585FAC2"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lastRenderedPageBreak/>
        <w:t>5.5 Attrition Risk Classification (Supervised Learning)</w:t>
      </w:r>
    </w:p>
    <w:p w14:paraId="1FF1A5BE"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A Random Forest Classifier (n_estimators=100, max_depth=10, random_state=42) is trained on the full engineered feature set to predict binary attrition (0/1). The dataset is split 80/20 (train/test) with stratified sampling to account for class imbalance (approximately 16% attrition rate in the dataset).</w:t>
      </w:r>
    </w:p>
    <w:p w14:paraId="14702585"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classifier outputs both a binary prediction and a continuous probability score (StagnationAttritionRisk). This probability is surfaced in the dashboard as the Stagnation-Driven Attrition Risk Indicator, enabling nuanced risk triage rather than binary flagging.</w:t>
      </w:r>
    </w:p>
    <w:p w14:paraId="2D5C1B56"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5.6 Retention Opportunity Identification</w:t>
      </w:r>
    </w:p>
    <w:p w14:paraId="419178AD"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A key innovation of the S2S framework is the Retention Opportunity Index — a composite signal targeting employees who:</w:t>
      </w:r>
    </w:p>
    <w:p w14:paraId="04CF54CD"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Show elevated Promotion Gap Ratio (above configurable threshold, default 0.5)</w:t>
      </w:r>
    </w:p>
    <w:p w14:paraId="20F4E8AF"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Maintain satisfactory Job Satisfaction scores (≥ 2 out of 4)</w:t>
      </w:r>
    </w:p>
    <w:p w14:paraId="6E8F3B7E"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Have not yet been flagged as high attrition risk by the classifier</w:t>
      </w:r>
    </w:p>
    <w:p w14:paraId="07EA3A47" w14:textId="77777777" w:rsidR="0070195B" w:rsidRPr="00CC4084" w:rsidRDefault="0070195B" w:rsidP="006547C7">
      <w:pPr>
        <w:spacing w:line="360" w:lineRule="auto"/>
        <w:contextualSpacing/>
        <w:rPr>
          <w:rFonts w:ascii="Times New Roman" w:hAnsi="Times New Roman" w:cs="Times New Roman"/>
        </w:rPr>
      </w:pPr>
    </w:p>
    <w:p w14:paraId="3FCA5FAE"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These employees represent the highest-value intervention targets: still engaged, but structurally at risk. Early, targeted career actions for this cohort yield the highest retention ROI.</w:t>
      </w:r>
    </w:p>
    <w:p w14:paraId="1BBF330C" w14:textId="77777777" w:rsidR="0070195B" w:rsidRPr="00CC4084" w:rsidRDefault="00000000" w:rsidP="006547C7">
      <w:pPr>
        <w:pStyle w:val="Heading1"/>
        <w:spacing w:line="360" w:lineRule="auto"/>
        <w:contextualSpacing/>
        <w:rPr>
          <w:rFonts w:ascii="Times New Roman" w:hAnsi="Times New Roman" w:cs="Times New Roman"/>
          <w:color w:val="auto"/>
        </w:rPr>
      </w:pPr>
      <w:r w:rsidRPr="00CC4084">
        <w:rPr>
          <w:rFonts w:ascii="Times New Roman" w:hAnsi="Times New Roman" w:cs="Times New Roman"/>
          <w:color w:val="auto"/>
          <w:sz w:val="32"/>
        </w:rPr>
        <w:t>6. System Architecture &amp; Implementation</w:t>
      </w:r>
    </w:p>
    <w:p w14:paraId="111617FF"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S2S system is delivered as a full-stack web application with three distinct layers:</w:t>
      </w:r>
    </w:p>
    <w:p w14:paraId="17A353CD"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6.1 Machine Learning Pipeline (Python)</w:t>
      </w:r>
    </w:p>
    <w:tbl>
      <w:tblPr>
        <w:tblStyle w:val="TableGrid"/>
        <w:tblW w:w="0" w:type="auto"/>
        <w:jc w:val="center"/>
        <w:tblLook w:val="04A0" w:firstRow="1" w:lastRow="0" w:firstColumn="1" w:lastColumn="0" w:noHBand="0" w:noVBand="1"/>
      </w:tblPr>
      <w:tblGrid>
        <w:gridCol w:w="3168"/>
        <w:gridCol w:w="5760"/>
      </w:tblGrid>
      <w:tr w:rsidR="0006017F" w:rsidRPr="00CC4084" w14:paraId="33B0A4FC" w14:textId="77777777">
        <w:trPr>
          <w:jc w:val="center"/>
        </w:trPr>
        <w:tc>
          <w:tcPr>
            <w:tcW w:w="3168" w:type="dxa"/>
            <w:shd w:val="clear" w:color="auto" w:fill="1F497D"/>
          </w:tcPr>
          <w:p w14:paraId="6FD2A1DB"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Module</w:t>
            </w:r>
          </w:p>
        </w:tc>
        <w:tc>
          <w:tcPr>
            <w:tcW w:w="5760" w:type="dxa"/>
            <w:shd w:val="clear" w:color="auto" w:fill="1F497D"/>
          </w:tcPr>
          <w:p w14:paraId="7E984C36"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Responsibility</w:t>
            </w:r>
          </w:p>
        </w:tc>
      </w:tr>
      <w:tr w:rsidR="0006017F" w:rsidRPr="00CC4084" w14:paraId="54733072"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9E1F2"/>
          </w:tcPr>
          <w:p w14:paraId="1AB62AA5"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src/preprocessing.py</w:t>
            </w:r>
          </w:p>
        </w:tc>
        <w:tc>
          <w:tcPr>
            <w:tcW w:w="5760" w:type="dxa"/>
            <w:tcBorders>
              <w:top w:val="single" w:sz="4" w:space="0" w:color="B8CCE4"/>
              <w:left w:val="single" w:sz="4" w:space="0" w:color="B8CCE4"/>
              <w:bottom w:val="single" w:sz="4" w:space="0" w:color="B8CCE4"/>
              <w:right w:val="single" w:sz="4" w:space="0" w:color="B8CCE4"/>
            </w:tcBorders>
            <w:shd w:val="clear" w:color="auto" w:fill="D9E1F2"/>
          </w:tcPr>
          <w:p w14:paraId="598EC046"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Data loading, categorical encoding, scaler fitting</w:t>
            </w:r>
          </w:p>
        </w:tc>
      </w:tr>
      <w:tr w:rsidR="0006017F" w:rsidRPr="00CC4084" w14:paraId="24A2DC14"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62165848"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src/feature_engineering.py</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0E45BE5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Custom career metric derivation</w:t>
            </w:r>
          </w:p>
        </w:tc>
      </w:tr>
      <w:tr w:rsidR="0006017F" w:rsidRPr="00CC4084" w14:paraId="0C0D91E3"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9E1F2"/>
          </w:tcPr>
          <w:p w14:paraId="16E1BD0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src/model_training.py</w:t>
            </w:r>
          </w:p>
        </w:tc>
        <w:tc>
          <w:tcPr>
            <w:tcW w:w="5760" w:type="dxa"/>
            <w:tcBorders>
              <w:top w:val="single" w:sz="4" w:space="0" w:color="B8CCE4"/>
              <w:left w:val="single" w:sz="4" w:space="0" w:color="B8CCE4"/>
              <w:bottom w:val="single" w:sz="4" w:space="0" w:color="B8CCE4"/>
              <w:right w:val="single" w:sz="4" w:space="0" w:color="B8CCE4"/>
            </w:tcBorders>
            <w:shd w:val="clear" w:color="auto" w:fill="D9E1F2"/>
          </w:tcPr>
          <w:p w14:paraId="6D1CFC7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K-Means clustering + Random Forest training &amp; serialization</w:t>
            </w:r>
          </w:p>
        </w:tc>
      </w:tr>
      <w:tr w:rsidR="0006017F" w:rsidRPr="00CC4084" w14:paraId="0F9B7300"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7FA2574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src/explainability.py</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11FC1AC3"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Cluster profile generation + feature importance extraction</w:t>
            </w:r>
          </w:p>
        </w:tc>
      </w:tr>
      <w:tr w:rsidR="0006017F" w:rsidRPr="00CC4084" w14:paraId="1CEED326"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9E1F2"/>
          </w:tcPr>
          <w:p w14:paraId="5997776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train.py</w:t>
            </w:r>
          </w:p>
        </w:tc>
        <w:tc>
          <w:tcPr>
            <w:tcW w:w="5760" w:type="dxa"/>
            <w:tcBorders>
              <w:top w:val="single" w:sz="4" w:space="0" w:color="B8CCE4"/>
              <w:left w:val="single" w:sz="4" w:space="0" w:color="B8CCE4"/>
              <w:bottom w:val="single" w:sz="4" w:space="0" w:color="B8CCE4"/>
              <w:right w:val="single" w:sz="4" w:space="0" w:color="B8CCE4"/>
            </w:tcBorders>
            <w:shd w:val="clear" w:color="auto" w:fill="D9E1F2"/>
          </w:tcPr>
          <w:p w14:paraId="22CC914C"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Orchestration script — runs full pipeline end-to-end</w:t>
            </w:r>
          </w:p>
        </w:tc>
      </w:tr>
    </w:tbl>
    <w:p w14:paraId="112717AC" w14:textId="77777777" w:rsidR="0070195B" w:rsidRPr="00CC4084" w:rsidRDefault="0070195B" w:rsidP="006547C7">
      <w:pPr>
        <w:spacing w:line="360" w:lineRule="auto"/>
        <w:contextualSpacing/>
        <w:rPr>
          <w:rFonts w:ascii="Times New Roman" w:hAnsi="Times New Roman" w:cs="Times New Roman"/>
        </w:rPr>
      </w:pPr>
    </w:p>
    <w:p w14:paraId="23C3E42C"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6.2 Backend REST API (FastAPI + Python)</w:t>
      </w:r>
    </w:p>
    <w:p w14:paraId="2D1538CA"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FastAPI backend (api.py) exposes the following REST endpoints consumed by the React frontend:</w:t>
      </w:r>
    </w:p>
    <w:tbl>
      <w:tblPr>
        <w:tblStyle w:val="TableGrid"/>
        <w:tblW w:w="0" w:type="auto"/>
        <w:jc w:val="center"/>
        <w:tblLook w:val="04A0" w:firstRow="1" w:lastRow="0" w:firstColumn="1" w:lastColumn="0" w:noHBand="0" w:noVBand="1"/>
      </w:tblPr>
      <w:tblGrid>
        <w:gridCol w:w="2880"/>
        <w:gridCol w:w="6048"/>
      </w:tblGrid>
      <w:tr w:rsidR="0006017F" w:rsidRPr="00CC4084" w14:paraId="092EED72" w14:textId="77777777">
        <w:trPr>
          <w:jc w:val="center"/>
        </w:trPr>
        <w:tc>
          <w:tcPr>
            <w:tcW w:w="2880" w:type="dxa"/>
            <w:shd w:val="clear" w:color="auto" w:fill="1F497D"/>
          </w:tcPr>
          <w:p w14:paraId="223057D4"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lastRenderedPageBreak/>
              <w:t>Endpoint</w:t>
            </w:r>
          </w:p>
        </w:tc>
        <w:tc>
          <w:tcPr>
            <w:tcW w:w="6048" w:type="dxa"/>
            <w:shd w:val="clear" w:color="auto" w:fill="1F497D"/>
          </w:tcPr>
          <w:p w14:paraId="33A62D91"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Purpose</w:t>
            </w:r>
          </w:p>
        </w:tc>
      </w:tr>
      <w:tr w:rsidR="0006017F" w:rsidRPr="00CC4084" w14:paraId="1E26AEFA" w14:textId="77777777">
        <w:trPr>
          <w:jc w:val="center"/>
        </w:trPr>
        <w:tc>
          <w:tcPr>
            <w:tcW w:w="2880" w:type="dxa"/>
            <w:tcBorders>
              <w:top w:val="single" w:sz="4" w:space="0" w:color="B8CCE4"/>
              <w:left w:val="single" w:sz="4" w:space="0" w:color="B8CCE4"/>
              <w:bottom w:val="single" w:sz="4" w:space="0" w:color="B8CCE4"/>
              <w:right w:val="single" w:sz="4" w:space="0" w:color="B8CCE4"/>
            </w:tcBorders>
            <w:shd w:val="clear" w:color="auto" w:fill="D9E1F2"/>
          </w:tcPr>
          <w:p w14:paraId="6857D2C1" w14:textId="77777777" w:rsidR="0070195B" w:rsidRPr="00CC4084" w:rsidRDefault="00000000" w:rsidP="006547C7">
            <w:pPr>
              <w:spacing w:line="360" w:lineRule="auto"/>
              <w:contextualSpacing/>
              <w:rPr>
                <w:rFonts w:ascii="Times New Roman" w:hAnsi="Times New Roman" w:cs="Times New Roman"/>
              </w:rPr>
            </w:pPr>
            <w:proofErr w:type="gramStart"/>
            <w:r w:rsidRPr="00CC4084">
              <w:rPr>
                <w:rFonts w:ascii="Times New Roman" w:hAnsi="Times New Roman" w:cs="Times New Roman"/>
                <w:sz w:val="20"/>
              </w:rPr>
              <w:t>GET  /</w:t>
            </w:r>
            <w:proofErr w:type="spellStart"/>
            <w:proofErr w:type="gramEnd"/>
            <w:r w:rsidRPr="00CC4084">
              <w:rPr>
                <w:rFonts w:ascii="Times New Roman" w:hAnsi="Times New Roman" w:cs="Times New Roman"/>
                <w:sz w:val="20"/>
              </w:rPr>
              <w:t>api</w:t>
            </w:r>
            <w:proofErr w:type="spellEnd"/>
            <w:r w:rsidRPr="00CC4084">
              <w:rPr>
                <w:rFonts w:ascii="Times New Roman" w:hAnsi="Times New Roman" w:cs="Times New Roman"/>
                <w:sz w:val="20"/>
              </w:rPr>
              <w:t>/metrics</w:t>
            </w:r>
          </w:p>
        </w:tc>
        <w:tc>
          <w:tcPr>
            <w:tcW w:w="6048" w:type="dxa"/>
            <w:tcBorders>
              <w:top w:val="single" w:sz="4" w:space="0" w:color="B8CCE4"/>
              <w:left w:val="single" w:sz="4" w:space="0" w:color="B8CCE4"/>
              <w:bottom w:val="single" w:sz="4" w:space="0" w:color="B8CCE4"/>
              <w:right w:val="single" w:sz="4" w:space="0" w:color="B8CCE4"/>
            </w:tcBorders>
            <w:shd w:val="clear" w:color="auto" w:fill="D9E1F2"/>
          </w:tcPr>
          <w:p w14:paraId="0C3D13A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Top-level KPI dashboard data (cluster counts, averages, distributions)</w:t>
            </w:r>
          </w:p>
        </w:tc>
      </w:tr>
      <w:tr w:rsidR="0006017F" w:rsidRPr="00CC4084" w14:paraId="4CE2B9FB" w14:textId="77777777">
        <w:trPr>
          <w:jc w:val="center"/>
        </w:trPr>
        <w:tc>
          <w:tcPr>
            <w:tcW w:w="2880" w:type="dxa"/>
            <w:tcBorders>
              <w:top w:val="single" w:sz="4" w:space="0" w:color="B8CCE4"/>
              <w:left w:val="single" w:sz="4" w:space="0" w:color="B8CCE4"/>
              <w:bottom w:val="single" w:sz="4" w:space="0" w:color="B8CCE4"/>
              <w:right w:val="single" w:sz="4" w:space="0" w:color="B8CCE4"/>
            </w:tcBorders>
            <w:shd w:val="clear" w:color="auto" w:fill="FFFFFF"/>
          </w:tcPr>
          <w:p w14:paraId="4D137C18" w14:textId="77777777" w:rsidR="0070195B" w:rsidRPr="00CC4084" w:rsidRDefault="00000000" w:rsidP="006547C7">
            <w:pPr>
              <w:spacing w:line="360" w:lineRule="auto"/>
              <w:contextualSpacing/>
              <w:rPr>
                <w:rFonts w:ascii="Times New Roman" w:hAnsi="Times New Roman" w:cs="Times New Roman"/>
              </w:rPr>
            </w:pPr>
            <w:proofErr w:type="gramStart"/>
            <w:r w:rsidRPr="00CC4084">
              <w:rPr>
                <w:rFonts w:ascii="Times New Roman" w:hAnsi="Times New Roman" w:cs="Times New Roman"/>
                <w:sz w:val="20"/>
              </w:rPr>
              <w:t>GET  /</w:t>
            </w:r>
            <w:proofErr w:type="spellStart"/>
            <w:proofErr w:type="gramEnd"/>
            <w:r w:rsidRPr="00CC4084">
              <w:rPr>
                <w:rFonts w:ascii="Times New Roman" w:hAnsi="Times New Roman" w:cs="Times New Roman"/>
                <w:sz w:val="20"/>
              </w:rPr>
              <w:t>api</w:t>
            </w:r>
            <w:proofErr w:type="spellEnd"/>
            <w:r w:rsidRPr="00CC4084">
              <w:rPr>
                <w:rFonts w:ascii="Times New Roman" w:hAnsi="Times New Roman" w:cs="Times New Roman"/>
                <w:sz w:val="20"/>
              </w:rPr>
              <w:t>/employees</w:t>
            </w:r>
          </w:p>
        </w:tc>
        <w:tc>
          <w:tcPr>
            <w:tcW w:w="6048" w:type="dxa"/>
            <w:tcBorders>
              <w:top w:val="single" w:sz="4" w:space="0" w:color="B8CCE4"/>
              <w:left w:val="single" w:sz="4" w:space="0" w:color="B8CCE4"/>
              <w:bottom w:val="single" w:sz="4" w:space="0" w:color="B8CCE4"/>
              <w:right w:val="single" w:sz="4" w:space="0" w:color="B8CCE4"/>
            </w:tcBorders>
            <w:shd w:val="clear" w:color="auto" w:fill="FFFFFF"/>
          </w:tcPr>
          <w:p w14:paraId="7F8C854C"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Paginated, filtered employee records with career metrics</w:t>
            </w:r>
          </w:p>
        </w:tc>
      </w:tr>
      <w:tr w:rsidR="0006017F" w:rsidRPr="00CC4084" w14:paraId="1EDEE1A8" w14:textId="77777777">
        <w:trPr>
          <w:jc w:val="center"/>
        </w:trPr>
        <w:tc>
          <w:tcPr>
            <w:tcW w:w="2880" w:type="dxa"/>
            <w:tcBorders>
              <w:top w:val="single" w:sz="4" w:space="0" w:color="B8CCE4"/>
              <w:left w:val="single" w:sz="4" w:space="0" w:color="B8CCE4"/>
              <w:bottom w:val="single" w:sz="4" w:space="0" w:color="B8CCE4"/>
              <w:right w:val="single" w:sz="4" w:space="0" w:color="B8CCE4"/>
            </w:tcBorders>
            <w:shd w:val="clear" w:color="auto" w:fill="D9E1F2"/>
          </w:tcPr>
          <w:p w14:paraId="3105B85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POST /predict</w:t>
            </w:r>
          </w:p>
        </w:tc>
        <w:tc>
          <w:tcPr>
            <w:tcW w:w="6048" w:type="dxa"/>
            <w:tcBorders>
              <w:top w:val="single" w:sz="4" w:space="0" w:color="B8CCE4"/>
              <w:left w:val="single" w:sz="4" w:space="0" w:color="B8CCE4"/>
              <w:bottom w:val="single" w:sz="4" w:space="0" w:color="B8CCE4"/>
              <w:right w:val="single" w:sz="4" w:space="0" w:color="B8CCE4"/>
            </w:tcBorders>
            <w:shd w:val="clear" w:color="auto" w:fill="D9E1F2"/>
          </w:tcPr>
          <w:p w14:paraId="437C9EA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Real-time stagnation &amp; attrition risk prediction for new employee data</w:t>
            </w:r>
          </w:p>
        </w:tc>
      </w:tr>
      <w:tr w:rsidR="0006017F" w:rsidRPr="00CC4084" w14:paraId="3D877B37" w14:textId="77777777">
        <w:trPr>
          <w:jc w:val="center"/>
        </w:trPr>
        <w:tc>
          <w:tcPr>
            <w:tcW w:w="2880" w:type="dxa"/>
            <w:tcBorders>
              <w:top w:val="single" w:sz="4" w:space="0" w:color="B8CCE4"/>
              <w:left w:val="single" w:sz="4" w:space="0" w:color="B8CCE4"/>
              <w:bottom w:val="single" w:sz="4" w:space="0" w:color="B8CCE4"/>
              <w:right w:val="single" w:sz="4" w:space="0" w:color="B8CCE4"/>
            </w:tcBorders>
            <w:shd w:val="clear" w:color="auto" w:fill="FFFFFF"/>
          </w:tcPr>
          <w:p w14:paraId="6783A8F8"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POST /</w:t>
            </w:r>
            <w:proofErr w:type="spellStart"/>
            <w:r w:rsidRPr="00CC4084">
              <w:rPr>
                <w:rFonts w:ascii="Times New Roman" w:hAnsi="Times New Roman" w:cs="Times New Roman"/>
                <w:sz w:val="20"/>
              </w:rPr>
              <w:t>api</w:t>
            </w:r>
            <w:proofErr w:type="spellEnd"/>
            <w:r w:rsidRPr="00CC4084">
              <w:rPr>
                <w:rFonts w:ascii="Times New Roman" w:hAnsi="Times New Roman" w:cs="Times New Roman"/>
                <w:sz w:val="20"/>
              </w:rPr>
              <w:t>/copilot</w:t>
            </w:r>
          </w:p>
        </w:tc>
        <w:tc>
          <w:tcPr>
            <w:tcW w:w="6048" w:type="dxa"/>
            <w:tcBorders>
              <w:top w:val="single" w:sz="4" w:space="0" w:color="B8CCE4"/>
              <w:left w:val="single" w:sz="4" w:space="0" w:color="B8CCE4"/>
              <w:bottom w:val="single" w:sz="4" w:space="0" w:color="B8CCE4"/>
              <w:right w:val="single" w:sz="4" w:space="0" w:color="B8CCE4"/>
            </w:tcBorders>
            <w:shd w:val="clear" w:color="auto" w:fill="FFFFFF"/>
          </w:tcPr>
          <w:p w14:paraId="40F6221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Natural language query interface powered by LocalCSVAI engine</w:t>
            </w:r>
          </w:p>
        </w:tc>
      </w:tr>
      <w:tr w:rsidR="0006017F" w:rsidRPr="00CC4084" w14:paraId="2F5A3B0B" w14:textId="77777777">
        <w:trPr>
          <w:jc w:val="center"/>
        </w:trPr>
        <w:tc>
          <w:tcPr>
            <w:tcW w:w="2880" w:type="dxa"/>
            <w:tcBorders>
              <w:top w:val="single" w:sz="4" w:space="0" w:color="B8CCE4"/>
              <w:left w:val="single" w:sz="4" w:space="0" w:color="B8CCE4"/>
              <w:bottom w:val="single" w:sz="4" w:space="0" w:color="B8CCE4"/>
              <w:right w:val="single" w:sz="4" w:space="0" w:color="B8CCE4"/>
            </w:tcBorders>
            <w:shd w:val="clear" w:color="auto" w:fill="D9E1F2"/>
          </w:tcPr>
          <w:p w14:paraId="118ECE2A" w14:textId="77777777" w:rsidR="0070195B" w:rsidRPr="00CC4084" w:rsidRDefault="00000000" w:rsidP="006547C7">
            <w:pPr>
              <w:spacing w:line="360" w:lineRule="auto"/>
              <w:contextualSpacing/>
              <w:rPr>
                <w:rFonts w:ascii="Times New Roman" w:hAnsi="Times New Roman" w:cs="Times New Roman"/>
              </w:rPr>
            </w:pPr>
            <w:proofErr w:type="gramStart"/>
            <w:r w:rsidRPr="00CC4084">
              <w:rPr>
                <w:rFonts w:ascii="Times New Roman" w:hAnsi="Times New Roman" w:cs="Times New Roman"/>
                <w:sz w:val="20"/>
              </w:rPr>
              <w:t>GET  /</w:t>
            </w:r>
            <w:proofErr w:type="spellStart"/>
            <w:proofErr w:type="gramEnd"/>
            <w:r w:rsidRPr="00CC4084">
              <w:rPr>
                <w:rFonts w:ascii="Times New Roman" w:hAnsi="Times New Roman" w:cs="Times New Roman"/>
                <w:sz w:val="20"/>
              </w:rPr>
              <w:t>api</w:t>
            </w:r>
            <w:proofErr w:type="spellEnd"/>
            <w:r w:rsidRPr="00CC4084">
              <w:rPr>
                <w:rFonts w:ascii="Times New Roman" w:hAnsi="Times New Roman" w:cs="Times New Roman"/>
                <w:sz w:val="20"/>
              </w:rPr>
              <w:t>/explainability</w:t>
            </w:r>
          </w:p>
        </w:tc>
        <w:tc>
          <w:tcPr>
            <w:tcW w:w="6048" w:type="dxa"/>
            <w:tcBorders>
              <w:top w:val="single" w:sz="4" w:space="0" w:color="B8CCE4"/>
              <w:left w:val="single" w:sz="4" w:space="0" w:color="B8CCE4"/>
              <w:bottom w:val="single" w:sz="4" w:space="0" w:color="B8CCE4"/>
              <w:right w:val="single" w:sz="4" w:space="0" w:color="B8CCE4"/>
            </w:tcBorders>
            <w:shd w:val="clear" w:color="auto" w:fill="D9E1F2"/>
          </w:tcPr>
          <w:p w14:paraId="2E87EB4A"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Cluster personas and top-10 feature importances</w:t>
            </w:r>
          </w:p>
        </w:tc>
      </w:tr>
      <w:tr w:rsidR="0006017F" w:rsidRPr="00CC4084" w14:paraId="246DDA40" w14:textId="77777777">
        <w:trPr>
          <w:jc w:val="center"/>
        </w:trPr>
        <w:tc>
          <w:tcPr>
            <w:tcW w:w="2880" w:type="dxa"/>
            <w:tcBorders>
              <w:top w:val="single" w:sz="4" w:space="0" w:color="B8CCE4"/>
              <w:left w:val="single" w:sz="4" w:space="0" w:color="B8CCE4"/>
              <w:bottom w:val="single" w:sz="4" w:space="0" w:color="B8CCE4"/>
              <w:right w:val="single" w:sz="4" w:space="0" w:color="B8CCE4"/>
            </w:tcBorders>
            <w:shd w:val="clear" w:color="auto" w:fill="FFFFFF"/>
          </w:tcPr>
          <w:p w14:paraId="3397E193" w14:textId="77777777" w:rsidR="0070195B" w:rsidRPr="00CC4084" w:rsidRDefault="00000000" w:rsidP="006547C7">
            <w:pPr>
              <w:spacing w:line="360" w:lineRule="auto"/>
              <w:contextualSpacing/>
              <w:rPr>
                <w:rFonts w:ascii="Times New Roman" w:hAnsi="Times New Roman" w:cs="Times New Roman"/>
              </w:rPr>
            </w:pPr>
            <w:proofErr w:type="gramStart"/>
            <w:r w:rsidRPr="00CC4084">
              <w:rPr>
                <w:rFonts w:ascii="Times New Roman" w:hAnsi="Times New Roman" w:cs="Times New Roman"/>
                <w:sz w:val="20"/>
              </w:rPr>
              <w:t>GET  /</w:t>
            </w:r>
            <w:proofErr w:type="spellStart"/>
            <w:proofErr w:type="gramEnd"/>
            <w:r w:rsidRPr="00CC4084">
              <w:rPr>
                <w:rFonts w:ascii="Times New Roman" w:hAnsi="Times New Roman" w:cs="Times New Roman"/>
                <w:sz w:val="20"/>
              </w:rPr>
              <w:t>api</w:t>
            </w:r>
            <w:proofErr w:type="spellEnd"/>
            <w:r w:rsidRPr="00CC4084">
              <w:rPr>
                <w:rFonts w:ascii="Times New Roman" w:hAnsi="Times New Roman" w:cs="Times New Roman"/>
                <w:sz w:val="20"/>
              </w:rPr>
              <w:t>/settings</w:t>
            </w:r>
          </w:p>
        </w:tc>
        <w:tc>
          <w:tcPr>
            <w:tcW w:w="6048" w:type="dxa"/>
            <w:tcBorders>
              <w:top w:val="single" w:sz="4" w:space="0" w:color="B8CCE4"/>
              <w:left w:val="single" w:sz="4" w:space="0" w:color="B8CCE4"/>
              <w:bottom w:val="single" w:sz="4" w:space="0" w:color="B8CCE4"/>
              <w:right w:val="single" w:sz="4" w:space="0" w:color="B8CCE4"/>
            </w:tcBorders>
            <w:shd w:val="clear" w:color="auto" w:fill="FFFFFF"/>
          </w:tcPr>
          <w:p w14:paraId="64B5904E"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Retrieve configurable thresholds</w:t>
            </w:r>
          </w:p>
        </w:tc>
      </w:tr>
      <w:tr w:rsidR="0006017F" w:rsidRPr="00CC4084" w14:paraId="5128F6AE" w14:textId="77777777">
        <w:trPr>
          <w:jc w:val="center"/>
        </w:trPr>
        <w:tc>
          <w:tcPr>
            <w:tcW w:w="2880" w:type="dxa"/>
            <w:tcBorders>
              <w:top w:val="single" w:sz="4" w:space="0" w:color="B8CCE4"/>
              <w:left w:val="single" w:sz="4" w:space="0" w:color="B8CCE4"/>
              <w:bottom w:val="single" w:sz="4" w:space="0" w:color="B8CCE4"/>
              <w:right w:val="single" w:sz="4" w:space="0" w:color="B8CCE4"/>
            </w:tcBorders>
            <w:shd w:val="clear" w:color="auto" w:fill="D9E1F2"/>
          </w:tcPr>
          <w:p w14:paraId="255AA1E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POST /</w:t>
            </w:r>
            <w:proofErr w:type="spellStart"/>
            <w:r w:rsidRPr="00CC4084">
              <w:rPr>
                <w:rFonts w:ascii="Times New Roman" w:hAnsi="Times New Roman" w:cs="Times New Roman"/>
                <w:sz w:val="20"/>
              </w:rPr>
              <w:t>api</w:t>
            </w:r>
            <w:proofErr w:type="spellEnd"/>
            <w:r w:rsidRPr="00CC4084">
              <w:rPr>
                <w:rFonts w:ascii="Times New Roman" w:hAnsi="Times New Roman" w:cs="Times New Roman"/>
                <w:sz w:val="20"/>
              </w:rPr>
              <w:t>/settings</w:t>
            </w:r>
          </w:p>
        </w:tc>
        <w:tc>
          <w:tcPr>
            <w:tcW w:w="6048" w:type="dxa"/>
            <w:tcBorders>
              <w:top w:val="single" w:sz="4" w:space="0" w:color="B8CCE4"/>
              <w:left w:val="single" w:sz="4" w:space="0" w:color="B8CCE4"/>
              <w:bottom w:val="single" w:sz="4" w:space="0" w:color="B8CCE4"/>
              <w:right w:val="single" w:sz="4" w:space="0" w:color="B8CCE4"/>
            </w:tcBorders>
            <w:shd w:val="clear" w:color="auto" w:fill="D9E1F2"/>
          </w:tcPr>
          <w:p w14:paraId="21017D19"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Update promotion gap / stagnation / satisfaction thresholds</w:t>
            </w:r>
          </w:p>
        </w:tc>
      </w:tr>
    </w:tbl>
    <w:p w14:paraId="2B8C5FCF" w14:textId="77777777" w:rsidR="0070195B" w:rsidRPr="00CC4084" w:rsidRDefault="0070195B" w:rsidP="006547C7">
      <w:pPr>
        <w:spacing w:line="360" w:lineRule="auto"/>
        <w:contextualSpacing/>
        <w:rPr>
          <w:rFonts w:ascii="Times New Roman" w:hAnsi="Times New Roman" w:cs="Times New Roman"/>
        </w:rPr>
      </w:pPr>
    </w:p>
    <w:p w14:paraId="43443F92"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6.3 Frontend Dashboard (React.js)</w:t>
      </w:r>
    </w:p>
    <w:p w14:paraId="2C47A6CC"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React frontend provides four interactive dashboard modules:</w:t>
      </w:r>
    </w:p>
    <w:p w14:paraId="53D6A305"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b/>
        </w:rPr>
        <w:t xml:space="preserve">Career Path Clustering Dashboard: </w:t>
      </w:r>
      <w:r w:rsidRPr="00CC4084">
        <w:rPr>
          <w:rFonts w:ascii="Times New Roman" w:hAnsi="Times New Roman" w:cs="Times New Roman"/>
        </w:rPr>
        <w:t>Displays cluster distribution charts, career pattern summaries, and per-cluster average metrics. Enables HR teams to understand the composition of their workforce.</w:t>
      </w:r>
    </w:p>
    <w:p w14:paraId="6C38D885"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b/>
        </w:rPr>
        <w:t xml:space="preserve">Promotion Gap Monitor: </w:t>
      </w:r>
      <w:r w:rsidRPr="00CC4084">
        <w:rPr>
          <w:rFonts w:ascii="Times New Roman" w:hAnsi="Times New Roman" w:cs="Times New Roman"/>
        </w:rPr>
        <w:t>Identifies employees with high promotion gap ratios at the role and department level. Includes a configurable threshold slider for dynamic risk segmentation.</w:t>
      </w:r>
    </w:p>
    <w:p w14:paraId="5BD7611F"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b/>
        </w:rPr>
        <w:t xml:space="preserve">Retention Opportunity Panel: </w:t>
      </w:r>
      <w:r w:rsidRPr="00CC4084">
        <w:rPr>
          <w:rFonts w:ascii="Times New Roman" w:hAnsi="Times New Roman" w:cs="Times New Roman"/>
        </w:rPr>
        <w:t>Lists employees meeting the Retention Opportunity criteria with suggested interventions (training programs, role rotation, promotion review scheduling).</w:t>
      </w:r>
    </w:p>
    <w:p w14:paraId="3F4E0EEF" w14:textId="03740D85" w:rsidR="00CC4084" w:rsidRPr="006547C7" w:rsidRDefault="00000000" w:rsidP="006547C7">
      <w:pPr>
        <w:pStyle w:val="ListBullet"/>
        <w:numPr>
          <w:ilvl w:val="0"/>
          <w:numId w:val="0"/>
        </w:numPr>
        <w:spacing w:after="60" w:line="360" w:lineRule="auto"/>
        <w:ind w:left="360" w:hanging="360"/>
        <w:rPr>
          <w:rFonts w:ascii="Times New Roman" w:hAnsi="Times New Roman" w:cs="Times New Roman"/>
        </w:rPr>
      </w:pPr>
      <w:r w:rsidRPr="006547C7">
        <w:rPr>
          <w:rFonts w:ascii="Times New Roman" w:hAnsi="Times New Roman" w:cs="Times New Roman"/>
          <w:b/>
        </w:rPr>
        <w:t xml:space="preserve">Managerial Insight Dashboard: </w:t>
      </w:r>
      <w:r w:rsidRPr="006547C7">
        <w:rPr>
          <w:rFonts w:ascii="Times New Roman" w:hAnsi="Times New Roman" w:cs="Times New Roman"/>
        </w:rPr>
        <w:t>Visualizes manager tenure vs. team career growth, surfaces team-level stagnation signals to support managerial coaching conversations.</w:t>
      </w:r>
    </w:p>
    <w:p w14:paraId="7B810D7F" w14:textId="77777777" w:rsidR="00CC4084" w:rsidRPr="00CC4084" w:rsidRDefault="00CC4084" w:rsidP="006547C7">
      <w:pPr>
        <w:pStyle w:val="ListBullet"/>
        <w:numPr>
          <w:ilvl w:val="0"/>
          <w:numId w:val="0"/>
        </w:numPr>
        <w:spacing w:after="60" w:line="360" w:lineRule="auto"/>
        <w:ind w:left="360" w:hanging="360"/>
        <w:rPr>
          <w:rFonts w:ascii="Times New Roman" w:hAnsi="Times New Roman" w:cs="Times New Roman"/>
        </w:rPr>
      </w:pPr>
    </w:p>
    <w:p w14:paraId="0B14540C"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6.4 Technology Stack</w:t>
      </w:r>
    </w:p>
    <w:tbl>
      <w:tblPr>
        <w:tblStyle w:val="TableGrid"/>
        <w:tblW w:w="0" w:type="auto"/>
        <w:jc w:val="center"/>
        <w:tblLook w:val="04A0" w:firstRow="1" w:lastRow="0" w:firstColumn="1" w:lastColumn="0" w:noHBand="0" w:noVBand="1"/>
      </w:tblPr>
      <w:tblGrid>
        <w:gridCol w:w="2592"/>
        <w:gridCol w:w="6336"/>
      </w:tblGrid>
      <w:tr w:rsidR="0006017F" w:rsidRPr="00CC4084" w14:paraId="0CE06406" w14:textId="77777777">
        <w:trPr>
          <w:jc w:val="center"/>
        </w:trPr>
        <w:tc>
          <w:tcPr>
            <w:tcW w:w="2592" w:type="dxa"/>
            <w:shd w:val="clear" w:color="auto" w:fill="1F497D"/>
          </w:tcPr>
          <w:p w14:paraId="25E8FFA4"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Component</w:t>
            </w:r>
          </w:p>
        </w:tc>
        <w:tc>
          <w:tcPr>
            <w:tcW w:w="6336" w:type="dxa"/>
            <w:shd w:val="clear" w:color="auto" w:fill="1F497D"/>
          </w:tcPr>
          <w:p w14:paraId="76A401A7"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Technology</w:t>
            </w:r>
          </w:p>
        </w:tc>
      </w:tr>
      <w:tr w:rsidR="0006017F" w:rsidRPr="00CC4084" w14:paraId="1E417141"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1769F38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Machine Learning</w:t>
            </w:r>
          </w:p>
        </w:tc>
        <w:tc>
          <w:tcPr>
            <w:tcW w:w="6336" w:type="dxa"/>
            <w:tcBorders>
              <w:top w:val="single" w:sz="4" w:space="0" w:color="B8CCE4"/>
              <w:left w:val="single" w:sz="4" w:space="0" w:color="B8CCE4"/>
              <w:bottom w:val="single" w:sz="4" w:space="0" w:color="B8CCE4"/>
              <w:right w:val="single" w:sz="4" w:space="0" w:color="B8CCE4"/>
            </w:tcBorders>
            <w:shd w:val="clear" w:color="auto" w:fill="D9E1F2"/>
          </w:tcPr>
          <w:p w14:paraId="56AF4D9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Python, scikit-learn (KMeans, RandomForest, StandardScaler, LabelEncoder)</w:t>
            </w:r>
          </w:p>
        </w:tc>
      </w:tr>
      <w:tr w:rsidR="0006017F" w:rsidRPr="00CC4084" w14:paraId="144CBC3E"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4FA28FB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Data Processing</w:t>
            </w:r>
          </w:p>
        </w:tc>
        <w:tc>
          <w:tcPr>
            <w:tcW w:w="6336" w:type="dxa"/>
            <w:tcBorders>
              <w:top w:val="single" w:sz="4" w:space="0" w:color="B8CCE4"/>
              <w:left w:val="single" w:sz="4" w:space="0" w:color="B8CCE4"/>
              <w:bottom w:val="single" w:sz="4" w:space="0" w:color="B8CCE4"/>
              <w:right w:val="single" w:sz="4" w:space="0" w:color="B8CCE4"/>
            </w:tcBorders>
            <w:shd w:val="clear" w:color="auto" w:fill="FFFFFF"/>
          </w:tcPr>
          <w:p w14:paraId="2A6F8BA3"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pandas, NumPy</w:t>
            </w:r>
          </w:p>
        </w:tc>
      </w:tr>
      <w:tr w:rsidR="0006017F" w:rsidRPr="00CC4084" w14:paraId="6BE4FF4F"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5EDE49B3"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Backend API</w:t>
            </w:r>
          </w:p>
        </w:tc>
        <w:tc>
          <w:tcPr>
            <w:tcW w:w="6336" w:type="dxa"/>
            <w:tcBorders>
              <w:top w:val="single" w:sz="4" w:space="0" w:color="B8CCE4"/>
              <w:left w:val="single" w:sz="4" w:space="0" w:color="B8CCE4"/>
              <w:bottom w:val="single" w:sz="4" w:space="0" w:color="B8CCE4"/>
              <w:right w:val="single" w:sz="4" w:space="0" w:color="B8CCE4"/>
            </w:tcBorders>
            <w:shd w:val="clear" w:color="auto" w:fill="D9E1F2"/>
          </w:tcPr>
          <w:p w14:paraId="10BE343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FastAPI, Pydantic, Uvicorn</w:t>
            </w:r>
          </w:p>
        </w:tc>
      </w:tr>
      <w:tr w:rsidR="0006017F" w:rsidRPr="00CC4084" w14:paraId="19E56B6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4B236CCA"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Frontend</w:t>
            </w:r>
          </w:p>
        </w:tc>
        <w:tc>
          <w:tcPr>
            <w:tcW w:w="6336" w:type="dxa"/>
            <w:tcBorders>
              <w:top w:val="single" w:sz="4" w:space="0" w:color="B8CCE4"/>
              <w:left w:val="single" w:sz="4" w:space="0" w:color="B8CCE4"/>
              <w:bottom w:val="single" w:sz="4" w:space="0" w:color="B8CCE4"/>
              <w:right w:val="single" w:sz="4" w:space="0" w:color="B8CCE4"/>
            </w:tcBorders>
            <w:shd w:val="clear" w:color="auto" w:fill="FFFFFF"/>
          </w:tcPr>
          <w:p w14:paraId="29115B39"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React.js (Vite), JavaScript</w:t>
            </w:r>
          </w:p>
        </w:tc>
      </w:tr>
      <w:tr w:rsidR="0006017F" w:rsidRPr="00CC4084" w14:paraId="7ED3B73B"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115541A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AI Copilot</w:t>
            </w:r>
          </w:p>
        </w:tc>
        <w:tc>
          <w:tcPr>
            <w:tcW w:w="6336" w:type="dxa"/>
            <w:tcBorders>
              <w:top w:val="single" w:sz="4" w:space="0" w:color="B8CCE4"/>
              <w:left w:val="single" w:sz="4" w:space="0" w:color="B8CCE4"/>
              <w:bottom w:val="single" w:sz="4" w:space="0" w:color="B8CCE4"/>
              <w:right w:val="single" w:sz="4" w:space="0" w:color="B8CCE4"/>
            </w:tcBorders>
            <w:shd w:val="clear" w:color="auto" w:fill="D9E1F2"/>
          </w:tcPr>
          <w:p w14:paraId="0EC38BB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LocalCSVAI — local LLM-powered CSV query engine</w:t>
            </w:r>
          </w:p>
        </w:tc>
      </w:tr>
      <w:tr w:rsidR="0006017F" w:rsidRPr="00CC4084" w14:paraId="5108FFD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1B2944C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Serialization</w:t>
            </w:r>
          </w:p>
        </w:tc>
        <w:tc>
          <w:tcPr>
            <w:tcW w:w="6336" w:type="dxa"/>
            <w:tcBorders>
              <w:top w:val="single" w:sz="4" w:space="0" w:color="B8CCE4"/>
              <w:left w:val="single" w:sz="4" w:space="0" w:color="B8CCE4"/>
              <w:bottom w:val="single" w:sz="4" w:space="0" w:color="B8CCE4"/>
              <w:right w:val="single" w:sz="4" w:space="0" w:color="B8CCE4"/>
            </w:tcBorders>
            <w:shd w:val="clear" w:color="auto" w:fill="FFFFFF"/>
          </w:tcPr>
          <w:p w14:paraId="194040F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Python pickle (.pkl), JSON</w:t>
            </w:r>
          </w:p>
        </w:tc>
      </w:tr>
      <w:tr w:rsidR="0006017F" w:rsidRPr="00CC4084" w14:paraId="24727EF5"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614B0F0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Dataset Format</w:t>
            </w:r>
          </w:p>
        </w:tc>
        <w:tc>
          <w:tcPr>
            <w:tcW w:w="6336" w:type="dxa"/>
            <w:tcBorders>
              <w:top w:val="single" w:sz="4" w:space="0" w:color="B8CCE4"/>
              <w:left w:val="single" w:sz="4" w:space="0" w:color="B8CCE4"/>
              <w:bottom w:val="single" w:sz="4" w:space="0" w:color="B8CCE4"/>
              <w:right w:val="single" w:sz="4" w:space="0" w:color="B8CCE4"/>
            </w:tcBorders>
            <w:shd w:val="clear" w:color="auto" w:fill="D9E1F2"/>
          </w:tcPr>
          <w:p w14:paraId="178D57EB"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CSV (Palo Alto Networks.csv — 1,470 records, 30 features)</w:t>
            </w:r>
          </w:p>
        </w:tc>
      </w:tr>
    </w:tbl>
    <w:p w14:paraId="577D3367" w14:textId="77777777" w:rsidR="0070195B" w:rsidRDefault="0070195B" w:rsidP="006547C7">
      <w:pPr>
        <w:spacing w:line="360" w:lineRule="auto"/>
        <w:contextualSpacing/>
        <w:rPr>
          <w:rFonts w:ascii="Times New Roman" w:hAnsi="Times New Roman" w:cs="Times New Roman"/>
        </w:rPr>
      </w:pPr>
    </w:p>
    <w:p w14:paraId="625E498A" w14:textId="77777777" w:rsidR="006547C7" w:rsidRPr="00CC4084" w:rsidRDefault="006547C7" w:rsidP="006547C7">
      <w:pPr>
        <w:spacing w:line="360" w:lineRule="auto"/>
        <w:contextualSpacing/>
        <w:rPr>
          <w:rFonts w:ascii="Times New Roman" w:hAnsi="Times New Roman" w:cs="Times New Roman"/>
        </w:rPr>
      </w:pPr>
    </w:p>
    <w:p w14:paraId="53698E2F" w14:textId="66F5D5BA"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b/>
          <w:sz w:val="32"/>
        </w:rPr>
        <w:lastRenderedPageBreak/>
        <w:t>7. Key Performance Indicators (KPIs)</w:t>
      </w:r>
    </w:p>
    <w:p w14:paraId="13807DEA"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S2S dashboard tracks five primary KPIs, all calculated in real time from the processed employee dataset:</w:t>
      </w:r>
    </w:p>
    <w:tbl>
      <w:tblPr>
        <w:tblStyle w:val="TableGrid"/>
        <w:tblW w:w="0" w:type="auto"/>
        <w:jc w:val="center"/>
        <w:tblLook w:val="04A0" w:firstRow="1" w:lastRow="0" w:firstColumn="1" w:lastColumn="0" w:noHBand="0" w:noVBand="1"/>
      </w:tblPr>
      <w:tblGrid>
        <w:gridCol w:w="3168"/>
        <w:gridCol w:w="5760"/>
      </w:tblGrid>
      <w:tr w:rsidR="0006017F" w:rsidRPr="00CC4084" w14:paraId="6280FA48" w14:textId="77777777">
        <w:trPr>
          <w:jc w:val="center"/>
        </w:trPr>
        <w:tc>
          <w:tcPr>
            <w:tcW w:w="3168" w:type="dxa"/>
            <w:shd w:val="clear" w:color="auto" w:fill="1F497D"/>
          </w:tcPr>
          <w:p w14:paraId="436B2F82"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KPI</w:t>
            </w:r>
          </w:p>
        </w:tc>
        <w:tc>
          <w:tcPr>
            <w:tcW w:w="5760" w:type="dxa"/>
            <w:shd w:val="clear" w:color="auto" w:fill="1F497D"/>
          </w:tcPr>
          <w:p w14:paraId="020A5C3B"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Description</w:t>
            </w:r>
          </w:p>
        </w:tc>
      </w:tr>
      <w:tr w:rsidR="0006017F" w:rsidRPr="00CC4084" w14:paraId="097FA793"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9E1F2"/>
          </w:tcPr>
          <w:p w14:paraId="090E7481"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Career Cluster</w:t>
            </w:r>
          </w:p>
        </w:tc>
        <w:tc>
          <w:tcPr>
            <w:tcW w:w="5760" w:type="dxa"/>
            <w:tcBorders>
              <w:top w:val="single" w:sz="4" w:space="0" w:color="B8CCE4"/>
              <w:left w:val="single" w:sz="4" w:space="0" w:color="B8CCE4"/>
              <w:bottom w:val="single" w:sz="4" w:space="0" w:color="B8CCE4"/>
              <w:right w:val="single" w:sz="4" w:space="0" w:color="B8CCE4"/>
            </w:tcBorders>
            <w:shd w:val="clear" w:color="auto" w:fill="D9E1F2"/>
          </w:tcPr>
          <w:p w14:paraId="0A9822E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Employee career trajectory archetype (0–3 mapped to personas)</w:t>
            </w:r>
          </w:p>
        </w:tc>
      </w:tr>
      <w:tr w:rsidR="0006017F" w:rsidRPr="00CC4084" w14:paraId="1B9D823C"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014C79F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Promotion Gap Score</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6DEF97C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Risk level of career stagnation: Low / Medium / High based on PromotionGapRatio threshold</w:t>
            </w:r>
          </w:p>
        </w:tc>
      </w:tr>
      <w:tr w:rsidR="0006017F" w:rsidRPr="00CC4084" w14:paraId="1B85AA49"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9E1F2"/>
          </w:tcPr>
          <w:p w14:paraId="049A02F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Retention Opportunity Index</w:t>
            </w:r>
          </w:p>
        </w:tc>
        <w:tc>
          <w:tcPr>
            <w:tcW w:w="5760" w:type="dxa"/>
            <w:tcBorders>
              <w:top w:val="single" w:sz="4" w:space="0" w:color="B8CCE4"/>
              <w:left w:val="single" w:sz="4" w:space="0" w:color="B8CCE4"/>
              <w:bottom w:val="single" w:sz="4" w:space="0" w:color="B8CCE4"/>
              <w:right w:val="single" w:sz="4" w:space="0" w:color="B8CCE4"/>
            </w:tcBorders>
            <w:shd w:val="clear" w:color="auto" w:fill="D9E1F2"/>
          </w:tcPr>
          <w:p w14:paraId="2370053D"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Count of employees who are stagnant but still engaged — intervention priority list</w:t>
            </w:r>
          </w:p>
        </w:tc>
      </w:tr>
      <w:tr w:rsidR="0006017F" w:rsidRPr="00CC4084" w14:paraId="3670C352"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71E2840A"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Training Need Indicator</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19F06574"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Employees with low TrainingIntensityScore relative to their cluster peers</w:t>
            </w:r>
          </w:p>
        </w:tc>
      </w:tr>
      <w:tr w:rsidR="0006017F" w:rsidRPr="00CC4084" w14:paraId="0CA8C3C5"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9E1F2"/>
          </w:tcPr>
          <w:p w14:paraId="1F01F2C3"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Manager Stability Impact</w:t>
            </w:r>
          </w:p>
        </w:tc>
        <w:tc>
          <w:tcPr>
            <w:tcW w:w="5760" w:type="dxa"/>
            <w:tcBorders>
              <w:top w:val="single" w:sz="4" w:space="0" w:color="B8CCE4"/>
              <w:left w:val="single" w:sz="4" w:space="0" w:color="B8CCE4"/>
              <w:bottom w:val="single" w:sz="4" w:space="0" w:color="B8CCE4"/>
              <w:right w:val="single" w:sz="4" w:space="0" w:color="B8CCE4"/>
            </w:tcBorders>
            <w:shd w:val="clear" w:color="auto" w:fill="D9E1F2"/>
          </w:tcPr>
          <w:p w14:paraId="28CAF1BE"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Correlation between managerial continuity and promotion velocity at team level</w:t>
            </w:r>
          </w:p>
        </w:tc>
      </w:tr>
    </w:tbl>
    <w:p w14:paraId="434A509B" w14:textId="77777777" w:rsidR="006547C7" w:rsidRDefault="006547C7" w:rsidP="006547C7">
      <w:pPr>
        <w:pStyle w:val="Heading1"/>
        <w:spacing w:line="360" w:lineRule="auto"/>
        <w:contextualSpacing/>
        <w:rPr>
          <w:rFonts w:ascii="Times New Roman" w:hAnsi="Times New Roman" w:cs="Times New Roman"/>
          <w:color w:val="auto"/>
          <w:sz w:val="32"/>
        </w:rPr>
      </w:pPr>
    </w:p>
    <w:p w14:paraId="41705D65" w14:textId="56382758" w:rsidR="0070195B" w:rsidRPr="00CC4084" w:rsidRDefault="00000000" w:rsidP="006547C7">
      <w:pPr>
        <w:pStyle w:val="Heading1"/>
        <w:spacing w:line="360" w:lineRule="auto"/>
        <w:contextualSpacing/>
        <w:rPr>
          <w:rFonts w:ascii="Times New Roman" w:hAnsi="Times New Roman" w:cs="Times New Roman"/>
          <w:color w:val="auto"/>
        </w:rPr>
      </w:pPr>
      <w:r w:rsidRPr="00CC4084">
        <w:rPr>
          <w:rFonts w:ascii="Times New Roman" w:hAnsi="Times New Roman" w:cs="Times New Roman"/>
          <w:color w:val="auto"/>
          <w:sz w:val="32"/>
        </w:rPr>
        <w:t>8. Results and Discussion</w:t>
      </w:r>
    </w:p>
    <w:p w14:paraId="0EBBC6E2"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8.1 Clustering Results</w:t>
      </w:r>
    </w:p>
    <w:p w14:paraId="54C981C0"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Application of K-Means (k=4) to the engineered feature set produced four well-separated career archetypes. The Promotion-Stalled High-Risk cluster (Cluster 3) was identified as the most critical intervention target, characterized by:</w:t>
      </w:r>
    </w:p>
    <w:p w14:paraId="51837EB0"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Average Promotion Gap Ratio significantly above 0.5 (indicating &gt;50% of tenure without promotion)</w:t>
      </w:r>
    </w:p>
    <w:p w14:paraId="3C9FFAE8"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Role Stagnation Index consistently above 0.6</w:t>
      </w:r>
    </w:p>
    <w:p w14:paraId="60696F5F"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Below-average Job Satisfaction and Job Involvement scores</w:t>
      </w:r>
    </w:p>
    <w:p w14:paraId="47E2683A"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Lower Training Intensity Scores, suggesting reduced skill investment</w:t>
      </w:r>
    </w:p>
    <w:p w14:paraId="53C5554E" w14:textId="77777777" w:rsidR="0070195B" w:rsidRPr="00CC4084" w:rsidRDefault="0070195B" w:rsidP="006547C7">
      <w:pPr>
        <w:spacing w:line="360" w:lineRule="auto"/>
        <w:contextualSpacing/>
        <w:rPr>
          <w:rFonts w:ascii="Times New Roman" w:hAnsi="Times New Roman" w:cs="Times New Roman"/>
        </w:rPr>
      </w:pPr>
    </w:p>
    <w:p w14:paraId="5466822D"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Fast-Track Performers cluster (Cluster 0) served as the internal benchmark, exhibiting short promotion gaps, high job levels, and strong performance ratings — confirming the validity of the clustering approach.</w:t>
      </w:r>
    </w:p>
    <w:p w14:paraId="7B9CE750"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8.2 Classification Model Performance</w:t>
      </w:r>
    </w:p>
    <w:p w14:paraId="4D62E8A4"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The Random Forest Classifier achieved strong predictive performance on the held-out test set:</w:t>
      </w:r>
    </w:p>
    <w:tbl>
      <w:tblPr>
        <w:tblStyle w:val="TableGrid"/>
        <w:tblW w:w="0" w:type="auto"/>
        <w:jc w:val="center"/>
        <w:tblLook w:val="04A0" w:firstRow="1" w:lastRow="0" w:firstColumn="1" w:lastColumn="0" w:noHBand="0" w:noVBand="1"/>
      </w:tblPr>
      <w:tblGrid>
        <w:gridCol w:w="2592"/>
        <w:gridCol w:w="1440"/>
        <w:gridCol w:w="4896"/>
      </w:tblGrid>
      <w:tr w:rsidR="0006017F" w:rsidRPr="00CC4084" w14:paraId="452B7F0F" w14:textId="77777777">
        <w:trPr>
          <w:jc w:val="center"/>
        </w:trPr>
        <w:tc>
          <w:tcPr>
            <w:tcW w:w="2592" w:type="dxa"/>
            <w:shd w:val="clear" w:color="auto" w:fill="1F497D"/>
          </w:tcPr>
          <w:p w14:paraId="6683A9BA"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lastRenderedPageBreak/>
              <w:t>Metric</w:t>
            </w:r>
          </w:p>
        </w:tc>
        <w:tc>
          <w:tcPr>
            <w:tcW w:w="1440" w:type="dxa"/>
            <w:shd w:val="clear" w:color="auto" w:fill="1F497D"/>
          </w:tcPr>
          <w:p w14:paraId="64132FB7"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Value</w:t>
            </w:r>
          </w:p>
        </w:tc>
        <w:tc>
          <w:tcPr>
            <w:tcW w:w="4896" w:type="dxa"/>
            <w:shd w:val="clear" w:color="auto" w:fill="1F497D"/>
          </w:tcPr>
          <w:p w14:paraId="4F1A75F1" w14:textId="77777777" w:rsidR="0070195B" w:rsidRPr="00CC4084" w:rsidRDefault="00000000" w:rsidP="006547C7">
            <w:pPr>
              <w:spacing w:line="360" w:lineRule="auto"/>
              <w:contextualSpacing/>
              <w:jc w:val="center"/>
              <w:rPr>
                <w:rFonts w:ascii="Times New Roman" w:hAnsi="Times New Roman" w:cs="Times New Roman"/>
              </w:rPr>
            </w:pPr>
            <w:r w:rsidRPr="00CC4084">
              <w:rPr>
                <w:rFonts w:ascii="Times New Roman" w:hAnsi="Times New Roman" w:cs="Times New Roman"/>
                <w:b/>
                <w:sz w:val="20"/>
              </w:rPr>
              <w:t>Notes</w:t>
            </w:r>
          </w:p>
        </w:tc>
      </w:tr>
      <w:tr w:rsidR="0006017F" w:rsidRPr="00CC4084" w14:paraId="02ACB42F"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30B63A7E"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Training Accuracy</w:t>
            </w:r>
          </w:p>
        </w:tc>
        <w:tc>
          <w:tcPr>
            <w:tcW w:w="1440" w:type="dxa"/>
            <w:tcBorders>
              <w:top w:val="single" w:sz="4" w:space="0" w:color="B8CCE4"/>
              <w:left w:val="single" w:sz="4" w:space="0" w:color="B8CCE4"/>
              <w:bottom w:val="single" w:sz="4" w:space="0" w:color="B8CCE4"/>
              <w:right w:val="single" w:sz="4" w:space="0" w:color="B8CCE4"/>
            </w:tcBorders>
            <w:shd w:val="clear" w:color="auto" w:fill="D9E1F2"/>
          </w:tcPr>
          <w:p w14:paraId="59EEB7A8"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~97%</w:t>
            </w:r>
          </w:p>
        </w:tc>
        <w:tc>
          <w:tcPr>
            <w:tcW w:w="4896" w:type="dxa"/>
            <w:tcBorders>
              <w:top w:val="single" w:sz="4" w:space="0" w:color="B8CCE4"/>
              <w:left w:val="single" w:sz="4" w:space="0" w:color="B8CCE4"/>
              <w:bottom w:val="single" w:sz="4" w:space="0" w:color="B8CCE4"/>
              <w:right w:val="single" w:sz="4" w:space="0" w:color="B8CCE4"/>
            </w:tcBorders>
            <w:shd w:val="clear" w:color="auto" w:fill="D9E1F2"/>
          </w:tcPr>
          <w:p w14:paraId="3608979A"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High fit on training data</w:t>
            </w:r>
          </w:p>
        </w:tc>
      </w:tr>
      <w:tr w:rsidR="0006017F" w:rsidRPr="00CC4084" w14:paraId="0E78379F"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36891C4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Test Accuracy</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450DD7C3"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~85–88%</w:t>
            </w:r>
          </w:p>
        </w:tc>
        <w:tc>
          <w:tcPr>
            <w:tcW w:w="4896" w:type="dxa"/>
            <w:tcBorders>
              <w:top w:val="single" w:sz="4" w:space="0" w:color="B8CCE4"/>
              <w:left w:val="single" w:sz="4" w:space="0" w:color="B8CCE4"/>
              <w:bottom w:val="single" w:sz="4" w:space="0" w:color="B8CCE4"/>
              <w:right w:val="single" w:sz="4" w:space="0" w:color="B8CCE4"/>
            </w:tcBorders>
            <w:shd w:val="clear" w:color="auto" w:fill="FFFFFF"/>
          </w:tcPr>
          <w:p w14:paraId="3F1B1EC5"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Robust generalization to unseen records</w:t>
            </w:r>
          </w:p>
        </w:tc>
      </w:tr>
      <w:tr w:rsidR="0006017F" w:rsidRPr="00CC4084" w14:paraId="31D704B6"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9E1F2"/>
          </w:tcPr>
          <w:p w14:paraId="34FA9040"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Key Predictors</w:t>
            </w:r>
          </w:p>
        </w:tc>
        <w:tc>
          <w:tcPr>
            <w:tcW w:w="1440" w:type="dxa"/>
            <w:tcBorders>
              <w:top w:val="single" w:sz="4" w:space="0" w:color="B8CCE4"/>
              <w:left w:val="single" w:sz="4" w:space="0" w:color="B8CCE4"/>
              <w:bottom w:val="single" w:sz="4" w:space="0" w:color="B8CCE4"/>
              <w:right w:val="single" w:sz="4" w:space="0" w:color="B8CCE4"/>
            </w:tcBorders>
            <w:shd w:val="clear" w:color="auto" w:fill="D9E1F2"/>
          </w:tcPr>
          <w:p w14:paraId="0B7CB7A7"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w:t>
            </w:r>
          </w:p>
        </w:tc>
        <w:tc>
          <w:tcPr>
            <w:tcW w:w="4896" w:type="dxa"/>
            <w:tcBorders>
              <w:top w:val="single" w:sz="4" w:space="0" w:color="B8CCE4"/>
              <w:left w:val="single" w:sz="4" w:space="0" w:color="B8CCE4"/>
              <w:bottom w:val="single" w:sz="4" w:space="0" w:color="B8CCE4"/>
              <w:right w:val="single" w:sz="4" w:space="0" w:color="B8CCE4"/>
            </w:tcBorders>
            <w:shd w:val="clear" w:color="auto" w:fill="D9E1F2"/>
          </w:tcPr>
          <w:p w14:paraId="4A9E3152" w14:textId="77777777" w:rsidR="0070195B" w:rsidRPr="00CC4084" w:rsidRDefault="00000000" w:rsidP="006547C7">
            <w:pPr>
              <w:spacing w:line="360" w:lineRule="auto"/>
              <w:contextualSpacing/>
              <w:rPr>
                <w:rFonts w:ascii="Times New Roman" w:hAnsi="Times New Roman" w:cs="Times New Roman"/>
              </w:rPr>
            </w:pPr>
            <w:r w:rsidRPr="00CC4084">
              <w:rPr>
                <w:rFonts w:ascii="Times New Roman" w:hAnsi="Times New Roman" w:cs="Times New Roman"/>
                <w:sz w:val="20"/>
              </w:rPr>
              <w:t>OverTime, MonthlyIncome, YearsAtCompany, PromotionGapRatio, JobSatisfaction</w:t>
            </w:r>
          </w:p>
        </w:tc>
      </w:tr>
    </w:tbl>
    <w:p w14:paraId="20DC7F81" w14:textId="77777777" w:rsidR="0070195B" w:rsidRPr="00CC4084" w:rsidRDefault="0070195B" w:rsidP="006547C7">
      <w:pPr>
        <w:spacing w:line="360" w:lineRule="auto"/>
        <w:contextualSpacing/>
        <w:rPr>
          <w:rFonts w:ascii="Times New Roman" w:hAnsi="Times New Roman" w:cs="Times New Roman"/>
        </w:rPr>
      </w:pPr>
    </w:p>
    <w:p w14:paraId="461432FB"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8.3 Retention Opportunity Findings</w:t>
      </w:r>
    </w:p>
    <w:p w14:paraId="0FF4AD17"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Applying the Retention Opportunity Index criteria to the full employee dataset revealed a substantial cohort of employees who are structurally at risk yet still engaged — representing the highest-impact window for HR intervention. These employees, concentrated predominantly in the R&amp;D and Sales departments, show elevated promotion gap ratios but maintain above-average job satisfaction scores, making them prime candidates for promotion review and targeted development programs.</w:t>
      </w:r>
    </w:p>
    <w:p w14:paraId="38A10008"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8.4 Feature Importance Analysis</w:t>
      </w:r>
    </w:p>
    <w:p w14:paraId="138B00FC"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Feature importance analysis of the Random Forest model confirmed that the four engineered career intelligence metrics — particularly PromotionGapRatio and RoleStagnationIndex — rank among the top predictors of attrition, validating the feature engineering approach and demonstrating the value of career-specific derived metrics over raw HR fields alone.</w:t>
      </w:r>
    </w:p>
    <w:p w14:paraId="72BCA100" w14:textId="77777777" w:rsidR="0070195B" w:rsidRPr="00CC4084" w:rsidRDefault="00000000" w:rsidP="006547C7">
      <w:pPr>
        <w:pStyle w:val="Heading1"/>
        <w:spacing w:line="360" w:lineRule="auto"/>
        <w:contextualSpacing/>
        <w:rPr>
          <w:rFonts w:ascii="Times New Roman" w:hAnsi="Times New Roman" w:cs="Times New Roman"/>
          <w:color w:val="auto"/>
        </w:rPr>
      </w:pPr>
      <w:r w:rsidRPr="00CC4084">
        <w:rPr>
          <w:rFonts w:ascii="Times New Roman" w:hAnsi="Times New Roman" w:cs="Times New Roman"/>
          <w:color w:val="auto"/>
          <w:sz w:val="32"/>
        </w:rPr>
        <w:t>9. Recommendations</w:t>
      </w:r>
    </w:p>
    <w:p w14:paraId="4979837F" w14:textId="77777777" w:rsidR="0070195B" w:rsidRPr="00CC4084" w:rsidRDefault="00000000" w:rsidP="006547C7">
      <w:pPr>
        <w:spacing w:after="120" w:line="360" w:lineRule="auto"/>
        <w:contextualSpacing/>
        <w:rPr>
          <w:rFonts w:ascii="Times New Roman" w:hAnsi="Times New Roman" w:cs="Times New Roman"/>
        </w:rPr>
      </w:pPr>
      <w:r w:rsidRPr="00CC4084">
        <w:rPr>
          <w:rFonts w:ascii="Times New Roman" w:hAnsi="Times New Roman" w:cs="Times New Roman"/>
        </w:rPr>
        <w:t>Based on the S2S analytics findings, the following strategic recommendations are proposed for Palo Alto Networks HR leadership:</w:t>
      </w:r>
    </w:p>
    <w:p w14:paraId="55B67AC6"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9.1 Immediate Actions (0–3 Months)</w:t>
      </w:r>
    </w:p>
    <w:p w14:paraId="5490DD63"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Initiate structured promotion review cycles for all employees in the Promotion-Stalled High-Risk cluster.</w:t>
      </w:r>
    </w:p>
    <w:p w14:paraId="548A088A"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Assign dedicated career development plans to employees on the Retention Opportunity Panel.</w:t>
      </w:r>
    </w:p>
    <w:p w14:paraId="4E766D59"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Launch targeted upskilling programs for employees with Training Need Indicator flags.</w:t>
      </w:r>
    </w:p>
    <w:p w14:paraId="304DD9A8"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9.2 Medium-Term Initiatives (3–12 Months)</w:t>
      </w:r>
    </w:p>
    <w:p w14:paraId="35A3D235"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Implement role rotation programs for employees with Role Stagnation Index &gt; 0.7 who remain high performers.</w:t>
      </w:r>
    </w:p>
    <w:p w14:paraId="68C3FC5D"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lastRenderedPageBreak/>
        <w:t>Establish manager coaching programs informed by Manager Stability Impact data to improve team-level career growth.</w:t>
      </w:r>
    </w:p>
    <w:p w14:paraId="41B57611"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Integrate S2S KPIs into quarterly HR performance reviews as standard retention metrics.</w:t>
      </w:r>
    </w:p>
    <w:p w14:paraId="697F54CC" w14:textId="77777777" w:rsidR="0070195B" w:rsidRPr="00CC4084" w:rsidRDefault="00000000" w:rsidP="006547C7">
      <w:pPr>
        <w:pStyle w:val="Heading2"/>
        <w:spacing w:line="360" w:lineRule="auto"/>
        <w:contextualSpacing/>
        <w:rPr>
          <w:rFonts w:ascii="Times New Roman" w:hAnsi="Times New Roman" w:cs="Times New Roman"/>
          <w:color w:val="auto"/>
        </w:rPr>
      </w:pPr>
      <w:r w:rsidRPr="00CC4084">
        <w:rPr>
          <w:rFonts w:ascii="Times New Roman" w:hAnsi="Times New Roman" w:cs="Times New Roman"/>
          <w:color w:val="auto"/>
        </w:rPr>
        <w:t>9.3 Long-Term Strategic Changes (12+ Months)</w:t>
      </w:r>
    </w:p>
    <w:p w14:paraId="54E50228"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Embed the S2S scoring framework into the annual performance management lifecycle.</w:t>
      </w:r>
    </w:p>
    <w:p w14:paraId="70908F85"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Extend the model to incorporate real-time signals (engagement surveys, learning platform activity).</w:t>
      </w:r>
    </w:p>
    <w:p w14:paraId="74DEDD18" w14:textId="77777777" w:rsidR="0070195B" w:rsidRPr="00CC4084" w:rsidRDefault="00000000" w:rsidP="006547C7">
      <w:pPr>
        <w:pStyle w:val="ListBullet"/>
        <w:spacing w:after="60" w:line="360" w:lineRule="auto"/>
        <w:ind w:left="432"/>
        <w:rPr>
          <w:rFonts w:ascii="Times New Roman" w:hAnsi="Times New Roman" w:cs="Times New Roman"/>
        </w:rPr>
      </w:pPr>
      <w:r w:rsidRPr="00CC4084">
        <w:rPr>
          <w:rFonts w:ascii="Times New Roman" w:hAnsi="Times New Roman" w:cs="Times New Roman"/>
        </w:rPr>
        <w:t>Develop department-specific promotion velocity benchmarks to set transparent career advancement expectations.</w:t>
      </w:r>
    </w:p>
    <w:p w14:paraId="433F99A2" w14:textId="79F5AB6C" w:rsidR="00CC4084" w:rsidRPr="00CC4084" w:rsidRDefault="00CC4084" w:rsidP="006547C7">
      <w:pPr>
        <w:spacing w:line="360" w:lineRule="auto"/>
        <w:contextualSpacing/>
        <w:rPr>
          <w:rFonts w:ascii="Times New Roman" w:hAnsi="Times New Roman" w:cs="Times New Roman"/>
        </w:rPr>
      </w:pPr>
      <w:r w:rsidRPr="00CC4084">
        <w:rPr>
          <w:rFonts w:ascii="Times New Roman" w:hAnsi="Times New Roman" w:cs="Times New Roman"/>
        </w:rPr>
        <w:br w:type="page"/>
      </w:r>
    </w:p>
    <w:p w14:paraId="60BE4AB0" w14:textId="77777777" w:rsidR="00CC4084" w:rsidRPr="00CC4084" w:rsidRDefault="00CC4084" w:rsidP="006547C7">
      <w:pPr>
        <w:pStyle w:val="ListBullet"/>
        <w:numPr>
          <w:ilvl w:val="0"/>
          <w:numId w:val="0"/>
        </w:numPr>
        <w:spacing w:after="60" w:line="360" w:lineRule="auto"/>
        <w:ind w:left="432"/>
        <w:rPr>
          <w:rFonts w:ascii="Times New Roman" w:hAnsi="Times New Roman" w:cs="Times New Roman"/>
        </w:rPr>
      </w:pPr>
    </w:p>
    <w:p w14:paraId="24D4E49F" w14:textId="18F10F32" w:rsidR="0070195B" w:rsidRPr="00CC4084" w:rsidRDefault="00000000" w:rsidP="006547C7">
      <w:pPr>
        <w:pStyle w:val="Heading1"/>
        <w:spacing w:line="360" w:lineRule="auto"/>
        <w:contextualSpacing/>
        <w:jc w:val="center"/>
        <w:rPr>
          <w:rFonts w:ascii="Times New Roman" w:hAnsi="Times New Roman" w:cs="Times New Roman"/>
          <w:color w:val="auto"/>
        </w:rPr>
      </w:pPr>
      <w:r w:rsidRPr="00CC4084">
        <w:rPr>
          <w:rFonts w:ascii="Times New Roman" w:hAnsi="Times New Roman" w:cs="Times New Roman"/>
          <w:color w:val="auto"/>
          <w:sz w:val="32"/>
        </w:rPr>
        <w:t>Conclusion</w:t>
      </w:r>
    </w:p>
    <w:p w14:paraId="221736DF" w14:textId="77777777" w:rsidR="006547C7" w:rsidRDefault="00000000" w:rsidP="006547C7">
      <w:pPr>
        <w:spacing w:after="120" w:line="360" w:lineRule="auto"/>
        <w:contextualSpacing/>
        <w:jc w:val="both"/>
        <w:rPr>
          <w:rFonts w:ascii="Times New Roman" w:hAnsi="Times New Roman" w:cs="Times New Roman"/>
        </w:rPr>
      </w:pPr>
      <w:r w:rsidRPr="00CC4084">
        <w:rPr>
          <w:rFonts w:ascii="Times New Roman" w:hAnsi="Times New Roman" w:cs="Times New Roman"/>
        </w:rPr>
        <w:t>The Stagnation-to-Success (S2S) Analytics Framework represents a meaningful advance in HR intelligence for Palo Alto Networks. Unlike traditional attrition models that answer only 'who will leave,' S2S answers 'why employees may eventually disengage' — and crucially, 'who can still be retained.' By combining novel feature engineering, unsupervised career clustering, supervised risk classification, and a real-time interactive dashboard, S2S provides HR teams with the tools to shift from reactive headcount management to proactive, career-centric workforce strategy.</w:t>
      </w:r>
    </w:p>
    <w:p w14:paraId="07BBD2EF" w14:textId="77777777" w:rsidR="006547C7" w:rsidRDefault="006547C7" w:rsidP="006547C7">
      <w:pPr>
        <w:spacing w:after="120" w:line="360" w:lineRule="auto"/>
        <w:contextualSpacing/>
        <w:jc w:val="both"/>
        <w:rPr>
          <w:rFonts w:ascii="Times New Roman" w:hAnsi="Times New Roman" w:cs="Times New Roman"/>
        </w:rPr>
      </w:pPr>
    </w:p>
    <w:p w14:paraId="18C2EF1C" w14:textId="6FA0D297" w:rsidR="0070195B" w:rsidRDefault="00000000" w:rsidP="006547C7">
      <w:pPr>
        <w:spacing w:after="120" w:line="360" w:lineRule="auto"/>
        <w:contextualSpacing/>
        <w:jc w:val="both"/>
        <w:rPr>
          <w:rFonts w:ascii="Times New Roman" w:hAnsi="Times New Roman" w:cs="Times New Roman"/>
        </w:rPr>
      </w:pPr>
      <w:r w:rsidRPr="00CC4084">
        <w:rPr>
          <w:rFonts w:ascii="Times New Roman" w:hAnsi="Times New Roman" w:cs="Times New Roman"/>
        </w:rPr>
        <w:t>The framework's modular Python architecture ensures it can be maintained, extended, and integrated with existing HR systems. The configurable threshold system allows HR administrators to tune risk sensitivity to organizational context without requiring data science expertise.</w:t>
      </w:r>
    </w:p>
    <w:p w14:paraId="1B8CDDBB" w14:textId="77777777" w:rsidR="006547C7" w:rsidRPr="00CC4084" w:rsidRDefault="006547C7" w:rsidP="006547C7">
      <w:pPr>
        <w:spacing w:after="120" w:line="360" w:lineRule="auto"/>
        <w:contextualSpacing/>
        <w:jc w:val="both"/>
        <w:rPr>
          <w:rFonts w:ascii="Times New Roman" w:hAnsi="Times New Roman" w:cs="Times New Roman"/>
        </w:rPr>
      </w:pPr>
    </w:p>
    <w:p w14:paraId="095BB667" w14:textId="77777777" w:rsidR="0070195B" w:rsidRPr="00CC4084" w:rsidRDefault="00000000" w:rsidP="006547C7">
      <w:pPr>
        <w:spacing w:after="120" w:line="360" w:lineRule="auto"/>
        <w:contextualSpacing/>
        <w:jc w:val="both"/>
        <w:rPr>
          <w:rFonts w:ascii="Times New Roman" w:hAnsi="Times New Roman" w:cs="Times New Roman"/>
        </w:rPr>
      </w:pPr>
      <w:r w:rsidRPr="00CC4084">
        <w:rPr>
          <w:rFonts w:ascii="Times New Roman" w:hAnsi="Times New Roman" w:cs="Times New Roman"/>
        </w:rPr>
        <w:t>This project demonstrates that career intelligence — not just satisfaction surveys or exit interviews — is the most powerful lever for sustainable talent retention in technology organizations.</w:t>
      </w:r>
    </w:p>
    <w:p w14:paraId="76FB0425" w14:textId="16DB038B" w:rsidR="00CC4084" w:rsidRPr="00CC4084" w:rsidRDefault="00CC4084" w:rsidP="006547C7">
      <w:pPr>
        <w:spacing w:line="360" w:lineRule="auto"/>
        <w:contextualSpacing/>
        <w:rPr>
          <w:rFonts w:ascii="Times New Roman" w:hAnsi="Times New Roman" w:cs="Times New Roman"/>
        </w:rPr>
      </w:pPr>
      <w:r w:rsidRPr="00CC4084">
        <w:rPr>
          <w:rFonts w:ascii="Times New Roman" w:hAnsi="Times New Roman" w:cs="Times New Roman"/>
        </w:rPr>
        <w:br w:type="page"/>
      </w:r>
    </w:p>
    <w:p w14:paraId="6B23A7F6" w14:textId="77777777" w:rsidR="00CC4084" w:rsidRPr="00CC4084" w:rsidRDefault="00CC4084" w:rsidP="006547C7">
      <w:pPr>
        <w:spacing w:after="120" w:line="360" w:lineRule="auto"/>
        <w:contextualSpacing/>
        <w:rPr>
          <w:rFonts w:ascii="Times New Roman" w:hAnsi="Times New Roman" w:cs="Times New Roman"/>
        </w:rPr>
      </w:pPr>
    </w:p>
    <w:p w14:paraId="1E714DDC" w14:textId="380FD202" w:rsidR="0070195B" w:rsidRPr="00CC4084" w:rsidRDefault="00000000" w:rsidP="006547C7">
      <w:pPr>
        <w:pStyle w:val="Heading1"/>
        <w:spacing w:line="360" w:lineRule="auto"/>
        <w:contextualSpacing/>
        <w:jc w:val="center"/>
        <w:rPr>
          <w:rFonts w:ascii="Times New Roman" w:hAnsi="Times New Roman" w:cs="Times New Roman"/>
          <w:color w:val="auto"/>
        </w:rPr>
      </w:pPr>
      <w:r w:rsidRPr="00CC4084">
        <w:rPr>
          <w:rFonts w:ascii="Times New Roman" w:hAnsi="Times New Roman" w:cs="Times New Roman"/>
          <w:color w:val="auto"/>
          <w:sz w:val="32"/>
        </w:rPr>
        <w:t>References</w:t>
      </w:r>
    </w:p>
    <w:p w14:paraId="7BC4AC7D" w14:textId="77777777" w:rsidR="0070195B" w:rsidRPr="00CC4084" w:rsidRDefault="00000000" w:rsidP="006547C7">
      <w:pPr>
        <w:spacing w:after="80" w:line="360" w:lineRule="auto"/>
        <w:ind w:left="576" w:hanging="576"/>
        <w:contextualSpacing/>
        <w:rPr>
          <w:rFonts w:ascii="Times New Roman" w:hAnsi="Times New Roman" w:cs="Times New Roman"/>
        </w:rPr>
      </w:pPr>
      <w:r w:rsidRPr="00CC4084">
        <w:rPr>
          <w:rFonts w:ascii="Times New Roman" w:hAnsi="Times New Roman" w:cs="Times New Roman"/>
          <w:sz w:val="20"/>
        </w:rPr>
        <w:t>[1] Doeringer, P. B., &amp; Piore, M. J. (1971). Internal Labor Markets and Manpower Analysis. Lexington, MA: D.C. Heath.</w:t>
      </w:r>
    </w:p>
    <w:p w14:paraId="431A20C2" w14:textId="77777777" w:rsidR="0070195B" w:rsidRPr="00CC4084" w:rsidRDefault="00000000" w:rsidP="006547C7">
      <w:pPr>
        <w:spacing w:after="80" w:line="360" w:lineRule="auto"/>
        <w:ind w:left="576" w:hanging="576"/>
        <w:contextualSpacing/>
        <w:rPr>
          <w:rFonts w:ascii="Times New Roman" w:hAnsi="Times New Roman" w:cs="Times New Roman"/>
        </w:rPr>
      </w:pPr>
      <w:r w:rsidRPr="00CC4084">
        <w:rPr>
          <w:rFonts w:ascii="Times New Roman" w:hAnsi="Times New Roman" w:cs="Times New Roman"/>
          <w:sz w:val="20"/>
        </w:rPr>
        <w:t>[2] Ng, T. W. H., &amp; Feldman, D. C. (2014). Subjective career success: A meta-analytic review. Journal of Vocational Behavior, 85(2), 169–179.</w:t>
      </w:r>
    </w:p>
    <w:p w14:paraId="5C679B4D" w14:textId="77777777" w:rsidR="0070195B" w:rsidRPr="00CC4084" w:rsidRDefault="00000000" w:rsidP="006547C7">
      <w:pPr>
        <w:spacing w:after="80" w:line="360" w:lineRule="auto"/>
        <w:ind w:left="576" w:hanging="576"/>
        <w:contextualSpacing/>
        <w:rPr>
          <w:rFonts w:ascii="Times New Roman" w:hAnsi="Times New Roman" w:cs="Times New Roman"/>
        </w:rPr>
      </w:pPr>
      <w:r w:rsidRPr="00CC4084">
        <w:rPr>
          <w:rFonts w:ascii="Times New Roman" w:hAnsi="Times New Roman" w:cs="Times New Roman"/>
          <w:sz w:val="20"/>
        </w:rPr>
        <w:t>[3] Punnoose, R., &amp; Ajit, P. (2016). Prediction of Employee Turnover in Organizations using Machine Learning Algorithms. International Journal of Advanced Research in Artificial Intelligence, 5(9).</w:t>
      </w:r>
    </w:p>
    <w:p w14:paraId="0DBDB73C" w14:textId="77777777" w:rsidR="0070195B" w:rsidRPr="00CC4084" w:rsidRDefault="00000000" w:rsidP="006547C7">
      <w:pPr>
        <w:spacing w:after="80" w:line="360" w:lineRule="auto"/>
        <w:ind w:left="576" w:hanging="576"/>
        <w:contextualSpacing/>
        <w:rPr>
          <w:rFonts w:ascii="Times New Roman" w:hAnsi="Times New Roman" w:cs="Times New Roman"/>
        </w:rPr>
      </w:pPr>
      <w:r w:rsidRPr="00CC4084">
        <w:rPr>
          <w:rFonts w:ascii="Times New Roman" w:hAnsi="Times New Roman" w:cs="Times New Roman"/>
          <w:sz w:val="20"/>
        </w:rPr>
        <w:t>[4] Rosenbaum, J. E. (1979). Tournament mobility: Career patterns in a corporation. Administrative Science Quarterly, 24(2), 220–241.</w:t>
      </w:r>
    </w:p>
    <w:p w14:paraId="422B3F9B" w14:textId="77777777" w:rsidR="0070195B" w:rsidRPr="00CC4084" w:rsidRDefault="00000000" w:rsidP="006547C7">
      <w:pPr>
        <w:spacing w:after="80" w:line="360" w:lineRule="auto"/>
        <w:ind w:left="576" w:hanging="576"/>
        <w:contextualSpacing/>
        <w:rPr>
          <w:rFonts w:ascii="Times New Roman" w:hAnsi="Times New Roman" w:cs="Times New Roman"/>
        </w:rPr>
      </w:pPr>
      <w:r w:rsidRPr="00CC4084">
        <w:rPr>
          <w:rFonts w:ascii="Times New Roman" w:hAnsi="Times New Roman" w:cs="Times New Roman"/>
          <w:sz w:val="20"/>
        </w:rPr>
        <w:t>[5] Saradhi, V. V., &amp; Palshikar, G. K. (2011). Employee churn prediction. Expert Systems with Applications, 38(3), 1999–2006.</w:t>
      </w:r>
    </w:p>
    <w:p w14:paraId="1033E9BD" w14:textId="77777777" w:rsidR="0070195B" w:rsidRPr="00CC4084" w:rsidRDefault="00000000" w:rsidP="006547C7">
      <w:pPr>
        <w:spacing w:after="80" w:line="360" w:lineRule="auto"/>
        <w:ind w:left="576" w:hanging="576"/>
        <w:contextualSpacing/>
        <w:rPr>
          <w:rFonts w:ascii="Times New Roman" w:hAnsi="Times New Roman" w:cs="Times New Roman"/>
        </w:rPr>
      </w:pPr>
      <w:r w:rsidRPr="00CC4084">
        <w:rPr>
          <w:rFonts w:ascii="Times New Roman" w:hAnsi="Times New Roman" w:cs="Times New Roman"/>
          <w:sz w:val="20"/>
        </w:rPr>
        <w:t>[6] Zhao, Y., Hryniewicki, M. K., Cheng, F., Fu, B., &amp; Zhu, X. (2018). Employee Turnover Prediction with Machine Learning: A Reliable Approach. In Intelligent Systems and Applications (pp. 737–758). Springer.</w:t>
      </w:r>
    </w:p>
    <w:p w14:paraId="329AB5A1" w14:textId="77777777" w:rsidR="0070195B" w:rsidRPr="00CC4084" w:rsidRDefault="00000000" w:rsidP="006547C7">
      <w:pPr>
        <w:spacing w:after="80" w:line="360" w:lineRule="auto"/>
        <w:ind w:left="576" w:hanging="576"/>
        <w:contextualSpacing/>
        <w:rPr>
          <w:rFonts w:ascii="Times New Roman" w:hAnsi="Times New Roman" w:cs="Times New Roman"/>
        </w:rPr>
      </w:pPr>
      <w:r w:rsidRPr="00CC4084">
        <w:rPr>
          <w:rFonts w:ascii="Times New Roman" w:hAnsi="Times New Roman" w:cs="Times New Roman"/>
          <w:sz w:val="20"/>
        </w:rPr>
        <w:t>[7] scikit-learn developers. (2024). scikit-learn: Machine Learning in Python. https://scikit-learn.org/</w:t>
      </w:r>
    </w:p>
    <w:p w14:paraId="74369D47" w14:textId="77777777" w:rsidR="0070195B" w:rsidRPr="00CC4084" w:rsidRDefault="00000000" w:rsidP="006547C7">
      <w:pPr>
        <w:spacing w:after="80" w:line="360" w:lineRule="auto"/>
        <w:ind w:left="576" w:hanging="576"/>
        <w:contextualSpacing/>
        <w:rPr>
          <w:rFonts w:ascii="Times New Roman" w:hAnsi="Times New Roman" w:cs="Times New Roman"/>
        </w:rPr>
      </w:pPr>
      <w:r w:rsidRPr="00CC4084">
        <w:rPr>
          <w:rFonts w:ascii="Times New Roman" w:hAnsi="Times New Roman" w:cs="Times New Roman"/>
          <w:sz w:val="20"/>
        </w:rPr>
        <w:t>[8] Palo Alto Networks. (2024). Internal Employee HR Dataset. Proprietary dataset used under internship data use agreement.</w:t>
      </w:r>
    </w:p>
    <w:sectPr w:rsidR="0070195B" w:rsidRPr="00CC4084" w:rsidSect="002D6BE2">
      <w:headerReference w:type="even" r:id="rId8"/>
      <w:headerReference w:type="default" r:id="rId9"/>
      <w:footerReference w:type="even" r:id="rId10"/>
      <w:footerReference w:type="default" r:id="rId11"/>
      <w:headerReference w:type="first" r:id="rId12"/>
      <w:footerReference w:type="first" r:id="rId13"/>
      <w:pgSz w:w="12240" w:h="15840"/>
      <w:pgMar w:top="1440" w:right="1728" w:bottom="1440"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40506" w14:textId="77777777" w:rsidR="00C86153" w:rsidRDefault="00C86153">
      <w:pPr>
        <w:spacing w:after="0" w:line="240" w:lineRule="auto"/>
      </w:pPr>
      <w:r>
        <w:separator/>
      </w:r>
    </w:p>
  </w:endnote>
  <w:endnote w:type="continuationSeparator" w:id="0">
    <w:p w14:paraId="74DA5216" w14:textId="77777777" w:rsidR="00C86153" w:rsidRDefault="00C86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BB90B" w14:textId="77777777" w:rsidR="002D6BE2" w:rsidRDefault="002D6B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9645716"/>
      <w:docPartObj>
        <w:docPartGallery w:val="Page Numbers (Bottom of Page)"/>
        <w:docPartUnique/>
      </w:docPartObj>
    </w:sdtPr>
    <w:sdtEndPr>
      <w:rPr>
        <w:noProof/>
      </w:rPr>
    </w:sdtEndPr>
    <w:sdtContent>
      <w:p w14:paraId="1458A492" w14:textId="26329A29" w:rsidR="002D6BE2" w:rsidRDefault="002D6B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88023B" w14:textId="13FE0D80" w:rsidR="002D6BE2" w:rsidRDefault="002D6B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78A5" w14:textId="77777777" w:rsidR="002D6BE2" w:rsidRDefault="002D6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AE414" w14:textId="77777777" w:rsidR="00C86153" w:rsidRDefault="00C86153">
      <w:pPr>
        <w:spacing w:after="0" w:line="240" w:lineRule="auto"/>
      </w:pPr>
      <w:r>
        <w:separator/>
      </w:r>
    </w:p>
  </w:footnote>
  <w:footnote w:type="continuationSeparator" w:id="0">
    <w:p w14:paraId="491BFD44" w14:textId="77777777" w:rsidR="00C86153" w:rsidRDefault="00C86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30D7C" w14:textId="77777777" w:rsidR="002D6BE2" w:rsidRDefault="002D6B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56E00" w14:textId="77777777" w:rsidR="002D6BE2" w:rsidRDefault="002D6B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94450" w14:textId="77777777" w:rsidR="002D6BE2" w:rsidRDefault="002D6B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951711">
    <w:abstractNumId w:val="8"/>
  </w:num>
  <w:num w:numId="2" w16cid:durableId="2079941556">
    <w:abstractNumId w:val="6"/>
  </w:num>
  <w:num w:numId="3" w16cid:durableId="266814066">
    <w:abstractNumId w:val="5"/>
  </w:num>
  <w:num w:numId="4" w16cid:durableId="1036662929">
    <w:abstractNumId w:val="4"/>
  </w:num>
  <w:num w:numId="5" w16cid:durableId="826171818">
    <w:abstractNumId w:val="7"/>
  </w:num>
  <w:num w:numId="6" w16cid:durableId="757750558">
    <w:abstractNumId w:val="3"/>
  </w:num>
  <w:num w:numId="7" w16cid:durableId="530383839">
    <w:abstractNumId w:val="2"/>
  </w:num>
  <w:num w:numId="8" w16cid:durableId="2146777827">
    <w:abstractNumId w:val="1"/>
  </w:num>
  <w:num w:numId="9" w16cid:durableId="58661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7F"/>
    <w:rsid w:val="0006063C"/>
    <w:rsid w:val="0015074B"/>
    <w:rsid w:val="0029639D"/>
    <w:rsid w:val="002D6BE2"/>
    <w:rsid w:val="00326F90"/>
    <w:rsid w:val="00366A9B"/>
    <w:rsid w:val="006547C7"/>
    <w:rsid w:val="0070195B"/>
    <w:rsid w:val="00791476"/>
    <w:rsid w:val="008E66BB"/>
    <w:rsid w:val="00AA1D8D"/>
    <w:rsid w:val="00B47730"/>
    <w:rsid w:val="00C86153"/>
    <w:rsid w:val="00CB0664"/>
    <w:rsid w:val="00CC40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DC460C"/>
  <w14:defaultImageDpi w14:val="300"/>
  <w15:docId w15:val="{22EFB5D8-456D-4297-9013-19076AA0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15</Pages>
  <Words>3298</Words>
  <Characters>18804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Neerja Raval</cp:lastModifiedBy>
  <cp:revision>3</cp:revision>
  <dcterms:created xsi:type="dcterms:W3CDTF">2013-12-23T23:15:00Z</dcterms:created>
  <dcterms:modified xsi:type="dcterms:W3CDTF">2026-06-05T16:40:00Z</dcterms:modified>
  <cp:category/>
</cp:coreProperties>
</file>