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81C" w:rsidRDefault="00C3581C" w:rsidP="00C3581C"/>
    <w:p w:rsidR="00C3581C" w:rsidRDefault="00C3581C" w:rsidP="00C3581C">
      <w:pPr>
        <w:rPr>
          <w:b/>
        </w:rPr>
      </w:pPr>
      <w:r w:rsidRPr="00C3581C">
        <w:rPr>
          <w:b/>
        </w:rPr>
        <w:t>Answer Task 1</w:t>
      </w:r>
    </w:p>
    <w:p w:rsidR="00354554" w:rsidRDefault="00354554" w:rsidP="00C3581C">
      <w:pPr>
        <w:rPr>
          <w:b/>
        </w:rPr>
      </w:pPr>
      <w:r>
        <w:rPr>
          <w:b/>
        </w:rPr>
        <w:t>All time values are in seconds.</w:t>
      </w:r>
    </w:p>
    <w:p w:rsidR="00C3581C" w:rsidRPr="00C3581C" w:rsidRDefault="00C3581C" w:rsidP="00C3581C">
      <w:pPr>
        <w:rPr>
          <w:b/>
        </w:rPr>
      </w:pPr>
      <w:r w:rsidRPr="00C3581C">
        <w:rPr>
          <w:b/>
        </w:rPr>
        <w:t>Part 1) Mean and 95th percentile and their confidence interval of T</w:t>
      </w:r>
      <w:r w:rsidRPr="00C3581C">
        <w:rPr>
          <w:b/>
        </w:rPr>
        <w:tab/>
      </w:r>
      <w:r w:rsidRPr="00C3581C">
        <w:rPr>
          <w:b/>
        </w:rPr>
        <w:tab/>
      </w:r>
      <w:r w:rsidRPr="00C3581C">
        <w:rPr>
          <w:b/>
        </w:rPr>
        <w:tab/>
      </w:r>
    </w:p>
    <w:p w:rsidR="00C3581C" w:rsidRPr="00C3581C" w:rsidRDefault="00C3581C" w:rsidP="00C3581C">
      <w:pPr>
        <w:rPr>
          <w:b/>
        </w:rPr>
      </w:pPr>
      <w:r w:rsidRPr="00C3581C">
        <w:rPr>
          <w:b/>
        </w:rPr>
        <w:t>(Answer)</w:t>
      </w:r>
    </w:p>
    <w:p w:rsidR="00C3581C" w:rsidRDefault="00C3581C" w:rsidP="00C3581C">
      <w:r>
        <w:t>Answers are written in form of (S=11,</w:t>
      </w:r>
      <w:r w:rsidR="00845416">
        <w:t xml:space="preserve"> </w:t>
      </w:r>
      <w:r>
        <w:t>S=12, S=13, S=14</w:t>
      </w:r>
      <w:proofErr w:type="gramStart"/>
      <w:r>
        <w:t>,S</w:t>
      </w:r>
      <w:proofErr w:type="gramEnd"/>
      <w:r>
        <w:t>=15, S=16, S=17)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990"/>
        <w:gridCol w:w="1170"/>
        <w:gridCol w:w="1170"/>
        <w:gridCol w:w="1017"/>
        <w:gridCol w:w="1197"/>
        <w:gridCol w:w="1197"/>
        <w:gridCol w:w="1197"/>
      </w:tblGrid>
      <w:tr w:rsidR="00C3581C" w:rsidTr="00C3581C">
        <w:tc>
          <w:tcPr>
            <w:tcW w:w="1638" w:type="dxa"/>
          </w:tcPr>
          <w:p w:rsidR="00C3581C" w:rsidRDefault="00C3581C" w:rsidP="00C3581C">
            <w:r>
              <w:t>Service  Time-&gt;</w:t>
            </w:r>
          </w:p>
        </w:tc>
        <w:tc>
          <w:tcPr>
            <w:tcW w:w="990" w:type="dxa"/>
          </w:tcPr>
          <w:p w:rsidR="00C3581C" w:rsidRDefault="00C3581C" w:rsidP="00C3581C">
            <w:r>
              <w:t>11</w:t>
            </w:r>
          </w:p>
        </w:tc>
        <w:tc>
          <w:tcPr>
            <w:tcW w:w="1170" w:type="dxa"/>
          </w:tcPr>
          <w:p w:rsidR="00C3581C" w:rsidRDefault="00C3581C" w:rsidP="00C3581C">
            <w:r>
              <w:t>12</w:t>
            </w:r>
          </w:p>
        </w:tc>
        <w:tc>
          <w:tcPr>
            <w:tcW w:w="1170" w:type="dxa"/>
          </w:tcPr>
          <w:p w:rsidR="00C3581C" w:rsidRDefault="00C3581C" w:rsidP="00C3581C">
            <w:r>
              <w:t>13</w:t>
            </w:r>
          </w:p>
        </w:tc>
        <w:tc>
          <w:tcPr>
            <w:tcW w:w="1017" w:type="dxa"/>
          </w:tcPr>
          <w:p w:rsidR="00C3581C" w:rsidRDefault="00C3581C" w:rsidP="00C3581C">
            <w:r>
              <w:t>14</w:t>
            </w:r>
          </w:p>
        </w:tc>
        <w:tc>
          <w:tcPr>
            <w:tcW w:w="1197" w:type="dxa"/>
          </w:tcPr>
          <w:p w:rsidR="00C3581C" w:rsidRDefault="00C3581C" w:rsidP="00C3581C">
            <w:r>
              <w:t>15</w:t>
            </w:r>
          </w:p>
        </w:tc>
        <w:tc>
          <w:tcPr>
            <w:tcW w:w="1197" w:type="dxa"/>
          </w:tcPr>
          <w:p w:rsidR="00C3581C" w:rsidRDefault="00C3581C" w:rsidP="00C3581C">
            <w:r>
              <w:t>16</w:t>
            </w:r>
          </w:p>
        </w:tc>
        <w:tc>
          <w:tcPr>
            <w:tcW w:w="1197" w:type="dxa"/>
          </w:tcPr>
          <w:p w:rsidR="00C3581C" w:rsidRDefault="00C3581C" w:rsidP="00C3581C">
            <w:r>
              <w:t>17</w:t>
            </w:r>
          </w:p>
        </w:tc>
      </w:tr>
      <w:tr w:rsidR="00C3581C" w:rsidTr="00C3581C">
        <w:tc>
          <w:tcPr>
            <w:tcW w:w="1638" w:type="dxa"/>
          </w:tcPr>
          <w:p w:rsidR="00C3581C" w:rsidRDefault="00C3581C" w:rsidP="00C3581C">
            <w:r>
              <w:t>T Mean</w:t>
            </w:r>
          </w:p>
        </w:tc>
        <w:tc>
          <w:tcPr>
            <w:tcW w:w="990" w:type="dxa"/>
          </w:tcPr>
          <w:p w:rsidR="00C3581C" w:rsidRDefault="00A64B51" w:rsidP="00C3581C">
            <w:r>
              <w:t>19.44</w:t>
            </w:r>
          </w:p>
        </w:tc>
        <w:tc>
          <w:tcPr>
            <w:tcW w:w="1170" w:type="dxa"/>
          </w:tcPr>
          <w:p w:rsidR="00C3581C" w:rsidRDefault="00A64B51" w:rsidP="00C3581C">
            <w:r>
              <w:t>24.06</w:t>
            </w:r>
          </w:p>
        </w:tc>
        <w:tc>
          <w:tcPr>
            <w:tcW w:w="1170" w:type="dxa"/>
          </w:tcPr>
          <w:p w:rsidR="00C3581C" w:rsidRDefault="00A64B51" w:rsidP="00C3581C">
            <w:r>
              <w:t>29.86</w:t>
            </w:r>
          </w:p>
        </w:tc>
        <w:tc>
          <w:tcPr>
            <w:tcW w:w="1017" w:type="dxa"/>
          </w:tcPr>
          <w:p w:rsidR="00C3581C" w:rsidRDefault="00A64B51" w:rsidP="00C3581C">
            <w:r>
              <w:t>38.64</w:t>
            </w:r>
          </w:p>
        </w:tc>
        <w:tc>
          <w:tcPr>
            <w:tcW w:w="1197" w:type="dxa"/>
          </w:tcPr>
          <w:p w:rsidR="00C3581C" w:rsidRDefault="00A64B51" w:rsidP="00C3581C">
            <w:r>
              <w:t>50.54</w:t>
            </w:r>
          </w:p>
        </w:tc>
        <w:tc>
          <w:tcPr>
            <w:tcW w:w="1197" w:type="dxa"/>
          </w:tcPr>
          <w:p w:rsidR="00C3581C" w:rsidRDefault="00A64B51" w:rsidP="00C3581C">
            <w:r>
              <w:t>77.73</w:t>
            </w:r>
          </w:p>
        </w:tc>
        <w:tc>
          <w:tcPr>
            <w:tcW w:w="1197" w:type="dxa"/>
          </w:tcPr>
          <w:p w:rsidR="00C3581C" w:rsidRDefault="00A64B51" w:rsidP="00C3581C">
            <w:r>
              <w:t>141.08</w:t>
            </w:r>
          </w:p>
        </w:tc>
      </w:tr>
      <w:tr w:rsidR="00C3581C" w:rsidTr="00C3581C">
        <w:tc>
          <w:tcPr>
            <w:tcW w:w="1638" w:type="dxa"/>
          </w:tcPr>
          <w:p w:rsidR="00C3581C" w:rsidRDefault="00C3581C" w:rsidP="00C3581C">
            <w:r>
              <w:t>T 95</w:t>
            </w:r>
            <w:r w:rsidRPr="00C3581C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990" w:type="dxa"/>
          </w:tcPr>
          <w:p w:rsidR="00C3581C" w:rsidRDefault="00A64B51" w:rsidP="00C3581C">
            <w:r>
              <w:t>42.22</w:t>
            </w:r>
          </w:p>
        </w:tc>
        <w:tc>
          <w:tcPr>
            <w:tcW w:w="1170" w:type="dxa"/>
          </w:tcPr>
          <w:p w:rsidR="00C3581C" w:rsidRDefault="00A64B51" w:rsidP="00C3581C">
            <w:r>
              <w:t>53.05</w:t>
            </w:r>
          </w:p>
        </w:tc>
        <w:tc>
          <w:tcPr>
            <w:tcW w:w="1170" w:type="dxa"/>
          </w:tcPr>
          <w:p w:rsidR="00C3581C" w:rsidRDefault="00A64B51" w:rsidP="00C3581C">
            <w:r>
              <w:t>67.11</w:t>
            </w:r>
          </w:p>
        </w:tc>
        <w:tc>
          <w:tcPr>
            <w:tcW w:w="1017" w:type="dxa"/>
          </w:tcPr>
          <w:p w:rsidR="00C3581C" w:rsidRDefault="00A64B51" w:rsidP="00C3581C">
            <w:r>
              <w:t>89.12</w:t>
            </w:r>
          </w:p>
        </w:tc>
        <w:tc>
          <w:tcPr>
            <w:tcW w:w="1197" w:type="dxa"/>
          </w:tcPr>
          <w:p w:rsidR="00C3581C" w:rsidRDefault="00A64B51" w:rsidP="00C3581C">
            <w:r>
              <w:t>126</w:t>
            </w:r>
            <w:r w:rsidR="00B56857">
              <w:t>.87</w:t>
            </w:r>
          </w:p>
        </w:tc>
        <w:tc>
          <w:tcPr>
            <w:tcW w:w="1197" w:type="dxa"/>
          </w:tcPr>
          <w:p w:rsidR="00C3581C" w:rsidRDefault="00B56857" w:rsidP="00C3581C">
            <w:r>
              <w:t>215.57</w:t>
            </w:r>
          </w:p>
        </w:tc>
        <w:tc>
          <w:tcPr>
            <w:tcW w:w="1197" w:type="dxa"/>
          </w:tcPr>
          <w:p w:rsidR="00C3581C" w:rsidRDefault="00B56857" w:rsidP="00C3581C">
            <w:r>
              <w:t>420.24</w:t>
            </w:r>
          </w:p>
        </w:tc>
      </w:tr>
      <w:tr w:rsidR="00C3581C" w:rsidTr="00C3581C">
        <w:tc>
          <w:tcPr>
            <w:tcW w:w="1638" w:type="dxa"/>
          </w:tcPr>
          <w:p w:rsidR="00C3581C" w:rsidRDefault="00C3581C" w:rsidP="00C3581C">
            <w:r>
              <w:t>Confidence Intervals</w:t>
            </w:r>
          </w:p>
        </w:tc>
        <w:tc>
          <w:tcPr>
            <w:tcW w:w="990" w:type="dxa"/>
          </w:tcPr>
          <w:p w:rsidR="00C3581C" w:rsidRDefault="00B56857" w:rsidP="00C3581C">
            <w:r>
              <w:t>(19.12, 19.77</w:t>
            </w:r>
            <w:r w:rsidR="00C3581C">
              <w:t>)</w:t>
            </w:r>
          </w:p>
        </w:tc>
        <w:tc>
          <w:tcPr>
            <w:tcW w:w="1170" w:type="dxa"/>
          </w:tcPr>
          <w:p w:rsidR="00C3581C" w:rsidRDefault="00B56857" w:rsidP="00C3581C">
            <w:r>
              <w:t>(23.56, 24.55</w:t>
            </w:r>
            <w:r w:rsidR="00C3581C">
              <w:t>)</w:t>
            </w:r>
          </w:p>
        </w:tc>
        <w:tc>
          <w:tcPr>
            <w:tcW w:w="1170" w:type="dxa"/>
          </w:tcPr>
          <w:p w:rsidR="00C3581C" w:rsidRDefault="00B56857" w:rsidP="00C3581C">
            <w:r>
              <w:t>(29.09, 30.62</w:t>
            </w:r>
            <w:r w:rsidR="00C3581C">
              <w:t>)</w:t>
            </w:r>
          </w:p>
        </w:tc>
        <w:tc>
          <w:tcPr>
            <w:tcW w:w="1017" w:type="dxa"/>
          </w:tcPr>
          <w:p w:rsidR="00C3581C" w:rsidRDefault="00B56857" w:rsidP="00C3581C">
            <w:r>
              <w:t>(37.37, 39.92</w:t>
            </w:r>
            <w:r w:rsidR="00C3581C">
              <w:t>)</w:t>
            </w:r>
          </w:p>
        </w:tc>
        <w:tc>
          <w:tcPr>
            <w:tcW w:w="1197" w:type="dxa"/>
          </w:tcPr>
          <w:p w:rsidR="00C3581C" w:rsidRDefault="00B56857" w:rsidP="00C3581C">
            <w:r>
              <w:t>(48.01, 53.07</w:t>
            </w:r>
            <w:r w:rsidR="00C3581C">
              <w:t>)</w:t>
            </w:r>
          </w:p>
        </w:tc>
        <w:tc>
          <w:tcPr>
            <w:tcW w:w="1197" w:type="dxa"/>
          </w:tcPr>
          <w:p w:rsidR="00C3581C" w:rsidRDefault="00B56857" w:rsidP="00C3581C">
            <w:r>
              <w:t>(70.86, 84.59</w:t>
            </w:r>
            <w:r w:rsidR="00C3581C">
              <w:t>)</w:t>
            </w:r>
          </w:p>
        </w:tc>
        <w:tc>
          <w:tcPr>
            <w:tcW w:w="1197" w:type="dxa"/>
          </w:tcPr>
          <w:p w:rsidR="00C3581C" w:rsidRDefault="00B56857" w:rsidP="00C3581C">
            <w:r>
              <w:t>(126.52, 155.65</w:t>
            </w:r>
            <w:r w:rsidR="00C3581C">
              <w:t>)</w:t>
            </w:r>
          </w:p>
        </w:tc>
      </w:tr>
    </w:tbl>
    <w:p w:rsidR="00C3581C" w:rsidRDefault="00C3581C" w:rsidP="00C3581C"/>
    <w:p w:rsidR="00C3581C" w:rsidRPr="00A64B51" w:rsidRDefault="00A64B51" w:rsidP="00C3581C">
      <w:pPr>
        <w:rPr>
          <w:b/>
        </w:rPr>
      </w:pPr>
      <w:r>
        <w:rPr>
          <w:b/>
        </w:rPr>
        <w:t>T Mean</w:t>
      </w:r>
    </w:p>
    <w:p w:rsidR="00845416" w:rsidRDefault="00A64B51" w:rsidP="00C3581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19.44, 24.06, 29.86, 38.64, 50.54, 77.73, 141.08</w:t>
      </w:r>
    </w:p>
    <w:p w:rsidR="00B505E6" w:rsidRPr="00B56857" w:rsidRDefault="00B505E6" w:rsidP="00C3581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943600" cy="2924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_mean_vs_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1C" w:rsidRPr="00B56857" w:rsidRDefault="00B56857" w:rsidP="00C3581C">
      <w:pPr>
        <w:rPr>
          <w:b/>
        </w:rPr>
      </w:pPr>
      <w:r>
        <w:rPr>
          <w:b/>
        </w:rPr>
        <w:t>T 95th Percentile</w:t>
      </w:r>
    </w:p>
    <w:p w:rsidR="00845416" w:rsidRDefault="00A64B51" w:rsidP="00C3581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42.2</w:t>
      </w:r>
      <w:r w:rsidR="00B56857">
        <w:rPr>
          <w:rFonts w:ascii="Consolas" w:hAnsi="Consolas" w:cs="Consolas"/>
          <w:color w:val="000000"/>
          <w:sz w:val="20"/>
          <w:szCs w:val="20"/>
        </w:rPr>
        <w:t>2, 53.05, 67.11, 89.12, 126.87</w:t>
      </w:r>
      <w:r>
        <w:rPr>
          <w:rFonts w:ascii="Consolas" w:hAnsi="Consolas" w:cs="Consolas"/>
          <w:color w:val="000000"/>
          <w:sz w:val="20"/>
          <w:szCs w:val="20"/>
        </w:rPr>
        <w:t>, 215.57</w:t>
      </w:r>
      <w:r w:rsidR="00B56857">
        <w:rPr>
          <w:rFonts w:ascii="Consolas" w:hAnsi="Consolas" w:cs="Consolas"/>
          <w:color w:val="000000"/>
          <w:sz w:val="20"/>
          <w:szCs w:val="20"/>
        </w:rPr>
        <w:t>, 420.23</w:t>
      </w:r>
    </w:p>
    <w:p w:rsidR="00B505E6" w:rsidRPr="00B56857" w:rsidRDefault="00B505E6" w:rsidP="00C3581C">
      <w:r>
        <w:rPr>
          <w:noProof/>
        </w:rPr>
        <w:lastRenderedPageBreak/>
        <w:drawing>
          <wp:inline distT="0" distB="0" distL="0" distR="0">
            <wp:extent cx="5943600" cy="2924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ct95_vs_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57" w:rsidRDefault="00B56857" w:rsidP="00C3581C">
      <w:pPr>
        <w:rPr>
          <w:b/>
        </w:rPr>
      </w:pPr>
      <w:r>
        <w:rPr>
          <w:b/>
        </w:rPr>
        <w:t>Confidence Interval of T</w:t>
      </w:r>
    </w:p>
    <w:p w:rsidR="00C3581C" w:rsidRDefault="0079746B" w:rsidP="00C3581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(19.12</w:t>
      </w:r>
      <w:r w:rsidR="00B56857">
        <w:rPr>
          <w:rFonts w:ascii="Consolas" w:hAnsi="Consolas" w:cs="Consolas"/>
          <w:color w:val="000000"/>
          <w:sz w:val="20"/>
          <w:szCs w:val="20"/>
        </w:rPr>
        <w:t>, 19.77), (23.56, 24.55), (29.09, 30.62), (37.37, 39.92), (48.01, 53.07), (70.86, 84.59), (126.52, 155.65)</w:t>
      </w:r>
    </w:p>
    <w:p w:rsidR="00B505E6" w:rsidRDefault="00B505E6" w:rsidP="00C3581C">
      <w:pPr>
        <w:rPr>
          <w:b/>
        </w:rPr>
      </w:pPr>
      <w:r>
        <w:rPr>
          <w:b/>
          <w:noProof/>
        </w:rPr>
        <w:drawing>
          <wp:inline distT="0" distB="0" distL="0" distR="0">
            <wp:extent cx="5562600" cy="417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fi_vs_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6B" w:rsidRPr="0079746B" w:rsidRDefault="0079746B" w:rsidP="00C3581C">
      <w:pPr>
        <w:rPr>
          <w:b/>
        </w:rPr>
      </w:pPr>
    </w:p>
    <w:p w:rsidR="00AC23AD" w:rsidRDefault="00AC23AD" w:rsidP="00C3581C">
      <w:r w:rsidRPr="00793D27">
        <w:rPr>
          <w:b/>
          <w:color w:val="FF0000"/>
        </w:rPr>
        <w:t>Comments</w:t>
      </w:r>
      <w:r w:rsidRPr="00845416">
        <w:rPr>
          <w:b/>
        </w:rPr>
        <w:t>:</w:t>
      </w:r>
      <w:r>
        <w:rPr>
          <w:b/>
        </w:rPr>
        <w:t xml:space="preserve"> </w:t>
      </w:r>
      <w:r w:rsidRPr="00AC23AD">
        <w:t>With increasing Service time, t</w:t>
      </w:r>
      <w:r>
        <w:t xml:space="preserve">he </w:t>
      </w:r>
      <w:r w:rsidR="004B2A8E">
        <w:t xml:space="preserve">mean value of T </w:t>
      </w:r>
      <w:r>
        <w:t>value inc</w:t>
      </w:r>
      <w:r w:rsidR="00793D27">
        <w:t>reases because the device lives</w:t>
      </w:r>
      <w:r>
        <w:t xml:space="preserve"> in the system for a longer duration. The </w:t>
      </w:r>
      <w:r w:rsidR="004B2A8E">
        <w:t>95</w:t>
      </w:r>
      <w:r w:rsidR="004B2A8E" w:rsidRPr="004B2A8E">
        <w:rPr>
          <w:vertAlign w:val="superscript"/>
        </w:rPr>
        <w:t>th</w:t>
      </w:r>
      <w:r w:rsidR="004B2A8E">
        <w:t xml:space="preserve"> percentile value and </w:t>
      </w:r>
      <w:r>
        <w:t>confidence interval also increase with increasing value of service time.</w:t>
      </w:r>
      <w:r w:rsidR="009258FF">
        <w:t xml:space="preserve"> As the service time increases, we see that the mean time a device stays in the system is increasing but as shown below the total time </w:t>
      </w:r>
      <w:r w:rsidR="004B2A8E">
        <w:t>remains almost same. It implies the standard deviation of the values with increased service time will be more and hence its confidence interval (and 95</w:t>
      </w:r>
      <w:r w:rsidR="004B2A8E" w:rsidRPr="004B2A8E">
        <w:rPr>
          <w:vertAlign w:val="superscript"/>
        </w:rPr>
        <w:t>th</w:t>
      </w:r>
      <w:r w:rsidR="004B2A8E">
        <w:t xml:space="preserve"> percentile value) also grows.</w:t>
      </w:r>
    </w:p>
    <w:p w:rsidR="00793D27" w:rsidRPr="00AC23AD" w:rsidRDefault="00793D27" w:rsidP="00C3581C">
      <w:pPr>
        <w:rPr>
          <w:b/>
        </w:rPr>
      </w:pPr>
    </w:p>
    <w:p w:rsidR="00C3581C" w:rsidRDefault="00C3581C" w:rsidP="00C3581C">
      <w:r>
        <w:t>------------------------------------------------------------------------------------------------------------------------------------------</w:t>
      </w:r>
    </w:p>
    <w:p w:rsidR="00C3581C" w:rsidRDefault="00C3581C" w:rsidP="00C3581C"/>
    <w:p w:rsidR="00C3581C" w:rsidRPr="00C3581C" w:rsidRDefault="00C3581C" w:rsidP="00C3581C">
      <w:pPr>
        <w:rPr>
          <w:b/>
        </w:rPr>
      </w:pPr>
      <w:r w:rsidRPr="00C3581C">
        <w:rPr>
          <w:b/>
        </w:rPr>
        <w:t>Part 2) Mean and 95th percentile and their confidence interval of D</w:t>
      </w:r>
    </w:p>
    <w:p w:rsidR="00C3581C" w:rsidRPr="00C3581C" w:rsidRDefault="00C3581C" w:rsidP="00C3581C">
      <w:pPr>
        <w:rPr>
          <w:b/>
        </w:rPr>
      </w:pPr>
      <w:r w:rsidRPr="00C3581C">
        <w:rPr>
          <w:b/>
        </w:rPr>
        <w:t>(Answer)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990"/>
        <w:gridCol w:w="1170"/>
        <w:gridCol w:w="1170"/>
        <w:gridCol w:w="1017"/>
        <w:gridCol w:w="1197"/>
        <w:gridCol w:w="1197"/>
        <w:gridCol w:w="1197"/>
      </w:tblGrid>
      <w:tr w:rsidR="00C3581C" w:rsidTr="00EB4FA2">
        <w:tc>
          <w:tcPr>
            <w:tcW w:w="1638" w:type="dxa"/>
          </w:tcPr>
          <w:p w:rsidR="00C3581C" w:rsidRDefault="00C3581C" w:rsidP="00EB4FA2">
            <w:r>
              <w:t>Service  Time-&gt;</w:t>
            </w:r>
          </w:p>
        </w:tc>
        <w:tc>
          <w:tcPr>
            <w:tcW w:w="990" w:type="dxa"/>
          </w:tcPr>
          <w:p w:rsidR="00C3581C" w:rsidRDefault="00C3581C" w:rsidP="00EB4FA2">
            <w:r>
              <w:t>11</w:t>
            </w:r>
          </w:p>
        </w:tc>
        <w:tc>
          <w:tcPr>
            <w:tcW w:w="1170" w:type="dxa"/>
          </w:tcPr>
          <w:p w:rsidR="00C3581C" w:rsidRDefault="00C3581C" w:rsidP="00EB4FA2">
            <w:r>
              <w:t>12</w:t>
            </w:r>
          </w:p>
        </w:tc>
        <w:tc>
          <w:tcPr>
            <w:tcW w:w="1170" w:type="dxa"/>
          </w:tcPr>
          <w:p w:rsidR="00C3581C" w:rsidRDefault="00C3581C" w:rsidP="00EB4FA2">
            <w:r>
              <w:t>13</w:t>
            </w:r>
          </w:p>
        </w:tc>
        <w:tc>
          <w:tcPr>
            <w:tcW w:w="1017" w:type="dxa"/>
          </w:tcPr>
          <w:p w:rsidR="00C3581C" w:rsidRDefault="00C3581C" w:rsidP="00EB4FA2">
            <w:r>
              <w:t>14</w:t>
            </w:r>
          </w:p>
        </w:tc>
        <w:tc>
          <w:tcPr>
            <w:tcW w:w="1197" w:type="dxa"/>
          </w:tcPr>
          <w:p w:rsidR="00C3581C" w:rsidRDefault="00C3581C" w:rsidP="00EB4FA2">
            <w:r>
              <w:t>15</w:t>
            </w:r>
          </w:p>
        </w:tc>
        <w:tc>
          <w:tcPr>
            <w:tcW w:w="1197" w:type="dxa"/>
          </w:tcPr>
          <w:p w:rsidR="00C3581C" w:rsidRDefault="00C3581C" w:rsidP="00EB4FA2">
            <w:r>
              <w:t>16</w:t>
            </w:r>
          </w:p>
        </w:tc>
        <w:tc>
          <w:tcPr>
            <w:tcW w:w="1197" w:type="dxa"/>
          </w:tcPr>
          <w:p w:rsidR="00C3581C" w:rsidRDefault="00C3581C" w:rsidP="00EB4FA2">
            <w:r>
              <w:t>17</w:t>
            </w:r>
          </w:p>
        </w:tc>
      </w:tr>
      <w:tr w:rsidR="00C3581C" w:rsidTr="00EB4FA2">
        <w:tc>
          <w:tcPr>
            <w:tcW w:w="1638" w:type="dxa"/>
          </w:tcPr>
          <w:p w:rsidR="00C3581C" w:rsidRDefault="00C3581C" w:rsidP="00EB4FA2">
            <w:r>
              <w:t>D Mean</w:t>
            </w:r>
          </w:p>
        </w:tc>
        <w:tc>
          <w:tcPr>
            <w:tcW w:w="990" w:type="dxa"/>
          </w:tcPr>
          <w:p w:rsidR="00C3581C" w:rsidRDefault="00A64B51" w:rsidP="00EB4FA2">
            <w:r>
              <w:t>19.57</w:t>
            </w:r>
          </w:p>
        </w:tc>
        <w:tc>
          <w:tcPr>
            <w:tcW w:w="1170" w:type="dxa"/>
          </w:tcPr>
          <w:p w:rsidR="00C3581C" w:rsidRDefault="00A64B51" w:rsidP="00EB4FA2">
            <w:r>
              <w:t>24.15</w:t>
            </w:r>
          </w:p>
        </w:tc>
        <w:tc>
          <w:tcPr>
            <w:tcW w:w="1170" w:type="dxa"/>
          </w:tcPr>
          <w:p w:rsidR="00C3581C" w:rsidRDefault="00A64B51" w:rsidP="00EB4FA2">
            <w:r>
              <w:t>32.07</w:t>
            </w:r>
          </w:p>
        </w:tc>
        <w:tc>
          <w:tcPr>
            <w:tcW w:w="1017" w:type="dxa"/>
          </w:tcPr>
          <w:p w:rsidR="00C3581C" w:rsidRDefault="00A64B51" w:rsidP="00EB4FA2">
            <w:r>
              <w:t>38.32</w:t>
            </w:r>
          </w:p>
        </w:tc>
        <w:tc>
          <w:tcPr>
            <w:tcW w:w="1197" w:type="dxa"/>
          </w:tcPr>
          <w:p w:rsidR="00C3581C" w:rsidRDefault="00A64B51" w:rsidP="00EB4FA2">
            <w:r>
              <w:t>50.97</w:t>
            </w:r>
          </w:p>
        </w:tc>
        <w:tc>
          <w:tcPr>
            <w:tcW w:w="1197" w:type="dxa"/>
          </w:tcPr>
          <w:p w:rsidR="00C3581C" w:rsidRDefault="00A64B51" w:rsidP="00EB4FA2">
            <w:r>
              <w:t>74.73</w:t>
            </w:r>
          </w:p>
        </w:tc>
        <w:tc>
          <w:tcPr>
            <w:tcW w:w="1197" w:type="dxa"/>
          </w:tcPr>
          <w:p w:rsidR="00C3581C" w:rsidRDefault="00A64B51" w:rsidP="00EB4FA2">
            <w:r>
              <w:t>130.60</w:t>
            </w:r>
          </w:p>
        </w:tc>
      </w:tr>
      <w:tr w:rsidR="00C3581C" w:rsidTr="00EB4FA2">
        <w:tc>
          <w:tcPr>
            <w:tcW w:w="1638" w:type="dxa"/>
          </w:tcPr>
          <w:p w:rsidR="00C3581C" w:rsidRDefault="00C3581C" w:rsidP="00EB4FA2">
            <w:r>
              <w:t>D 95</w:t>
            </w:r>
            <w:r w:rsidRPr="00C3581C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990" w:type="dxa"/>
          </w:tcPr>
          <w:p w:rsidR="00C3581C" w:rsidRDefault="00B56857" w:rsidP="00EB4FA2">
            <w:r>
              <w:t>36.48</w:t>
            </w:r>
          </w:p>
        </w:tc>
        <w:tc>
          <w:tcPr>
            <w:tcW w:w="1170" w:type="dxa"/>
          </w:tcPr>
          <w:p w:rsidR="00C3581C" w:rsidRDefault="00B56857" w:rsidP="00EB4FA2">
            <w:r>
              <w:t>56.21</w:t>
            </w:r>
          </w:p>
        </w:tc>
        <w:tc>
          <w:tcPr>
            <w:tcW w:w="1170" w:type="dxa"/>
          </w:tcPr>
          <w:p w:rsidR="00C3581C" w:rsidRDefault="00B56857" w:rsidP="00EB4FA2">
            <w:r>
              <w:t>89.74</w:t>
            </w:r>
          </w:p>
        </w:tc>
        <w:tc>
          <w:tcPr>
            <w:tcW w:w="1017" w:type="dxa"/>
          </w:tcPr>
          <w:p w:rsidR="00C3581C" w:rsidRDefault="00B56857" w:rsidP="00EB4FA2">
            <w:r>
              <w:t>113.80</w:t>
            </w:r>
          </w:p>
        </w:tc>
        <w:tc>
          <w:tcPr>
            <w:tcW w:w="1197" w:type="dxa"/>
          </w:tcPr>
          <w:p w:rsidR="00C3581C" w:rsidRDefault="00B56857" w:rsidP="00EB4FA2">
            <w:r>
              <w:t>162.94</w:t>
            </w:r>
          </w:p>
        </w:tc>
        <w:tc>
          <w:tcPr>
            <w:tcW w:w="1197" w:type="dxa"/>
          </w:tcPr>
          <w:p w:rsidR="00C3581C" w:rsidRDefault="00B56857" w:rsidP="00EB4FA2">
            <w:r>
              <w:t>247.52</w:t>
            </w:r>
          </w:p>
        </w:tc>
        <w:tc>
          <w:tcPr>
            <w:tcW w:w="1197" w:type="dxa"/>
          </w:tcPr>
          <w:p w:rsidR="00C3581C" w:rsidRDefault="00B56857" w:rsidP="00EB4FA2">
            <w:r>
              <w:t>440.08</w:t>
            </w:r>
          </w:p>
        </w:tc>
      </w:tr>
      <w:tr w:rsidR="00C3581C" w:rsidTr="00EB4FA2">
        <w:tc>
          <w:tcPr>
            <w:tcW w:w="1638" w:type="dxa"/>
          </w:tcPr>
          <w:p w:rsidR="00C3581C" w:rsidRDefault="00C3581C" w:rsidP="00EB4FA2">
            <w:r>
              <w:t>Confidence Intervals</w:t>
            </w:r>
          </w:p>
        </w:tc>
        <w:tc>
          <w:tcPr>
            <w:tcW w:w="990" w:type="dxa"/>
          </w:tcPr>
          <w:p w:rsidR="00C3581C" w:rsidRDefault="0079746B" w:rsidP="00EB4FA2">
            <w:r>
              <w:t>(17.42, 21.73</w:t>
            </w:r>
            <w:r w:rsidR="00C3581C">
              <w:t>)</w:t>
            </w:r>
          </w:p>
        </w:tc>
        <w:tc>
          <w:tcPr>
            <w:tcW w:w="1170" w:type="dxa"/>
          </w:tcPr>
          <w:p w:rsidR="00C3581C" w:rsidRDefault="0079746B" w:rsidP="00EB4FA2">
            <w:r>
              <w:t>(21.93, 26.38</w:t>
            </w:r>
            <w:r w:rsidR="00C3581C">
              <w:t>)</w:t>
            </w:r>
          </w:p>
        </w:tc>
        <w:tc>
          <w:tcPr>
            <w:tcW w:w="1170" w:type="dxa"/>
          </w:tcPr>
          <w:p w:rsidR="00C3581C" w:rsidRDefault="0079746B" w:rsidP="00EB4FA2">
            <w:r>
              <w:t>(28.14, 36.00</w:t>
            </w:r>
            <w:r w:rsidR="00C3581C">
              <w:t>)</w:t>
            </w:r>
          </w:p>
        </w:tc>
        <w:tc>
          <w:tcPr>
            <w:tcW w:w="1017" w:type="dxa"/>
          </w:tcPr>
          <w:p w:rsidR="00C3581C" w:rsidRDefault="0079746B" w:rsidP="00EB4FA2">
            <w:r>
              <w:t>(35.73, 40.91</w:t>
            </w:r>
            <w:r w:rsidR="00C3581C">
              <w:t>)</w:t>
            </w:r>
          </w:p>
        </w:tc>
        <w:tc>
          <w:tcPr>
            <w:tcW w:w="1197" w:type="dxa"/>
          </w:tcPr>
          <w:p w:rsidR="00C3581C" w:rsidRDefault="0079746B" w:rsidP="00EB4FA2">
            <w:r>
              <w:t>(46.73, 55.22</w:t>
            </w:r>
            <w:r w:rsidR="00C3581C">
              <w:t>)</w:t>
            </w:r>
          </w:p>
        </w:tc>
        <w:tc>
          <w:tcPr>
            <w:tcW w:w="1197" w:type="dxa"/>
          </w:tcPr>
          <w:p w:rsidR="00C3581C" w:rsidRDefault="00845416" w:rsidP="0079746B">
            <w:r>
              <w:t>(</w:t>
            </w:r>
            <w:r w:rsidR="0079746B">
              <w:t>66.13, 83.34</w:t>
            </w:r>
            <w:r>
              <w:t>)</w:t>
            </w:r>
          </w:p>
        </w:tc>
        <w:tc>
          <w:tcPr>
            <w:tcW w:w="1197" w:type="dxa"/>
          </w:tcPr>
          <w:p w:rsidR="00C3581C" w:rsidRDefault="0079746B" w:rsidP="00EB4FA2">
            <w:r>
              <w:t>(116.25, 144.95</w:t>
            </w:r>
            <w:r w:rsidR="00845416">
              <w:t>)</w:t>
            </w:r>
          </w:p>
        </w:tc>
      </w:tr>
    </w:tbl>
    <w:p w:rsidR="00C3581C" w:rsidRDefault="00C3581C" w:rsidP="00C3581C"/>
    <w:p w:rsidR="0079746B" w:rsidRDefault="00C3581C" w:rsidP="00C3581C">
      <w:r w:rsidRPr="00845416">
        <w:rPr>
          <w:b/>
        </w:rPr>
        <w:t>D Mean</w:t>
      </w:r>
      <w:r>
        <w:t xml:space="preserve"> </w:t>
      </w:r>
    </w:p>
    <w:p w:rsidR="00AC23AD" w:rsidRDefault="00A64B51" w:rsidP="00C3581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19.57, 24.15, 32.07, 38.32, 50.97, 74.73, 130.60</w:t>
      </w:r>
    </w:p>
    <w:p w:rsidR="00B505E6" w:rsidRPr="00B56857" w:rsidRDefault="00B505E6" w:rsidP="00C3581C">
      <w:r>
        <w:rPr>
          <w:noProof/>
        </w:rPr>
        <w:lastRenderedPageBreak/>
        <w:drawing>
          <wp:inline distT="0" distB="0" distL="0" distR="0">
            <wp:extent cx="5686425" cy="36434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_mean_vs_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379" cy="364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1C" w:rsidRDefault="00845416" w:rsidP="00C3581C">
      <w:r w:rsidRPr="00845416">
        <w:rPr>
          <w:b/>
        </w:rPr>
        <w:t>D 95</w:t>
      </w:r>
      <w:r w:rsidRPr="00845416">
        <w:rPr>
          <w:b/>
          <w:vertAlign w:val="superscript"/>
        </w:rPr>
        <w:t>th</w:t>
      </w:r>
      <w:r w:rsidRPr="00845416">
        <w:rPr>
          <w:b/>
        </w:rPr>
        <w:t xml:space="preserve"> Percentile</w:t>
      </w:r>
      <w:r>
        <w:t xml:space="preserve"> </w:t>
      </w:r>
    </w:p>
    <w:p w:rsidR="00845416" w:rsidRDefault="00B56857" w:rsidP="00C3581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36.48, 56.21, 89.74, 113.80, 162.93, 247.52, 440.08</w:t>
      </w:r>
    </w:p>
    <w:p w:rsidR="00B505E6" w:rsidRDefault="00B505E6" w:rsidP="00C3581C">
      <w:r>
        <w:rPr>
          <w:noProof/>
        </w:rPr>
        <w:drawing>
          <wp:inline distT="0" distB="0" distL="0" distR="0">
            <wp:extent cx="5895975" cy="3343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Pct_vs_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A8E" w:rsidRDefault="004B2A8E" w:rsidP="00C3581C">
      <w:pPr>
        <w:rPr>
          <w:b/>
        </w:rPr>
      </w:pPr>
    </w:p>
    <w:p w:rsidR="00C3581C" w:rsidRPr="00845416" w:rsidRDefault="00C3581C" w:rsidP="00C3581C">
      <w:pPr>
        <w:rPr>
          <w:b/>
        </w:rPr>
      </w:pPr>
      <w:r w:rsidRPr="00845416">
        <w:rPr>
          <w:b/>
        </w:rPr>
        <w:lastRenderedPageBreak/>
        <w:t>C</w:t>
      </w:r>
      <w:r w:rsidR="00845416">
        <w:rPr>
          <w:b/>
        </w:rPr>
        <w:t>onfidence Interval</w:t>
      </w:r>
      <w:r w:rsidR="00845416" w:rsidRPr="00845416">
        <w:rPr>
          <w:b/>
        </w:rPr>
        <w:t xml:space="preserve"> of</w:t>
      </w:r>
      <w:r w:rsidRPr="00845416">
        <w:rPr>
          <w:b/>
        </w:rPr>
        <w:t xml:space="preserve"> D</w:t>
      </w:r>
    </w:p>
    <w:p w:rsidR="00845416" w:rsidRDefault="0079746B" w:rsidP="00C3581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(17.42, 21.73), (21.93, 26.38), (28.14, 36.00), (35.73, 40.91), (46.73, 55.22), (66.13, 83.34), (116.25, 144.95)</w:t>
      </w:r>
    </w:p>
    <w:p w:rsidR="00B505E6" w:rsidRDefault="00B505E6" w:rsidP="00C3581C">
      <w:r>
        <w:rPr>
          <w:noProof/>
        </w:rPr>
        <w:drawing>
          <wp:inline distT="0" distB="0" distL="0" distR="0">
            <wp:extent cx="5953125" cy="30878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_cfi_vs_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741" cy="309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AD" w:rsidRDefault="00AC23AD" w:rsidP="00C3581C"/>
    <w:p w:rsidR="00AC23AD" w:rsidRPr="00AC23AD" w:rsidRDefault="00AC23AD" w:rsidP="00C3581C">
      <w:pPr>
        <w:rPr>
          <w:b/>
        </w:rPr>
      </w:pPr>
      <w:r w:rsidRPr="00AC23AD">
        <w:rPr>
          <w:b/>
        </w:rPr>
        <w:t>Comments:</w:t>
      </w:r>
      <w:r>
        <w:rPr>
          <w:b/>
        </w:rPr>
        <w:t xml:space="preserve"> </w:t>
      </w:r>
      <w:r w:rsidRPr="00AC23AD">
        <w:t>With increasing Service time, t</w:t>
      </w:r>
      <w:r>
        <w:t>he mean</w:t>
      </w:r>
      <w:r w:rsidR="004B2A8E">
        <w:t xml:space="preserve"> value of D </w:t>
      </w:r>
      <w:r>
        <w:t xml:space="preserve">increases because with increasing service time, the device has a higher probability of getting rejected from entering the service buffer on arrival. The confidence interval </w:t>
      </w:r>
      <w:r w:rsidR="004B2A8E">
        <w:t>and 95</w:t>
      </w:r>
      <w:r w:rsidR="004B2A8E" w:rsidRPr="004B2A8E">
        <w:rPr>
          <w:vertAlign w:val="superscript"/>
        </w:rPr>
        <w:t>th</w:t>
      </w:r>
      <w:r w:rsidR="004B2A8E">
        <w:t xml:space="preserve"> percentile </w:t>
      </w:r>
      <w:r>
        <w:t>also increases with increasing value of service time.</w:t>
      </w:r>
      <w:r w:rsidR="004B2A8E">
        <w:t xml:space="preserve"> Since the mean is increased but as shown below, the total time it takes for 1000 device certifications remains </w:t>
      </w:r>
      <w:r w:rsidR="00354554">
        <w:t xml:space="preserve">almost </w:t>
      </w:r>
      <w:r w:rsidR="004B2A8E">
        <w:t>same and hence the variance (thus, standard deviation) also increases. So the confidence interval also grows.</w:t>
      </w:r>
    </w:p>
    <w:p w:rsidR="00845416" w:rsidRPr="00A0281D" w:rsidRDefault="00C3581C" w:rsidP="00C3581C">
      <w:r>
        <w:t>-------------------------------------------------------------------------------------------------------------------------------</w:t>
      </w:r>
      <w:r w:rsidR="00845416">
        <w:t>-----------</w:t>
      </w:r>
    </w:p>
    <w:p w:rsidR="00C3581C" w:rsidRPr="00845416" w:rsidRDefault="00C3581C" w:rsidP="00C3581C">
      <w:pPr>
        <w:rPr>
          <w:b/>
        </w:rPr>
      </w:pPr>
      <w:r w:rsidRPr="00845416">
        <w:rPr>
          <w:b/>
        </w:rPr>
        <w:t>Part 3) Mean and confidence interval of P</w:t>
      </w:r>
    </w:p>
    <w:p w:rsidR="00C3581C" w:rsidRDefault="00845416" w:rsidP="00C3581C">
      <w:pPr>
        <w:rPr>
          <w:b/>
        </w:rPr>
      </w:pPr>
      <w:r w:rsidRPr="00845416">
        <w:rPr>
          <w:b/>
        </w:rPr>
        <w:t>(Answer)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174"/>
        <w:gridCol w:w="1174"/>
        <w:gridCol w:w="1174"/>
        <w:gridCol w:w="1174"/>
        <w:gridCol w:w="1180"/>
        <w:gridCol w:w="1180"/>
        <w:gridCol w:w="1180"/>
      </w:tblGrid>
      <w:tr w:rsidR="00845416" w:rsidTr="00EB4FA2">
        <w:tc>
          <w:tcPr>
            <w:tcW w:w="1638" w:type="dxa"/>
          </w:tcPr>
          <w:p w:rsidR="00845416" w:rsidRDefault="00845416" w:rsidP="00EB4FA2">
            <w:r>
              <w:t>Service  Time-&gt;</w:t>
            </w:r>
          </w:p>
        </w:tc>
        <w:tc>
          <w:tcPr>
            <w:tcW w:w="990" w:type="dxa"/>
          </w:tcPr>
          <w:p w:rsidR="00845416" w:rsidRDefault="00845416" w:rsidP="00EB4FA2">
            <w:r>
              <w:t>11</w:t>
            </w:r>
          </w:p>
        </w:tc>
        <w:tc>
          <w:tcPr>
            <w:tcW w:w="1170" w:type="dxa"/>
          </w:tcPr>
          <w:p w:rsidR="00845416" w:rsidRDefault="00845416" w:rsidP="00EB4FA2">
            <w:r>
              <w:t>12</w:t>
            </w:r>
          </w:p>
        </w:tc>
        <w:tc>
          <w:tcPr>
            <w:tcW w:w="1170" w:type="dxa"/>
          </w:tcPr>
          <w:p w:rsidR="00845416" w:rsidRDefault="00845416" w:rsidP="00EB4FA2">
            <w:r>
              <w:t>13</w:t>
            </w:r>
          </w:p>
        </w:tc>
        <w:tc>
          <w:tcPr>
            <w:tcW w:w="1017" w:type="dxa"/>
          </w:tcPr>
          <w:p w:rsidR="00845416" w:rsidRDefault="00845416" w:rsidP="00EB4FA2">
            <w:r>
              <w:t>14</w:t>
            </w:r>
          </w:p>
        </w:tc>
        <w:tc>
          <w:tcPr>
            <w:tcW w:w="1197" w:type="dxa"/>
          </w:tcPr>
          <w:p w:rsidR="00845416" w:rsidRDefault="00845416" w:rsidP="00EB4FA2">
            <w:r>
              <w:t>15</w:t>
            </w:r>
          </w:p>
        </w:tc>
        <w:tc>
          <w:tcPr>
            <w:tcW w:w="1197" w:type="dxa"/>
          </w:tcPr>
          <w:p w:rsidR="00845416" w:rsidRDefault="00845416" w:rsidP="00EB4FA2">
            <w:r>
              <w:t>16</w:t>
            </w:r>
          </w:p>
        </w:tc>
        <w:tc>
          <w:tcPr>
            <w:tcW w:w="1197" w:type="dxa"/>
          </w:tcPr>
          <w:p w:rsidR="00845416" w:rsidRDefault="00845416" w:rsidP="00EB4FA2">
            <w:r>
              <w:t>17</w:t>
            </w:r>
          </w:p>
        </w:tc>
      </w:tr>
      <w:tr w:rsidR="00845416" w:rsidTr="00EB4FA2">
        <w:tc>
          <w:tcPr>
            <w:tcW w:w="1638" w:type="dxa"/>
          </w:tcPr>
          <w:p w:rsidR="00845416" w:rsidRDefault="00845416" w:rsidP="00EB4FA2">
            <w:r>
              <w:t>P Mean</w:t>
            </w:r>
          </w:p>
        </w:tc>
        <w:tc>
          <w:tcPr>
            <w:tcW w:w="990" w:type="dxa"/>
          </w:tcPr>
          <w:p w:rsidR="00845416" w:rsidRDefault="00B56857" w:rsidP="00EB4FA2">
            <w:r>
              <w:t>18056.23</w:t>
            </w:r>
          </w:p>
        </w:tc>
        <w:tc>
          <w:tcPr>
            <w:tcW w:w="1170" w:type="dxa"/>
          </w:tcPr>
          <w:p w:rsidR="00845416" w:rsidRDefault="00B56857" w:rsidP="00EB4FA2">
            <w:r>
              <w:t>17934.83</w:t>
            </w:r>
          </w:p>
        </w:tc>
        <w:tc>
          <w:tcPr>
            <w:tcW w:w="1170" w:type="dxa"/>
          </w:tcPr>
          <w:p w:rsidR="00845416" w:rsidRDefault="00B56857" w:rsidP="00EB4FA2">
            <w:r>
              <w:t>18060.59</w:t>
            </w:r>
          </w:p>
        </w:tc>
        <w:tc>
          <w:tcPr>
            <w:tcW w:w="1017" w:type="dxa"/>
          </w:tcPr>
          <w:p w:rsidR="00845416" w:rsidRDefault="00B56857" w:rsidP="00EB4FA2">
            <w:r>
              <w:t>17999.19</w:t>
            </w:r>
          </w:p>
        </w:tc>
        <w:tc>
          <w:tcPr>
            <w:tcW w:w="1197" w:type="dxa"/>
          </w:tcPr>
          <w:p w:rsidR="00845416" w:rsidRDefault="00B56857" w:rsidP="00EB4FA2">
            <w:r>
              <w:t>18128.20</w:t>
            </w:r>
          </w:p>
        </w:tc>
        <w:tc>
          <w:tcPr>
            <w:tcW w:w="1197" w:type="dxa"/>
          </w:tcPr>
          <w:p w:rsidR="00845416" w:rsidRDefault="00B56857" w:rsidP="00EB4FA2">
            <w:r>
              <w:t>18049.80</w:t>
            </w:r>
          </w:p>
        </w:tc>
        <w:tc>
          <w:tcPr>
            <w:tcW w:w="1197" w:type="dxa"/>
          </w:tcPr>
          <w:p w:rsidR="00845416" w:rsidRDefault="00B56857" w:rsidP="00EB4FA2">
            <w:r>
              <w:t>18086.33</w:t>
            </w:r>
          </w:p>
        </w:tc>
      </w:tr>
      <w:tr w:rsidR="00845416" w:rsidTr="00EB4FA2">
        <w:tc>
          <w:tcPr>
            <w:tcW w:w="1638" w:type="dxa"/>
          </w:tcPr>
          <w:p w:rsidR="00845416" w:rsidRDefault="00845416" w:rsidP="00EB4FA2">
            <w:r>
              <w:t>Confidence Intervals</w:t>
            </w:r>
          </w:p>
        </w:tc>
        <w:tc>
          <w:tcPr>
            <w:tcW w:w="990" w:type="dxa"/>
          </w:tcPr>
          <w:p w:rsidR="00845416" w:rsidRDefault="0079746B" w:rsidP="00EB4FA2">
            <w:r>
              <w:t>(17887.36, 18225.10</w:t>
            </w:r>
            <w:r w:rsidR="00845416">
              <w:t>)</w:t>
            </w:r>
          </w:p>
        </w:tc>
        <w:tc>
          <w:tcPr>
            <w:tcW w:w="1170" w:type="dxa"/>
          </w:tcPr>
          <w:p w:rsidR="00845416" w:rsidRDefault="00845416" w:rsidP="0079746B">
            <w:r>
              <w:t>(</w:t>
            </w:r>
            <w:r w:rsidR="0079746B">
              <w:t>17786.20, 18083.46</w:t>
            </w:r>
            <w:r>
              <w:t>)</w:t>
            </w:r>
          </w:p>
        </w:tc>
        <w:tc>
          <w:tcPr>
            <w:tcW w:w="1170" w:type="dxa"/>
          </w:tcPr>
          <w:p w:rsidR="00845416" w:rsidRDefault="00845416" w:rsidP="0079746B">
            <w:r>
              <w:t>(</w:t>
            </w:r>
            <w:r w:rsidR="0079746B">
              <w:t>17929.95, 18191.23</w:t>
            </w:r>
            <w:r>
              <w:t>)</w:t>
            </w:r>
          </w:p>
        </w:tc>
        <w:tc>
          <w:tcPr>
            <w:tcW w:w="1017" w:type="dxa"/>
          </w:tcPr>
          <w:p w:rsidR="00845416" w:rsidRDefault="00845416" w:rsidP="0079746B">
            <w:r>
              <w:t>(</w:t>
            </w:r>
            <w:r w:rsidR="0079746B">
              <w:t>17842.54, 18155.84</w:t>
            </w:r>
            <w:r>
              <w:t>)</w:t>
            </w:r>
          </w:p>
        </w:tc>
        <w:tc>
          <w:tcPr>
            <w:tcW w:w="1197" w:type="dxa"/>
          </w:tcPr>
          <w:p w:rsidR="00845416" w:rsidRDefault="0079746B" w:rsidP="00EB4FA2">
            <w:r>
              <w:t>(17973.68, 18282.72</w:t>
            </w:r>
            <w:r w:rsidR="00845416">
              <w:t>)</w:t>
            </w:r>
          </w:p>
        </w:tc>
        <w:tc>
          <w:tcPr>
            <w:tcW w:w="1197" w:type="dxa"/>
          </w:tcPr>
          <w:p w:rsidR="00845416" w:rsidRDefault="00845416" w:rsidP="0079746B">
            <w:r>
              <w:t>(</w:t>
            </w:r>
            <w:r w:rsidR="0079746B">
              <w:t>17889.96, 18209.64</w:t>
            </w:r>
            <w:r>
              <w:t>)</w:t>
            </w:r>
          </w:p>
        </w:tc>
        <w:tc>
          <w:tcPr>
            <w:tcW w:w="1197" w:type="dxa"/>
          </w:tcPr>
          <w:p w:rsidR="00845416" w:rsidRDefault="0079746B" w:rsidP="00EB4FA2">
            <w:r>
              <w:t>(17947.80, 18224.85</w:t>
            </w:r>
            <w:r w:rsidR="00845416">
              <w:t>)</w:t>
            </w:r>
          </w:p>
        </w:tc>
      </w:tr>
    </w:tbl>
    <w:p w:rsidR="00845416" w:rsidRPr="00845416" w:rsidRDefault="00845416" w:rsidP="00C3581C">
      <w:pPr>
        <w:rPr>
          <w:b/>
        </w:rPr>
      </w:pPr>
    </w:p>
    <w:p w:rsidR="004B2A8E" w:rsidRDefault="004B2A8E" w:rsidP="00C3581C">
      <w:pPr>
        <w:rPr>
          <w:b/>
        </w:rPr>
      </w:pPr>
    </w:p>
    <w:p w:rsidR="00C3581C" w:rsidRDefault="00C3581C" w:rsidP="00C3581C">
      <w:proofErr w:type="spellStart"/>
      <w:r w:rsidRPr="00845416">
        <w:rPr>
          <w:b/>
        </w:rPr>
        <w:lastRenderedPageBreak/>
        <w:t>Total_Time</w:t>
      </w:r>
      <w:proofErr w:type="spellEnd"/>
      <w:r w:rsidR="00845416">
        <w:t xml:space="preserve"> </w:t>
      </w:r>
      <w:r w:rsidRPr="00845416">
        <w:rPr>
          <w:b/>
        </w:rPr>
        <w:t>(P)</w:t>
      </w:r>
      <w:r w:rsidR="00B56857">
        <w:t xml:space="preserve"> </w:t>
      </w:r>
    </w:p>
    <w:p w:rsidR="00845416" w:rsidRDefault="00B56857" w:rsidP="00C3581C">
      <w:r>
        <w:rPr>
          <w:rFonts w:ascii="Consolas" w:hAnsi="Consolas" w:cs="Consolas"/>
          <w:color w:val="000000"/>
          <w:sz w:val="20"/>
          <w:szCs w:val="20"/>
        </w:rPr>
        <w:t>18056.23, 17934.83, 18060.59, 17999.19, 18128.20, 18049.80, 18086.33</w:t>
      </w:r>
    </w:p>
    <w:p w:rsidR="00C3581C" w:rsidRDefault="00C3581C" w:rsidP="0079746B">
      <w:r w:rsidRPr="00845416">
        <w:rPr>
          <w:b/>
        </w:rPr>
        <w:t>Confidence Interval of P</w:t>
      </w:r>
    </w:p>
    <w:p w:rsidR="0079746B" w:rsidRDefault="0079746B" w:rsidP="00C3581C">
      <w:r>
        <w:rPr>
          <w:rFonts w:ascii="Consolas" w:hAnsi="Consolas" w:cs="Consolas"/>
          <w:color w:val="000000"/>
          <w:sz w:val="20"/>
          <w:szCs w:val="20"/>
        </w:rPr>
        <w:t>(17887.36, 18225.10), (17786.20, 18083.46), (17929.95, 18191.23), (17842.54, 18155.84), (17973.68, 18282.72), (17889.96, 18209.63), (17947.80, 18224.85)</w:t>
      </w:r>
    </w:p>
    <w:p w:rsidR="00501038" w:rsidRDefault="00AC23AD" w:rsidP="00C3581C">
      <w:r w:rsidRPr="00BD60BB">
        <w:rPr>
          <w:b/>
          <w:color w:val="FF0000"/>
        </w:rPr>
        <w:t>Comments</w:t>
      </w:r>
      <w:r>
        <w:t>: Total Time however, does not change much with increasing the service time</w:t>
      </w:r>
      <w:r w:rsidR="00BD60BB">
        <w:t xml:space="preserve"> (for service values 11-17 s)</w:t>
      </w:r>
      <w:r w:rsidR="0079746B">
        <w:t>. It almost has the same value</w:t>
      </w:r>
      <w:r>
        <w:t>.</w:t>
      </w:r>
    </w:p>
    <w:p w:rsidR="00A0281D" w:rsidRDefault="00A0281D" w:rsidP="00C3581C"/>
    <w:p w:rsidR="00A0281D" w:rsidRDefault="00A0281D" w:rsidP="00C3581C">
      <w:r>
        <w:rPr>
          <w:noProof/>
        </w:rPr>
        <w:drawing>
          <wp:inline distT="0" distB="0" distL="0" distR="0" wp14:anchorId="7BAC2242" wp14:editId="3A45BEF0">
            <wp:extent cx="5572125" cy="25241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3581C" w:rsidRDefault="00C3581C" w:rsidP="00C3581C">
      <w:r>
        <w:t>-----------------------------------------------------------------------------------------------------------------------------------------</w:t>
      </w:r>
    </w:p>
    <w:p w:rsidR="00C3581C" w:rsidRDefault="00C3581C" w:rsidP="00C3581C">
      <w:r>
        <w:t>------------------------------------------------------------------------------------------------------------------------------------------</w:t>
      </w:r>
    </w:p>
    <w:p w:rsidR="00C3581C" w:rsidRDefault="00C3581C" w:rsidP="00C3581C"/>
    <w:p w:rsidR="001179AD" w:rsidRDefault="001179AD" w:rsidP="00C3581C"/>
    <w:p w:rsidR="001179AD" w:rsidRDefault="001179AD" w:rsidP="00C3581C"/>
    <w:p w:rsidR="001179AD" w:rsidRDefault="001179AD" w:rsidP="00C3581C"/>
    <w:p w:rsidR="00354554" w:rsidRDefault="00354554" w:rsidP="00C3581C"/>
    <w:p w:rsidR="00354554" w:rsidRDefault="00354554" w:rsidP="00C3581C"/>
    <w:p w:rsidR="00354554" w:rsidRDefault="00354554" w:rsidP="00C3581C"/>
    <w:p w:rsidR="00C3581C" w:rsidRDefault="00C3581C" w:rsidP="00C3581C"/>
    <w:p w:rsidR="001F39DA" w:rsidRPr="00AC23AD" w:rsidRDefault="00C3581C" w:rsidP="00C3581C">
      <w:pPr>
        <w:rPr>
          <w:b/>
        </w:rPr>
      </w:pPr>
      <w:r w:rsidRPr="00AC23AD">
        <w:rPr>
          <w:b/>
        </w:rPr>
        <w:lastRenderedPageBreak/>
        <w:t>Task 2</w:t>
      </w:r>
    </w:p>
    <w:p w:rsidR="00AC23AD" w:rsidRPr="00AC23AD" w:rsidRDefault="00AC23AD" w:rsidP="00C3581C">
      <w:pPr>
        <w:rPr>
          <w:b/>
        </w:rPr>
      </w:pPr>
      <w:r w:rsidRPr="00AC23AD">
        <w:rPr>
          <w:b/>
        </w:rPr>
        <w:t>Investigate the effect of varying B on all the above statistics for s =16. Provide numerical results in tables and/or curves and comments on your findings.</w:t>
      </w:r>
    </w:p>
    <w:p w:rsidR="00AC23AD" w:rsidRDefault="00AC23AD" w:rsidP="00C3581C">
      <w:pPr>
        <w:rPr>
          <w:b/>
        </w:rPr>
      </w:pPr>
      <w:r w:rsidRPr="00AC23AD">
        <w:rPr>
          <w:b/>
        </w:rPr>
        <w:t>(Answer)</w:t>
      </w:r>
    </w:p>
    <w:p w:rsidR="007B7089" w:rsidRDefault="007B7089" w:rsidP="00C3581C">
      <w:pPr>
        <w:rPr>
          <w:b/>
        </w:rPr>
      </w:pPr>
      <w:r>
        <w:rPr>
          <w:b/>
        </w:rPr>
        <w:t>The buffer size is varied from 5 to 200 at an interval of 5 and the plots for the statistics value is presented here</w:t>
      </w:r>
    </w:p>
    <w:p w:rsidR="007B7089" w:rsidRDefault="007B7089" w:rsidP="007B708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 – mean</w:t>
      </w:r>
    </w:p>
    <w:p w:rsidR="007B7089" w:rsidRDefault="007B7089" w:rsidP="007B708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9248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eanB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CE" w:rsidRDefault="009632CE" w:rsidP="007B7089">
      <w:pPr>
        <w:pStyle w:val="ListParagraph"/>
        <w:rPr>
          <w:b/>
        </w:rPr>
      </w:pPr>
      <w:r w:rsidRPr="00C27F48">
        <w:rPr>
          <w:b/>
          <w:color w:val="FF0000"/>
        </w:rPr>
        <w:t>Comments</w:t>
      </w:r>
      <w:r>
        <w:rPr>
          <w:b/>
        </w:rPr>
        <w:t>: With increasing buffer size, the mean time for T does not change significantly.</w:t>
      </w:r>
      <w:r w:rsidR="00354554">
        <w:rPr>
          <w:b/>
        </w:rPr>
        <w:t xml:space="preserve"> It shoes T mean values are independent of buffer size</w:t>
      </w:r>
    </w:p>
    <w:p w:rsidR="009632CE" w:rsidRDefault="009632CE" w:rsidP="007B7089">
      <w:pPr>
        <w:pStyle w:val="ListParagraph"/>
        <w:rPr>
          <w:b/>
        </w:rPr>
      </w:pPr>
    </w:p>
    <w:p w:rsidR="009632CE" w:rsidRDefault="009632CE" w:rsidP="007B7089">
      <w:pPr>
        <w:pStyle w:val="ListParagraph"/>
        <w:rPr>
          <w:b/>
        </w:rPr>
      </w:pPr>
      <w:r>
        <w:rPr>
          <w:b/>
        </w:rPr>
        <w:t>Value of T mean for 39 observations (Buffer size = 5, 10, 15</w:t>
      </w:r>
      <w:proofErr w:type="gramStart"/>
      <w:r>
        <w:rPr>
          <w:b/>
        </w:rPr>
        <w:t>, …,</w:t>
      </w:r>
      <w:proofErr w:type="gramEnd"/>
      <w:r>
        <w:rPr>
          <w:b/>
        </w:rPr>
        <w:t xml:space="preserve"> 195)</w:t>
      </w:r>
    </w:p>
    <w:p w:rsidR="009632CE" w:rsidRDefault="009632CE" w:rsidP="007B7089">
      <w:pPr>
        <w:pStyle w:val="ListParagraph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77.27039240000005, 78.82693140000008, 79.53955279999997, 78.70644040000003, 78.50846520000007, 79.12801300000007, 75.30656839999999, 76.7492170000001, 79.01480019999987, 75.94008719999967, 71.03101640000001, 74.89547379999998, 72.37851100000006, 80.02217940000008, 73.98503459999995, 75.46642559999995, 76.05227619999998, 79.55458919999975, 80.91615639999993, 80.94189359999993, 76.62259360000012, 77.86981859999999, 76.88664639999969, 78.74144219999985, 76.24768959999986, 81.29118500000014, 75.2185096, 73.56626260000009, 79.43589680000018, 76.45258579999994, 79.75474479999983, 77.12906040000011, 81.85251920000002, 76.19826800000021, 75.16240399999994, 73.39763060000017, 77.3788082000001, 79.57021419999982, 77.6610075999998</w:t>
      </w:r>
    </w:p>
    <w:p w:rsidR="009632CE" w:rsidRDefault="009632CE" w:rsidP="007B7089">
      <w:pPr>
        <w:pStyle w:val="ListParagraph"/>
        <w:rPr>
          <w:b/>
        </w:rPr>
      </w:pPr>
    </w:p>
    <w:p w:rsidR="00C27F48" w:rsidRDefault="00C27F48" w:rsidP="007B7089">
      <w:pPr>
        <w:pStyle w:val="ListParagraph"/>
        <w:rPr>
          <w:b/>
        </w:rPr>
      </w:pPr>
    </w:p>
    <w:p w:rsidR="00C27F48" w:rsidRDefault="00C27F48" w:rsidP="007B7089">
      <w:pPr>
        <w:pStyle w:val="ListParagraph"/>
        <w:rPr>
          <w:b/>
        </w:rPr>
      </w:pPr>
    </w:p>
    <w:p w:rsidR="00C27F48" w:rsidRDefault="00C27F48" w:rsidP="007B7089">
      <w:pPr>
        <w:pStyle w:val="ListParagraph"/>
        <w:rPr>
          <w:b/>
        </w:rPr>
      </w:pPr>
    </w:p>
    <w:p w:rsidR="00354554" w:rsidRDefault="00354554" w:rsidP="007B7089">
      <w:pPr>
        <w:pStyle w:val="ListParagraph"/>
        <w:rPr>
          <w:b/>
        </w:rPr>
      </w:pPr>
    </w:p>
    <w:p w:rsidR="007B7089" w:rsidRDefault="007B7089" w:rsidP="007B708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 – 95 percentile</w:t>
      </w:r>
    </w:p>
    <w:p w:rsidR="007B7089" w:rsidRDefault="007B7089" w:rsidP="007B708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9248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ctB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CE" w:rsidRDefault="009632CE" w:rsidP="009632CE">
      <w:pPr>
        <w:pStyle w:val="ListParagraph"/>
        <w:rPr>
          <w:b/>
        </w:rPr>
      </w:pPr>
    </w:p>
    <w:p w:rsidR="009632CE" w:rsidRDefault="009632CE" w:rsidP="009632CE">
      <w:pPr>
        <w:pStyle w:val="ListParagraph"/>
        <w:rPr>
          <w:b/>
        </w:rPr>
      </w:pPr>
      <w:r w:rsidRPr="00C27F48">
        <w:rPr>
          <w:b/>
          <w:color w:val="FF0000"/>
        </w:rPr>
        <w:t>Comments</w:t>
      </w:r>
      <w:r>
        <w:rPr>
          <w:b/>
        </w:rPr>
        <w:t>: With increasing buffer size, the 95</w:t>
      </w:r>
      <w:r w:rsidRPr="009632CE">
        <w:rPr>
          <w:b/>
          <w:vertAlign w:val="superscript"/>
        </w:rPr>
        <w:t>th</w:t>
      </w:r>
      <w:r>
        <w:rPr>
          <w:b/>
        </w:rPr>
        <w:t xml:space="preserve"> Percentile for T does not change significantly.</w:t>
      </w:r>
      <w:r w:rsidR="00354554">
        <w:rPr>
          <w:b/>
        </w:rPr>
        <w:t xml:space="preserve"> It shows T 95</w:t>
      </w:r>
      <w:r w:rsidR="00354554" w:rsidRPr="00354554">
        <w:rPr>
          <w:b/>
          <w:vertAlign w:val="superscript"/>
        </w:rPr>
        <w:t>th</w:t>
      </w:r>
      <w:r w:rsidR="00354554">
        <w:rPr>
          <w:b/>
        </w:rPr>
        <w:t xml:space="preserve"> percentile value is independent of buffer size</w:t>
      </w:r>
    </w:p>
    <w:p w:rsidR="009632CE" w:rsidRDefault="009632CE" w:rsidP="009632CE">
      <w:pPr>
        <w:pStyle w:val="ListParagraph"/>
        <w:rPr>
          <w:b/>
        </w:rPr>
      </w:pPr>
    </w:p>
    <w:p w:rsidR="009632CE" w:rsidRDefault="009632CE" w:rsidP="009632CE">
      <w:pPr>
        <w:pStyle w:val="ListParagraph"/>
        <w:rPr>
          <w:b/>
        </w:rPr>
      </w:pPr>
      <w:r>
        <w:rPr>
          <w:b/>
        </w:rPr>
        <w:t>Value of T 95</w:t>
      </w:r>
      <w:r w:rsidRPr="009632CE">
        <w:rPr>
          <w:b/>
          <w:vertAlign w:val="superscript"/>
        </w:rPr>
        <w:t>th</w:t>
      </w:r>
      <w:r>
        <w:rPr>
          <w:b/>
        </w:rPr>
        <w:t xml:space="preserve"> Percentile for 39 observations (</w:t>
      </w:r>
      <w:r w:rsidR="00A7730A">
        <w:rPr>
          <w:b/>
        </w:rPr>
        <w:t xml:space="preserve">Buffer = </w:t>
      </w:r>
      <w:r>
        <w:rPr>
          <w:b/>
        </w:rPr>
        <w:t xml:space="preserve">5, 10, </w:t>
      </w:r>
      <w:proofErr w:type="gramStart"/>
      <w:r>
        <w:rPr>
          <w:b/>
        </w:rPr>
        <w:t>15</w:t>
      </w:r>
      <w:r w:rsidR="00EC34D1">
        <w:rPr>
          <w:b/>
        </w:rPr>
        <w:t>, …</w:t>
      </w:r>
      <w:r>
        <w:rPr>
          <w:b/>
        </w:rPr>
        <w:t>195</w:t>
      </w:r>
      <w:proofErr w:type="gramEnd"/>
      <w:r>
        <w:rPr>
          <w:b/>
        </w:rPr>
        <w:t>)</w:t>
      </w:r>
    </w:p>
    <w:p w:rsidR="009632CE" w:rsidRDefault="009632CE" w:rsidP="009632CE">
      <w:pPr>
        <w:pStyle w:val="ListParagraph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213.89799999999991, 196.05719999999982, 199.53319999999971, 197.93059999999994, 189.01219999999944, 203.61740000000037, 191.30160000000041, 197.81119999999984, 205.18819999999906, 193.66879999999946, 175.4466000000001, 195.22280000000021, 179.27320000000043, 198.18179999999924, 184.79639999999964, 189.89620000000005, 200.68979999999905, 197.59339999999949, 212.90559999999942, 207.60739999999845, 190.75280000000097, 196.66739999999922, 198.21479999999858, 195.08660000000006, 200.62580000000031, 208.98520000000076, 189.12460000000092, 186.78280000000061, 198.15860000000131, 189.3581999999997, 202.86579999999984, 192.30499999999975, 211.55940000000061, 189.10380000000055, 191.5437999999991, 188.46000000000095, 191.51080000000024, 205.64299999999986, 195.67180000000016</w:t>
      </w:r>
      <w:r>
        <w:rPr>
          <w:b/>
        </w:rPr>
        <w:t xml:space="preserve"> </w:t>
      </w:r>
    </w:p>
    <w:p w:rsidR="009632CE" w:rsidRDefault="009632CE" w:rsidP="009632CE">
      <w:pPr>
        <w:pStyle w:val="ListParagraph"/>
        <w:rPr>
          <w:b/>
        </w:rPr>
      </w:pPr>
    </w:p>
    <w:p w:rsidR="007B7089" w:rsidRDefault="007B7089" w:rsidP="007B708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 – Confidence Interval</w:t>
      </w:r>
    </w:p>
    <w:p w:rsidR="007B7089" w:rsidRDefault="007B7089" w:rsidP="007B7089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9248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fiB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D1" w:rsidRDefault="00EC34D1" w:rsidP="00EC34D1">
      <w:pPr>
        <w:pStyle w:val="ListParagraph"/>
        <w:rPr>
          <w:b/>
        </w:rPr>
      </w:pPr>
      <w:r w:rsidRPr="00C27F48">
        <w:rPr>
          <w:b/>
          <w:color w:val="FF0000"/>
        </w:rPr>
        <w:t>Comments</w:t>
      </w:r>
      <w:r>
        <w:rPr>
          <w:b/>
        </w:rPr>
        <w:t>: With increasing buffer size, the CFI for T does not change significantly.</w:t>
      </w:r>
    </w:p>
    <w:p w:rsidR="00EC34D1" w:rsidRDefault="00EC34D1" w:rsidP="00EC34D1">
      <w:pPr>
        <w:pStyle w:val="ListParagraph"/>
        <w:rPr>
          <w:b/>
        </w:rPr>
      </w:pPr>
    </w:p>
    <w:p w:rsidR="00EC34D1" w:rsidRDefault="00EC34D1" w:rsidP="00EC34D1">
      <w:pPr>
        <w:pStyle w:val="ListParagraph"/>
        <w:rPr>
          <w:b/>
        </w:rPr>
      </w:pPr>
      <w:r>
        <w:rPr>
          <w:b/>
        </w:rPr>
        <w:t>Value of T CFI for 39 observations (</w:t>
      </w:r>
      <w:r w:rsidR="00A7730A">
        <w:rPr>
          <w:b/>
        </w:rPr>
        <w:t xml:space="preserve">Buffer = </w:t>
      </w:r>
      <w:r>
        <w:rPr>
          <w:b/>
        </w:rPr>
        <w:t xml:space="preserve">5, 10, </w:t>
      </w:r>
      <w:proofErr w:type="gramStart"/>
      <w:r>
        <w:rPr>
          <w:b/>
        </w:rPr>
        <w:t>15, …195</w:t>
      </w:r>
      <w:proofErr w:type="gramEnd"/>
      <w:r>
        <w:rPr>
          <w:b/>
        </w:rPr>
        <w:t>)</w:t>
      </w:r>
    </w:p>
    <w:p w:rsidR="00EC34D1" w:rsidRDefault="00EC34D1" w:rsidP="00EC34D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(71.761558521144977, 82.77922627885512), (70.529347734574003, 87.124515065426152), (72.892299581533521, 86.186806018466413), (71.723464488689544, 85.689416311310524), (72.511249990199417, 84.505680409800732), (71.981977531791983, 86.27404846820815), (69.472625725784738, 81.14051107421524), (71.183017778751662, 82.31541622124854), (72.21473055564401, 85.814869844355727), (70.59032325164344, 81.289851148355893), (65.517277636634461, 76.544755163365565), (69.570198581400021, 80.220749018599932), (67.276778242606099, 77.480243757394021), (71.461219832212805, 88.583138967787363), (68.4760045518927, 79.494064648107198), (69.666668685275624, 81.266182514724278), (70.508731195068364, 81.595821204931596), (73.851407593392167, 85.25777080660734), (72.850373944470888, 88.981938855528981), (71.218408171978353, 90.665379028021505), (68.946960054609676, 84.298227145390555), (70.048633396395047, 85.691003803604929), (71.342009741575907, 82.431283058423475), (71.891043032486408, 85.591841367513297), (70.529817625036031, 81.965561574963687), (75.162268132501552, 87.42010186749873), (70.163038001511765, 80.273981198488244), (68.579678584121808, 78.552846615878366), (70.852101077020194, 88.019692522980165), (70.5862830295804, 82.318888570419475), (72.830928911876725, 86.678560688122928), (72.456570599340651, 81.801550200659577), (73.090448825116013, 90.614589574884022), (70.338563587219596, 82.057972412780828), (70.156496720560995, 80.168311279438882), (68.719528306470437, 78.075732893529903), (70.179784167019719, 84.577832232980469), (71.396594284368334, 87.743834115631316), (71.102722180128765, 84.219293019870847)</w:t>
      </w:r>
    </w:p>
    <w:p w:rsidR="00EC34D1" w:rsidRDefault="00EC34D1" w:rsidP="00EC34D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EC34D1" w:rsidRDefault="00EC34D1" w:rsidP="00EC34D1">
      <w:pPr>
        <w:pStyle w:val="ListParagraph"/>
        <w:rPr>
          <w:b/>
        </w:rPr>
      </w:pPr>
    </w:p>
    <w:p w:rsidR="00EC34D1" w:rsidRDefault="00EC34D1" w:rsidP="007B7089">
      <w:pPr>
        <w:pStyle w:val="ListParagraph"/>
        <w:rPr>
          <w:b/>
        </w:rPr>
      </w:pPr>
    </w:p>
    <w:p w:rsidR="007B7089" w:rsidRDefault="007B7089" w:rsidP="007B708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 – mean</w:t>
      </w:r>
    </w:p>
    <w:p w:rsidR="007B7089" w:rsidRDefault="007B7089" w:rsidP="007B708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9248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meanB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D1" w:rsidRDefault="00EC34D1" w:rsidP="00EC34D1">
      <w:pPr>
        <w:pStyle w:val="ListParagraph"/>
        <w:rPr>
          <w:b/>
        </w:rPr>
      </w:pPr>
      <w:r w:rsidRPr="00C27F48">
        <w:rPr>
          <w:b/>
          <w:color w:val="FF0000"/>
        </w:rPr>
        <w:t>Comments</w:t>
      </w:r>
      <w:r>
        <w:rPr>
          <w:b/>
        </w:rPr>
        <w:t>: With increasing buffer size, the mean for</w:t>
      </w:r>
      <w:r w:rsidR="00C27F48">
        <w:rPr>
          <w:b/>
        </w:rPr>
        <w:t xml:space="preserve"> D gradually comes down to zero because when the buffer size is more, the devices start getting in the buffer rather than getting rejected and hence, the d values comes to zero</w:t>
      </w:r>
    </w:p>
    <w:p w:rsidR="00EC34D1" w:rsidRDefault="00EC34D1" w:rsidP="00EC34D1">
      <w:pPr>
        <w:pStyle w:val="ListParagraph"/>
        <w:rPr>
          <w:b/>
        </w:rPr>
      </w:pPr>
    </w:p>
    <w:p w:rsidR="00EC34D1" w:rsidRDefault="00EC34D1" w:rsidP="00EC34D1">
      <w:pPr>
        <w:pStyle w:val="ListParagraph"/>
        <w:rPr>
          <w:b/>
        </w:rPr>
      </w:pPr>
      <w:r>
        <w:rPr>
          <w:b/>
        </w:rPr>
        <w:t>Value of D mean for 39 observations (</w:t>
      </w:r>
      <w:r w:rsidR="00A7730A">
        <w:rPr>
          <w:b/>
        </w:rPr>
        <w:t xml:space="preserve">Buffer = </w:t>
      </w:r>
      <w:r>
        <w:rPr>
          <w:b/>
        </w:rPr>
        <w:t xml:space="preserve">5, 10, </w:t>
      </w:r>
      <w:proofErr w:type="gramStart"/>
      <w:r>
        <w:rPr>
          <w:b/>
        </w:rPr>
        <w:t>15, …195</w:t>
      </w:r>
      <w:proofErr w:type="gramEnd"/>
      <w:r>
        <w:rPr>
          <w:b/>
        </w:rPr>
        <w:t>)</w:t>
      </w:r>
    </w:p>
    <w:p w:rsidR="00EC34D1" w:rsidRDefault="00EC34D1" w:rsidP="007B7089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74.61219726753892, 60.18670013429085, 29.77118593362781, 13.140273820408138, 1.4958533333333306, 1.4404158730158343, 0.0, 0.0, 0.0, 0.0, 0.0, 0.0, 0.0, 0.0, 0.0, 0.0, 0.0, 0.0, 0.0, 0.0, 0.0, 0.0, 0.0, 0.0, 0.0, 0.0, 0.0, 0.0, 0.0, 0.0, 0.0, 0.0, 0.0, 0.0, 0.0, 0.0, 0.0, 0.0, 0.0</w:t>
      </w:r>
    </w:p>
    <w:p w:rsidR="00EC34D1" w:rsidRDefault="00EC34D1" w:rsidP="007B7089">
      <w:pPr>
        <w:pStyle w:val="ListParagraph"/>
        <w:rPr>
          <w:b/>
        </w:rPr>
      </w:pPr>
    </w:p>
    <w:p w:rsidR="00C27F48" w:rsidRDefault="00C27F48" w:rsidP="007B7089">
      <w:pPr>
        <w:pStyle w:val="ListParagraph"/>
        <w:rPr>
          <w:b/>
        </w:rPr>
      </w:pPr>
    </w:p>
    <w:p w:rsidR="00C27F48" w:rsidRDefault="00C27F48" w:rsidP="007B7089">
      <w:pPr>
        <w:pStyle w:val="ListParagraph"/>
        <w:rPr>
          <w:b/>
        </w:rPr>
      </w:pPr>
    </w:p>
    <w:p w:rsidR="00C27F48" w:rsidRDefault="00C27F48" w:rsidP="007B7089">
      <w:pPr>
        <w:pStyle w:val="ListParagraph"/>
        <w:rPr>
          <w:b/>
        </w:rPr>
      </w:pPr>
    </w:p>
    <w:p w:rsidR="00C27F48" w:rsidRDefault="00C27F48" w:rsidP="007B7089">
      <w:pPr>
        <w:pStyle w:val="ListParagraph"/>
        <w:rPr>
          <w:b/>
        </w:rPr>
      </w:pPr>
    </w:p>
    <w:p w:rsidR="00C27F48" w:rsidRDefault="00C27F48" w:rsidP="007B7089">
      <w:pPr>
        <w:pStyle w:val="ListParagraph"/>
        <w:rPr>
          <w:b/>
        </w:rPr>
      </w:pPr>
    </w:p>
    <w:p w:rsidR="00C27F48" w:rsidRDefault="00C27F48" w:rsidP="007B7089">
      <w:pPr>
        <w:pStyle w:val="ListParagraph"/>
        <w:rPr>
          <w:b/>
        </w:rPr>
      </w:pPr>
    </w:p>
    <w:p w:rsidR="00C27F48" w:rsidRDefault="00C27F48" w:rsidP="007B7089">
      <w:pPr>
        <w:pStyle w:val="ListParagraph"/>
        <w:rPr>
          <w:b/>
        </w:rPr>
      </w:pPr>
    </w:p>
    <w:p w:rsidR="00C27F48" w:rsidRDefault="00C27F48" w:rsidP="007B7089">
      <w:pPr>
        <w:pStyle w:val="ListParagraph"/>
        <w:rPr>
          <w:b/>
        </w:rPr>
      </w:pPr>
    </w:p>
    <w:p w:rsidR="00C27F48" w:rsidRDefault="00C27F48" w:rsidP="007B7089">
      <w:pPr>
        <w:pStyle w:val="ListParagraph"/>
        <w:rPr>
          <w:b/>
        </w:rPr>
      </w:pPr>
    </w:p>
    <w:p w:rsidR="00C27F48" w:rsidRDefault="00C27F48" w:rsidP="007B7089">
      <w:pPr>
        <w:pStyle w:val="ListParagraph"/>
        <w:rPr>
          <w:b/>
        </w:rPr>
      </w:pPr>
    </w:p>
    <w:p w:rsidR="00C27F48" w:rsidRDefault="00C27F48" w:rsidP="007B7089">
      <w:pPr>
        <w:pStyle w:val="ListParagraph"/>
        <w:rPr>
          <w:b/>
        </w:rPr>
      </w:pPr>
    </w:p>
    <w:p w:rsidR="00C27F48" w:rsidRDefault="00C27F48" w:rsidP="007B7089">
      <w:pPr>
        <w:pStyle w:val="ListParagraph"/>
        <w:rPr>
          <w:b/>
        </w:rPr>
      </w:pPr>
    </w:p>
    <w:p w:rsidR="00C27F48" w:rsidRDefault="00C27F48" w:rsidP="007B7089">
      <w:pPr>
        <w:pStyle w:val="ListParagraph"/>
        <w:rPr>
          <w:b/>
        </w:rPr>
      </w:pPr>
    </w:p>
    <w:p w:rsidR="00C27F48" w:rsidRDefault="00C27F48" w:rsidP="007B7089">
      <w:pPr>
        <w:pStyle w:val="ListParagraph"/>
        <w:rPr>
          <w:b/>
        </w:rPr>
      </w:pPr>
    </w:p>
    <w:p w:rsidR="007B7089" w:rsidRDefault="007B7089" w:rsidP="007B708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D – 95 percentile</w:t>
      </w:r>
    </w:p>
    <w:p w:rsidR="007B7089" w:rsidRDefault="007B7089" w:rsidP="007B708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9248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pctB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D1" w:rsidRDefault="00EC34D1" w:rsidP="00EC34D1">
      <w:pPr>
        <w:pStyle w:val="ListParagraph"/>
        <w:rPr>
          <w:b/>
        </w:rPr>
      </w:pPr>
      <w:r w:rsidRPr="00C27F48">
        <w:rPr>
          <w:b/>
          <w:color w:val="FF0000"/>
        </w:rPr>
        <w:t>Comments</w:t>
      </w:r>
      <w:r>
        <w:rPr>
          <w:b/>
        </w:rPr>
        <w:t>: With increasing buffer size, the 95</w:t>
      </w:r>
      <w:r w:rsidRPr="00EC34D1">
        <w:rPr>
          <w:b/>
          <w:vertAlign w:val="superscript"/>
        </w:rPr>
        <w:t>th</w:t>
      </w:r>
      <w:r>
        <w:rPr>
          <w:b/>
        </w:rPr>
        <w:t xml:space="preserve"> Perc</w:t>
      </w:r>
      <w:r w:rsidR="00C27F48">
        <w:rPr>
          <w:b/>
        </w:rPr>
        <w:t>entile for D comes down to zero as with increased buffer size, the retransmissions count decreases</w:t>
      </w:r>
    </w:p>
    <w:p w:rsidR="00EC34D1" w:rsidRDefault="00EC34D1" w:rsidP="00EC34D1">
      <w:pPr>
        <w:pStyle w:val="ListParagraph"/>
        <w:rPr>
          <w:b/>
        </w:rPr>
      </w:pPr>
    </w:p>
    <w:p w:rsidR="00EC34D1" w:rsidRDefault="00EC34D1" w:rsidP="00EC34D1">
      <w:pPr>
        <w:pStyle w:val="ListParagraph"/>
        <w:rPr>
          <w:b/>
        </w:rPr>
      </w:pPr>
      <w:r>
        <w:rPr>
          <w:b/>
        </w:rPr>
        <w:t>Value of D 95</w:t>
      </w:r>
      <w:r w:rsidRPr="00EC34D1">
        <w:rPr>
          <w:b/>
          <w:vertAlign w:val="superscript"/>
        </w:rPr>
        <w:t>th</w:t>
      </w:r>
      <w:r>
        <w:rPr>
          <w:b/>
        </w:rPr>
        <w:t xml:space="preserve"> Percentile for 39 observations (</w:t>
      </w:r>
      <w:r w:rsidR="00A7730A">
        <w:rPr>
          <w:b/>
        </w:rPr>
        <w:t>Buffer =</w:t>
      </w:r>
      <w:r>
        <w:rPr>
          <w:b/>
        </w:rPr>
        <w:t xml:space="preserve">5, 10, </w:t>
      </w:r>
      <w:proofErr w:type="gramStart"/>
      <w:r>
        <w:rPr>
          <w:b/>
        </w:rPr>
        <w:t>15, …</w:t>
      </w:r>
      <w:proofErr w:type="gramEnd"/>
      <w:r w:rsidR="00C27F48">
        <w:rPr>
          <w:b/>
        </w:rPr>
        <w:t xml:space="preserve"> </w:t>
      </w:r>
      <w:r>
        <w:rPr>
          <w:b/>
        </w:rPr>
        <w:t>195)</w:t>
      </w:r>
    </w:p>
    <w:p w:rsidR="00EC34D1" w:rsidRDefault="00EC34D1" w:rsidP="00EC34D1">
      <w:pPr>
        <w:pStyle w:val="ListParagraph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251.87740000000053, 179.16700000000009, 76.622799999999913, 28.1796000000002, 3.141800000000003, 3.3423999999999796, 0.0, 0.0, 0.0, 0.0, 0.0, 0.0, 0.0, 0.0, 0.0, 0.0, 0.0, 0.0, 0.0, 0.0, 0.0, 0.0, 0.0, 0.0, 0.0, 0.0, 0.0, 0.0, 0.0, 0.0, 0.0, 0.0, 0.0, 0.0, 0.0, 0.0, 0.0, 0.0, 0.0</w:t>
      </w:r>
    </w:p>
    <w:p w:rsidR="00EC34D1" w:rsidRDefault="00EC34D1" w:rsidP="00EC34D1">
      <w:pPr>
        <w:pStyle w:val="ListParagraph"/>
        <w:rPr>
          <w:b/>
        </w:rPr>
      </w:pPr>
    </w:p>
    <w:p w:rsidR="007B7089" w:rsidRDefault="007B7089" w:rsidP="007B708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 – Confidence Interval </w:t>
      </w:r>
    </w:p>
    <w:p w:rsidR="007B7089" w:rsidRPr="007B7089" w:rsidRDefault="007B7089" w:rsidP="007B708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9248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fiB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D1" w:rsidRDefault="00EC34D1" w:rsidP="00EC34D1">
      <w:pPr>
        <w:pStyle w:val="ListParagraph"/>
        <w:rPr>
          <w:b/>
        </w:rPr>
      </w:pPr>
      <w:r>
        <w:rPr>
          <w:b/>
        </w:rPr>
        <w:lastRenderedPageBreak/>
        <w:t>Comments: With increasing buffer size, t</w:t>
      </w:r>
      <w:r w:rsidR="00C27F48">
        <w:rPr>
          <w:b/>
        </w:rPr>
        <w:t>he CFI for D comes down to zero as retransmissions keep decreasing as buffer size increases</w:t>
      </w:r>
    </w:p>
    <w:p w:rsidR="00EC34D1" w:rsidRDefault="00EC34D1" w:rsidP="00EC34D1">
      <w:pPr>
        <w:pStyle w:val="ListParagraph"/>
        <w:rPr>
          <w:b/>
        </w:rPr>
      </w:pPr>
    </w:p>
    <w:p w:rsidR="00EC34D1" w:rsidRDefault="00EC34D1" w:rsidP="00EC34D1">
      <w:pPr>
        <w:pStyle w:val="ListParagraph"/>
        <w:rPr>
          <w:b/>
        </w:rPr>
      </w:pPr>
      <w:r>
        <w:rPr>
          <w:b/>
        </w:rPr>
        <w:t>Value of D CFI for 39 observations (</w:t>
      </w:r>
      <w:r w:rsidR="00A7730A">
        <w:rPr>
          <w:b/>
        </w:rPr>
        <w:t xml:space="preserve">Buffer = </w:t>
      </w:r>
      <w:r>
        <w:rPr>
          <w:b/>
        </w:rPr>
        <w:t xml:space="preserve">5, 10, </w:t>
      </w:r>
      <w:proofErr w:type="gramStart"/>
      <w:r>
        <w:rPr>
          <w:b/>
        </w:rPr>
        <w:t>15, …195</w:t>
      </w:r>
      <w:proofErr w:type="gramEnd"/>
      <w:r>
        <w:rPr>
          <w:b/>
        </w:rPr>
        <w:t>)</w:t>
      </w:r>
    </w:p>
    <w:p w:rsidR="00EC34D1" w:rsidRDefault="00EC34D1" w:rsidP="00EC34D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(67.965327105676707, 81.259067429401128), (47.818089074701803, 72.555311193879902), (18.538465167261272, 41.003906699994346), (4.80079403341907, 21.479753607397207), (-0.35613878329196558, 3.3478454499586268), (-1.1245389407542652, 4.005370686785934), (0.0, 0.0), (0.0, 0.0), (0.0, 0.0), (0.0, 0.0), (0.0, 0.0), (0.0, 0.0), (0.0, 0.0), (0.0, 0.0), (0.0, 0.0), (0.0, 0.0), (0.0, 0.0), (0.0, 0.0), (0.0, 0.0), (0.0, 0.0), (0.0, 0.0), (0.0, 0.0), (0.0, 0.0), (0.0, 0.0), (0.0, 0.0), (0.0, 0.0), (0.0, 0.0), (0.0, 0.0), (0.0, 0.0), (0.0, 0.0), (0.0, 0.0), (0.0, 0.0), (0.0, 0.0), (0.0, 0.0), (0.0, 0.0), (0.0, 0.0), (0.0, 0.0), (0.0, 0.0), (0.0, 0.0)</w:t>
      </w:r>
    </w:p>
    <w:p w:rsidR="00EC34D1" w:rsidRDefault="00EC34D1" w:rsidP="00EC34D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EC34D1" w:rsidRPr="00EC34D1" w:rsidRDefault="00EC34D1" w:rsidP="00EC34D1">
      <w:pPr>
        <w:pStyle w:val="ListParagraph"/>
        <w:numPr>
          <w:ilvl w:val="0"/>
          <w:numId w:val="1"/>
        </w:numPr>
        <w:rPr>
          <w:b/>
        </w:rPr>
      </w:pPr>
      <w:r w:rsidRPr="00EC34D1">
        <w:rPr>
          <w:rFonts w:ascii="Consolas" w:hAnsi="Consolas" w:cs="Consolas"/>
          <w:b/>
          <w:color w:val="000000"/>
          <w:sz w:val="20"/>
          <w:szCs w:val="20"/>
        </w:rPr>
        <w:t>Mean value of P</w:t>
      </w:r>
    </w:p>
    <w:p w:rsidR="00EC34D1" w:rsidRDefault="00EC34D1" w:rsidP="00EC34D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18016.468400000002, 18106.546399999999, 18105.130400000002, 18109.334199999998, 17992.02, 18145.009599999998, 18031.493599999998, 18136.654000000002, 18089.762000000002, 18127.941200000005, 18136.809600000001, 18197.622599999999, 18115.695199999998, 17937.665799999995, 18169.5524, 18122.443800000008, 18130.250199999999, 18000.936800000003, 17979.152600000001, 18116.810600000001, 18102.728600000002, 18043.852599999998, 18037.525000000001, 18078.376199999999, 18033.911000000004, 18018.147199999999, 18142.346600000001, 18137.618999999999, 18128.656000000003, 18046.065199999997, 18029.406199999998, 17958.254400000002, 18055.0798, 17995.206200000001, 18064.909800000001, 18120.074000000001, 18053.861000000004, 17997.7212, 18076.992200000001</w:t>
      </w:r>
    </w:p>
    <w:p w:rsidR="00EC34D1" w:rsidRDefault="00EC34D1" w:rsidP="00EC34D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EC34D1" w:rsidRDefault="00EC34D1" w:rsidP="00EC34D1">
      <w:pPr>
        <w:pStyle w:val="ListParagraph"/>
        <w:rPr>
          <w:rFonts w:ascii="Consolas" w:hAnsi="Consolas" w:cs="Consolas"/>
          <w:b/>
          <w:color w:val="000000"/>
          <w:sz w:val="20"/>
          <w:szCs w:val="20"/>
        </w:rPr>
      </w:pPr>
      <w:r w:rsidRPr="00EC34D1">
        <w:rPr>
          <w:rFonts w:ascii="Consolas" w:hAnsi="Consolas" w:cs="Consolas"/>
          <w:b/>
          <w:color w:val="000000"/>
          <w:sz w:val="20"/>
          <w:szCs w:val="20"/>
        </w:rPr>
        <w:t xml:space="preserve">Mean value of P remains almost unchanged </w:t>
      </w:r>
    </w:p>
    <w:p w:rsidR="00EC34D1" w:rsidRDefault="00EC34D1" w:rsidP="00EC34D1">
      <w:pPr>
        <w:pStyle w:val="ListParagraph"/>
        <w:rPr>
          <w:rFonts w:ascii="Consolas" w:hAnsi="Consolas" w:cs="Consolas"/>
          <w:b/>
          <w:color w:val="000000"/>
          <w:sz w:val="20"/>
          <w:szCs w:val="20"/>
        </w:rPr>
      </w:pPr>
    </w:p>
    <w:p w:rsidR="00EC34D1" w:rsidRDefault="00EC34D1" w:rsidP="00EC34D1">
      <w:pPr>
        <w:pStyle w:val="ListParagraph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Values for confidence interval of P</w:t>
      </w:r>
    </w:p>
    <w:p w:rsidR="00A7730A" w:rsidRDefault="00A7730A" w:rsidP="00EC34D1">
      <w:pPr>
        <w:pStyle w:val="ListParagraph"/>
        <w:rPr>
          <w:rFonts w:ascii="Consolas" w:hAnsi="Consolas" w:cs="Consolas"/>
          <w:b/>
          <w:color w:val="000000"/>
          <w:sz w:val="20"/>
          <w:szCs w:val="20"/>
        </w:rPr>
      </w:pPr>
    </w:p>
    <w:p w:rsidR="00EC34D1" w:rsidRPr="00EC34D1" w:rsidRDefault="00A7730A" w:rsidP="00EC34D1">
      <w:pPr>
        <w:pStyle w:val="ListParagraph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(17875.162023648929, 18157.774776351074), (17942.17664593158, 18270.916154068418), (17957.693744621029, 18252.567055378975), (17968.155080873184, 18250.513319126811), (17854.504565322615, 18129.535434677386), (17994.463532293528, 18295.555667706467), (17889.634511573648, 18173.352688426348), (18005.62515977646, 18267.682840223544), (17953.591505196546, 18225.932494803459), (17968.664300271856, 18287.218099728154), (18004.459549067458, 18269.159650932543), (18065.715082938113, 18329.530117061884), (17988.072198276615, 18243.318201723381), (17760.378714898026, 18114.952885101964), (18019.493823456669, 18319.610976543332), (17962.369826623948, 18282.517773376068), (17978.425168896585, 18282.075231103412), (17858.409637229775, 18143.463962770231), (17863.164308987412, 18095.14089101259), (17964.667224043675, 18268.953975956327), (17942.109703034042, 18263.347496965962), (17903.419872323626, 18184.285327676371), (17893.009428478847,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18182.040571521156), (17935.961441296855, 18220.790958703143), (17905.744502312707, 18162.0774976873), (17857.545707147165, 18178.748692852834), (18013.759378409766, 18270.933821590235), (17999.89165202836, 18275.346347971637), (17952.058007320793, 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18305.253992679212), (17858.065559057559, 18234.064840942436), (17866.554323373046, 18192.258076626949), (17810.673266326401, 18105.835533673602), (17899.116817217498, 18211.042782782501), (17848.66708698907, 18141.745313010932), (17925.078064146059, 18204.741535853944), (17961.880232286421, 18278.26776771358), (17914.066920128225, 18193.655079871784), (17851.11107873288, 18144.33132126712), (17908.436098153888, 18245.548301846113)</w:t>
      </w:r>
    </w:p>
    <w:p w:rsidR="00EC34D1" w:rsidRDefault="00EC34D1" w:rsidP="00EC34D1">
      <w:pPr>
        <w:pStyle w:val="ListParagraph"/>
        <w:rPr>
          <w:b/>
        </w:rPr>
      </w:pPr>
    </w:p>
    <w:p w:rsidR="00A7730A" w:rsidRDefault="00D1593D" w:rsidP="00EC34D1">
      <w:pPr>
        <w:pStyle w:val="ListParagraph"/>
        <w:rPr>
          <w:b/>
        </w:rPr>
      </w:pPr>
      <w:r w:rsidRPr="009064B0">
        <w:rPr>
          <w:b/>
          <w:color w:val="FF0000"/>
        </w:rPr>
        <w:t>Com</w:t>
      </w:r>
      <w:r w:rsidR="004A3EBE" w:rsidRPr="009064B0">
        <w:rPr>
          <w:b/>
          <w:color w:val="FF0000"/>
        </w:rPr>
        <w:t>ments</w:t>
      </w:r>
      <w:r w:rsidR="004A3EBE">
        <w:rPr>
          <w:b/>
        </w:rPr>
        <w:t xml:space="preserve">: </w:t>
      </w:r>
      <w:r w:rsidR="00A7730A">
        <w:rPr>
          <w:b/>
        </w:rPr>
        <w:t>Confidence interval of P is on an average not changing</w:t>
      </w:r>
      <w:r w:rsidR="009064B0">
        <w:rPr>
          <w:b/>
        </w:rPr>
        <w:t xml:space="preserve"> with increased buffer size</w:t>
      </w:r>
    </w:p>
    <w:p w:rsidR="00F423D5" w:rsidRDefault="00F423D5" w:rsidP="00EC34D1">
      <w:pPr>
        <w:pStyle w:val="ListParagraph"/>
        <w:rPr>
          <w:b/>
        </w:rPr>
      </w:pPr>
    </w:p>
    <w:p w:rsidR="00F423D5" w:rsidRDefault="00F423D5" w:rsidP="00EC34D1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12AED9D" wp14:editId="060440BE">
            <wp:extent cx="5943600" cy="2491740"/>
            <wp:effectExtent l="0" t="0" r="19050" b="228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C23AD" w:rsidRDefault="00AC23AD" w:rsidP="00C3581C">
      <w:pPr>
        <w:rPr>
          <w:b/>
        </w:rPr>
      </w:pPr>
    </w:p>
    <w:p w:rsidR="00AC23AD" w:rsidRDefault="00AC23AD" w:rsidP="00C3581C">
      <w:pPr>
        <w:rPr>
          <w:b/>
        </w:rPr>
      </w:pPr>
    </w:p>
    <w:p w:rsidR="00AC23AD" w:rsidRPr="00AC23AD" w:rsidRDefault="00AC23AD" w:rsidP="00C3581C">
      <w:pPr>
        <w:rPr>
          <w:b/>
        </w:rPr>
      </w:pPr>
    </w:p>
    <w:sectPr w:rsidR="00AC23AD" w:rsidRPr="00AC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36BAB"/>
    <w:multiLevelType w:val="hybridMultilevel"/>
    <w:tmpl w:val="104473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81C"/>
    <w:rsid w:val="001179AD"/>
    <w:rsid w:val="001F39DA"/>
    <w:rsid w:val="002810F5"/>
    <w:rsid w:val="00354554"/>
    <w:rsid w:val="004A3EBE"/>
    <w:rsid w:val="004B2A8E"/>
    <w:rsid w:val="00501038"/>
    <w:rsid w:val="00793D27"/>
    <w:rsid w:val="0079746B"/>
    <w:rsid w:val="007B7089"/>
    <w:rsid w:val="00845416"/>
    <w:rsid w:val="009064B0"/>
    <w:rsid w:val="0091484F"/>
    <w:rsid w:val="009258FF"/>
    <w:rsid w:val="009632CE"/>
    <w:rsid w:val="00A0281D"/>
    <w:rsid w:val="00A64B51"/>
    <w:rsid w:val="00A7730A"/>
    <w:rsid w:val="00AC23AD"/>
    <w:rsid w:val="00B505E6"/>
    <w:rsid w:val="00B56857"/>
    <w:rsid w:val="00BD60BB"/>
    <w:rsid w:val="00C27F48"/>
    <w:rsid w:val="00C3581C"/>
    <w:rsid w:val="00C66E1C"/>
    <w:rsid w:val="00D1593D"/>
    <w:rsid w:val="00D82595"/>
    <w:rsid w:val="00EC34D1"/>
    <w:rsid w:val="00F4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5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5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70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5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5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7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 Mean and CI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Mean P</c:v>
                </c:pt>
              </c:strCache>
            </c:strRef>
          </c:tx>
          <c:xVal>
            <c:numRef>
              <c:f>Sheet1!$B$2:$B$8</c:f>
              <c:numCache>
                <c:formatCode>General</c:formatCode>
                <c:ptCount val="7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17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18056.23</c:v>
                </c:pt>
                <c:pt idx="1">
                  <c:v>17934.830000000002</c:v>
                </c:pt>
                <c:pt idx="2">
                  <c:v>18060.59</c:v>
                </c:pt>
                <c:pt idx="3">
                  <c:v>17999.189999999999</c:v>
                </c:pt>
                <c:pt idx="4">
                  <c:v>18128.2</c:v>
                </c:pt>
                <c:pt idx="5">
                  <c:v>18049.8</c:v>
                </c:pt>
                <c:pt idx="6">
                  <c:v>18086.330000000002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CI  min</c:v>
                </c:pt>
              </c:strCache>
            </c:strRef>
          </c:tx>
          <c:spPr>
            <a:ln>
              <a:noFill/>
            </a:ln>
          </c:spPr>
          <c:xVal>
            <c:numRef>
              <c:f>Sheet1!$B$2:$B$8</c:f>
              <c:numCache>
                <c:formatCode>General</c:formatCode>
                <c:ptCount val="7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17</c:v>
                </c:pt>
              </c:numCache>
            </c:numRef>
          </c:xVal>
          <c:yVal>
            <c:numRef>
              <c:f>Sheet1!$D$2:$D$8</c:f>
              <c:numCache>
                <c:formatCode>General</c:formatCode>
                <c:ptCount val="7"/>
                <c:pt idx="0">
                  <c:v>17887.36</c:v>
                </c:pt>
                <c:pt idx="1">
                  <c:v>17786.2</c:v>
                </c:pt>
                <c:pt idx="2">
                  <c:v>17929.95</c:v>
                </c:pt>
                <c:pt idx="3">
                  <c:v>17842.54</c:v>
                </c:pt>
                <c:pt idx="4">
                  <c:v>17973.68</c:v>
                </c:pt>
                <c:pt idx="5">
                  <c:v>17889.96</c:v>
                </c:pt>
                <c:pt idx="6">
                  <c:v>17947.8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Ci Max</c:v>
                </c:pt>
              </c:strCache>
            </c:strRef>
          </c:tx>
          <c:spPr>
            <a:ln>
              <a:noFill/>
            </a:ln>
          </c:spPr>
          <c:xVal>
            <c:numRef>
              <c:f>Sheet1!$B$2:$B$8</c:f>
              <c:numCache>
                <c:formatCode>General</c:formatCode>
                <c:ptCount val="7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17</c:v>
                </c:pt>
              </c:numCache>
            </c:numRef>
          </c:xVal>
          <c:yVal>
            <c:numRef>
              <c:f>Sheet1!$E$2:$E$8</c:f>
              <c:numCache>
                <c:formatCode>General</c:formatCode>
                <c:ptCount val="7"/>
                <c:pt idx="0">
                  <c:v>18225.099999999999</c:v>
                </c:pt>
                <c:pt idx="1">
                  <c:v>18083.46</c:v>
                </c:pt>
                <c:pt idx="2">
                  <c:v>18191.23</c:v>
                </c:pt>
                <c:pt idx="3">
                  <c:v>18155.84</c:v>
                </c:pt>
                <c:pt idx="4">
                  <c:v>18282.72</c:v>
                </c:pt>
                <c:pt idx="5">
                  <c:v>18209.64</c:v>
                </c:pt>
                <c:pt idx="6">
                  <c:v>18224.849999999999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009344"/>
        <c:axId val="131009920"/>
      </c:scatterChart>
      <c:valAx>
        <c:axId val="131009344"/>
        <c:scaling>
          <c:orientation val="minMax"/>
          <c:min val="1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Service Time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31009920"/>
        <c:crosses val="autoZero"/>
        <c:crossBetween val="midCat"/>
      </c:valAx>
      <c:valAx>
        <c:axId val="13100992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Mean and CI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310093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 mean &amp; CI vs B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P Mean</c:v>
                </c:pt>
              </c:strCache>
            </c:strRef>
          </c:tx>
          <c:spPr>
            <a:ln w="12700"/>
          </c:spPr>
          <c:xVal>
            <c:numRef>
              <c:f>Sheet2!$A$2:$A$40</c:f>
              <c:numCache>
                <c:formatCode>General</c:formatCode>
                <c:ptCount val="3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</c:numCache>
            </c:numRef>
          </c:xVal>
          <c:yVal>
            <c:numRef>
              <c:f>Sheet2!$B$2:$B$40</c:f>
              <c:numCache>
                <c:formatCode>General</c:formatCode>
                <c:ptCount val="39"/>
                <c:pt idx="0">
                  <c:v>18016.468400000002</c:v>
                </c:pt>
                <c:pt idx="1">
                  <c:v>18106.546399999901</c:v>
                </c:pt>
                <c:pt idx="2">
                  <c:v>18105.130399999998</c:v>
                </c:pt>
                <c:pt idx="3">
                  <c:v>18109.334199999899</c:v>
                </c:pt>
                <c:pt idx="4">
                  <c:v>17992.02</c:v>
                </c:pt>
                <c:pt idx="5">
                  <c:v>18145.009599999899</c:v>
                </c:pt>
                <c:pt idx="6">
                  <c:v>18031.4935999999</c:v>
                </c:pt>
                <c:pt idx="7">
                  <c:v>18136.653999999999</c:v>
                </c:pt>
                <c:pt idx="8">
                  <c:v>18089.761999999999</c:v>
                </c:pt>
                <c:pt idx="9">
                  <c:v>18127.941200000001</c:v>
                </c:pt>
                <c:pt idx="10">
                  <c:v>18136.809600000001</c:v>
                </c:pt>
                <c:pt idx="11">
                  <c:v>18197.622599999901</c:v>
                </c:pt>
                <c:pt idx="12">
                  <c:v>18115.6951999999</c:v>
                </c:pt>
                <c:pt idx="13">
                  <c:v>17937.665799999901</c:v>
                </c:pt>
                <c:pt idx="14">
                  <c:v>18169.5524</c:v>
                </c:pt>
                <c:pt idx="15">
                  <c:v>18122.443800000001</c:v>
                </c:pt>
                <c:pt idx="16">
                  <c:v>18130.2501999999</c:v>
                </c:pt>
                <c:pt idx="17">
                  <c:v>18000.936799999999</c:v>
                </c:pt>
                <c:pt idx="18">
                  <c:v>17979.152600000001</c:v>
                </c:pt>
                <c:pt idx="19">
                  <c:v>18116.810600000001</c:v>
                </c:pt>
                <c:pt idx="20">
                  <c:v>18102.728599999999</c:v>
                </c:pt>
                <c:pt idx="21">
                  <c:v>18043.8525999999</c:v>
                </c:pt>
                <c:pt idx="22">
                  <c:v>18037.525000000001</c:v>
                </c:pt>
                <c:pt idx="23">
                  <c:v>18078.376199999901</c:v>
                </c:pt>
                <c:pt idx="24">
                  <c:v>18033.911</c:v>
                </c:pt>
                <c:pt idx="25">
                  <c:v>18018.147199999901</c:v>
                </c:pt>
                <c:pt idx="26">
                  <c:v>18142.346600000001</c:v>
                </c:pt>
                <c:pt idx="27">
                  <c:v>18137.618999999901</c:v>
                </c:pt>
                <c:pt idx="28">
                  <c:v>18128.655999999999</c:v>
                </c:pt>
                <c:pt idx="29">
                  <c:v>18046.065199999899</c:v>
                </c:pt>
                <c:pt idx="30">
                  <c:v>18029.406199999899</c:v>
                </c:pt>
                <c:pt idx="31">
                  <c:v>17958.254400000002</c:v>
                </c:pt>
                <c:pt idx="32">
                  <c:v>18055.0798</c:v>
                </c:pt>
                <c:pt idx="33">
                  <c:v>17995.206200000001</c:v>
                </c:pt>
                <c:pt idx="34">
                  <c:v>18064.909800000001</c:v>
                </c:pt>
                <c:pt idx="35">
                  <c:v>18120.074000000001</c:v>
                </c:pt>
                <c:pt idx="36">
                  <c:v>18053.861000000001</c:v>
                </c:pt>
                <c:pt idx="37">
                  <c:v>17997.7212</c:v>
                </c:pt>
                <c:pt idx="38">
                  <c:v>18076.992200000001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CI Min</c:v>
                </c:pt>
              </c:strCache>
            </c:strRef>
          </c:tx>
          <c:spPr>
            <a:ln>
              <a:noFill/>
            </a:ln>
          </c:spPr>
          <c:marker>
            <c:symbol val="square"/>
            <c:size val="3"/>
            <c:spPr>
              <a:ln w="3175"/>
            </c:spPr>
          </c:marker>
          <c:xVal>
            <c:numRef>
              <c:f>Sheet2!$A$2:$A$40</c:f>
              <c:numCache>
                <c:formatCode>General</c:formatCode>
                <c:ptCount val="3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</c:numCache>
            </c:numRef>
          </c:xVal>
          <c:yVal>
            <c:numRef>
              <c:f>Sheet2!$C$2:$C$40</c:f>
              <c:numCache>
                <c:formatCode>General</c:formatCode>
                <c:ptCount val="39"/>
                <c:pt idx="0">
                  <c:v>17875.1620236489</c:v>
                </c:pt>
                <c:pt idx="1">
                  <c:v>17942.1766459315</c:v>
                </c:pt>
                <c:pt idx="2">
                  <c:v>17957.693744620999</c:v>
                </c:pt>
                <c:pt idx="3">
                  <c:v>17968.155080873101</c:v>
                </c:pt>
                <c:pt idx="4">
                  <c:v>17854.504565322601</c:v>
                </c:pt>
                <c:pt idx="5">
                  <c:v>17994.463532293499</c:v>
                </c:pt>
                <c:pt idx="6">
                  <c:v>17889.6345115736</c:v>
                </c:pt>
                <c:pt idx="7">
                  <c:v>18005.625159776399</c:v>
                </c:pt>
                <c:pt idx="8">
                  <c:v>17953.591505196498</c:v>
                </c:pt>
                <c:pt idx="9">
                  <c:v>17968.664300271801</c:v>
                </c:pt>
                <c:pt idx="10">
                  <c:v>18004.4595490674</c:v>
                </c:pt>
                <c:pt idx="11">
                  <c:v>18065.715082938099</c:v>
                </c:pt>
                <c:pt idx="12">
                  <c:v>17988.072198276601</c:v>
                </c:pt>
                <c:pt idx="13">
                  <c:v>17760.378714898001</c:v>
                </c:pt>
                <c:pt idx="14">
                  <c:v>18019.4938234566</c:v>
                </c:pt>
                <c:pt idx="15">
                  <c:v>17962.369826623901</c:v>
                </c:pt>
                <c:pt idx="16">
                  <c:v>17978.425168896501</c:v>
                </c:pt>
                <c:pt idx="17">
                  <c:v>17858.409637229699</c:v>
                </c:pt>
                <c:pt idx="18">
                  <c:v>17863.164308987401</c:v>
                </c:pt>
                <c:pt idx="19">
                  <c:v>17964.667224043598</c:v>
                </c:pt>
                <c:pt idx="20">
                  <c:v>17942.109703033999</c:v>
                </c:pt>
                <c:pt idx="21">
                  <c:v>17903.4198723236</c:v>
                </c:pt>
                <c:pt idx="22">
                  <c:v>17893.009428478799</c:v>
                </c:pt>
                <c:pt idx="23">
                  <c:v>17935.9614412968</c:v>
                </c:pt>
                <c:pt idx="24">
                  <c:v>17905.7445023127</c:v>
                </c:pt>
                <c:pt idx="25">
                  <c:v>17857.545707147099</c:v>
                </c:pt>
                <c:pt idx="26">
                  <c:v>18013.759378409701</c:v>
                </c:pt>
                <c:pt idx="27">
                  <c:v>17999.891652028298</c:v>
                </c:pt>
                <c:pt idx="28">
                  <c:v>17952.058007320698</c:v>
                </c:pt>
                <c:pt idx="29">
                  <c:v>17858.065559057501</c:v>
                </c:pt>
                <c:pt idx="30">
                  <c:v>17866.554323372999</c:v>
                </c:pt>
                <c:pt idx="31">
                  <c:v>17810.673266326401</c:v>
                </c:pt>
                <c:pt idx="32">
                  <c:v>17899.1168172174</c:v>
                </c:pt>
                <c:pt idx="33">
                  <c:v>17848.667086989</c:v>
                </c:pt>
                <c:pt idx="34">
                  <c:v>17925.078064146001</c:v>
                </c:pt>
                <c:pt idx="35">
                  <c:v>17961.880232286399</c:v>
                </c:pt>
                <c:pt idx="36">
                  <c:v>17914.0669201282</c:v>
                </c:pt>
                <c:pt idx="37">
                  <c:v>17851.1110787328</c:v>
                </c:pt>
                <c:pt idx="38">
                  <c:v>17908.436098153801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Sheet2!$D$1</c:f>
              <c:strCache>
                <c:ptCount val="1"/>
                <c:pt idx="0">
                  <c:v>CI Max</c:v>
                </c:pt>
              </c:strCache>
            </c:strRef>
          </c:tx>
          <c:spPr>
            <a:ln>
              <a:noFill/>
            </a:ln>
          </c:spPr>
          <c:marker>
            <c:symbol val="triangle"/>
            <c:size val="3"/>
          </c:marker>
          <c:xVal>
            <c:numRef>
              <c:f>Sheet2!$A$2:$A$40</c:f>
              <c:numCache>
                <c:formatCode>General</c:formatCode>
                <c:ptCount val="39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</c:numCache>
            </c:numRef>
          </c:xVal>
          <c:yVal>
            <c:numRef>
              <c:f>Sheet2!$D$2:$D$40</c:f>
              <c:numCache>
                <c:formatCode>General</c:formatCode>
                <c:ptCount val="39"/>
                <c:pt idx="0">
                  <c:v>18157.774776351001</c:v>
                </c:pt>
                <c:pt idx="1">
                  <c:v>18270.9161540684</c:v>
                </c:pt>
                <c:pt idx="2">
                  <c:v>18252.567055378899</c:v>
                </c:pt>
                <c:pt idx="3">
                  <c:v>18250.5133191268</c:v>
                </c:pt>
                <c:pt idx="4">
                  <c:v>18129.535434677298</c:v>
                </c:pt>
                <c:pt idx="5">
                  <c:v>18295.555667706401</c:v>
                </c:pt>
                <c:pt idx="6">
                  <c:v>18173.352688426301</c:v>
                </c:pt>
                <c:pt idx="7">
                  <c:v>18267.682840223501</c:v>
                </c:pt>
                <c:pt idx="8">
                  <c:v>18225.932494803401</c:v>
                </c:pt>
                <c:pt idx="9">
                  <c:v>18287.218099728099</c:v>
                </c:pt>
                <c:pt idx="10">
                  <c:v>18269.159650932499</c:v>
                </c:pt>
                <c:pt idx="11">
                  <c:v>18329.5301170618</c:v>
                </c:pt>
                <c:pt idx="12">
                  <c:v>18243.318201723301</c:v>
                </c:pt>
                <c:pt idx="13">
                  <c:v>18114.952885101899</c:v>
                </c:pt>
                <c:pt idx="14">
                  <c:v>18319.610976543299</c:v>
                </c:pt>
                <c:pt idx="15">
                  <c:v>18282.517773375999</c:v>
                </c:pt>
                <c:pt idx="16">
                  <c:v>18282.075231103401</c:v>
                </c:pt>
                <c:pt idx="17">
                  <c:v>18143.463962770202</c:v>
                </c:pt>
                <c:pt idx="18">
                  <c:v>18095.140891012499</c:v>
                </c:pt>
                <c:pt idx="19">
                  <c:v>18268.953975956301</c:v>
                </c:pt>
                <c:pt idx="20">
                  <c:v>18263.3474969659</c:v>
                </c:pt>
                <c:pt idx="21">
                  <c:v>18184.285327676302</c:v>
                </c:pt>
                <c:pt idx="22">
                  <c:v>18182.040571521102</c:v>
                </c:pt>
                <c:pt idx="23">
                  <c:v>18220.790958703099</c:v>
                </c:pt>
                <c:pt idx="24">
                  <c:v>18162.0774976873</c:v>
                </c:pt>
                <c:pt idx="25">
                  <c:v>18178.748692852801</c:v>
                </c:pt>
                <c:pt idx="26">
                  <c:v>18270.933821590199</c:v>
                </c:pt>
                <c:pt idx="27">
                  <c:v>18275.346347971601</c:v>
                </c:pt>
                <c:pt idx="28">
                  <c:v>18305.253992679201</c:v>
                </c:pt>
                <c:pt idx="29">
                  <c:v>18234.064840942399</c:v>
                </c:pt>
                <c:pt idx="30">
                  <c:v>18192.258076626898</c:v>
                </c:pt>
                <c:pt idx="31">
                  <c:v>18105.835533673599</c:v>
                </c:pt>
                <c:pt idx="32">
                  <c:v>18211.042782782501</c:v>
                </c:pt>
                <c:pt idx="33">
                  <c:v>18141.745313010899</c:v>
                </c:pt>
                <c:pt idx="34">
                  <c:v>18204.7415358539</c:v>
                </c:pt>
                <c:pt idx="35">
                  <c:v>18278.2677677135</c:v>
                </c:pt>
                <c:pt idx="36">
                  <c:v>18193.6550798717</c:v>
                </c:pt>
                <c:pt idx="37">
                  <c:v>18144.331321267098</c:v>
                </c:pt>
                <c:pt idx="38">
                  <c:v>18245.548301846098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012224"/>
        <c:axId val="131012800"/>
      </c:scatterChart>
      <c:valAx>
        <c:axId val="1310122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Buffer Size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31012800"/>
        <c:crosses val="autoZero"/>
        <c:crossBetween val="midCat"/>
      </c:valAx>
      <c:valAx>
        <c:axId val="1310128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 Mean and Ci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3101222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1856</Words>
  <Characters>10581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NePathak</dc:creator>
  <cp:lastModifiedBy>NePathak</cp:lastModifiedBy>
  <cp:revision>10</cp:revision>
  <cp:lastPrinted>2016-10-04T02:10:00Z</cp:lastPrinted>
  <dcterms:created xsi:type="dcterms:W3CDTF">2016-10-03T00:07:00Z</dcterms:created>
  <dcterms:modified xsi:type="dcterms:W3CDTF">2016-10-04T02:18:00Z</dcterms:modified>
</cp:coreProperties>
</file>