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60"/>
        <w:jc w:val="center"/>
      </w:pPr>
      <w:r>
        <w:rPr>
          <w:b/>
          <w:color w:val="1E3A5F"/>
          <w:sz w:val="34"/>
        </w:rPr>
        <w:t>Unified Document Intelligence via Fine-tuned Vision-Language Models:</w:t>
        <w:br/>
        <w:t>Simultaneous Classification, Information Extraction, and Bundle Splitting</w:t>
      </w:r>
    </w:p>
    <w:p>
      <w:pPr>
        <w:spacing w:after="80"/>
        <w:jc w:val="center"/>
      </w:pPr>
      <w:r>
        <w:rPr>
          <w:b/>
          <w:color w:val="0F172A"/>
          <w:sz w:val="22"/>
        </w:rPr>
        <w:t>Capgemini — Document Intelligence Research</w:t>
        <w:br/>
      </w:r>
      <w:r>
        <w:rPr>
          <w:i/>
          <w:color w:val="475569"/>
          <w:sz w:val="20"/>
        </w:rPr>
        <w:t>AI &amp; Data Practice, Enterprise Solutions Division</w:t>
      </w:r>
    </w:p>
    <w:p>
      <w:pPr>
        <w:spacing w:after="80"/>
      </w:pPr>
    </w:p>
    <w:tbl>
      <w:tblPr>
        <w:tblStyle w:val="TableGrid"/>
        <w:tblW w:type="auto" w:w="0"/>
        <w:tblLook w:firstColumn="1" w:firstRow="1" w:lastColumn="0" w:lastRow="0" w:noHBand="0" w:noVBand="1" w:val="04A0"/>
      </w:tblPr>
      <w:tblGrid>
        <w:gridCol w:w="8504"/>
      </w:tblGrid>
      <w:tr>
        <w:tc>
          <w:tcPr>
            <w:tcW w:type="dxa" w:w="8504"/>
            <w:shd w:val="clear" w:color="auto" w:fill="F1F5F9"/>
          </w:tcPr>
          <w:p/>
          <w:p>
            <w:r>
              <w:rPr>
                <w:b/>
                <w:color w:val="1E3A5F"/>
                <w:sz w:val="22"/>
              </w:rPr>
              <w:t>Abstract</w:t>
            </w:r>
          </w:p>
          <w:p>
            <w:pPr>
              <w:spacing w:after="80"/>
            </w:pPr>
            <w:r>
              <w:rPr>
                <w:i/>
                <w:color w:val="0F172A"/>
                <w:sz w:val="21"/>
              </w:rPr>
              <w:t>Enterprise workflows in logistics, banking, legal, healthcare, and supply chain routinely produce multi-page document bundles containing heterogeneous document types. Existing solutions rely on separate pipelines — an OCR engine, a classifier, and field-extraction rules — that are brittle, expensive to maintain, and unable to handle novel document layouts without retraining each component individually. We present a unified approach that fine-tunes a single Vision-Language Model (VLM) to simultaneously (1) classify each page into one of N document categories, (2) detect document boundaries within multi-page bundles (START vs CONTINUATION), and (3) extract structured fields in a single JSON output per page. Our method uses QLoRA parameter-efficient fine-tuning on Qwen2.5-VL-3B-Instruct with a purpose-built synthetic dataset of 11,700 documents across 12 classes, generated to capture real-world layout and content variation. The resulting model achieves accurate multi-task document understanding while fitting on a 16 GB consumer GPU, with targeted inference optimizations reducing per-page latency from 20–30 s to 6–10 s without degrading accuracy.</w:t>
            </w:r>
          </w:p>
        </w:tc>
      </w:tr>
    </w:tbl>
    <w:p>
      <w:pPr>
        <w:spacing w:after="160"/>
      </w:pPr>
    </w:p>
    <w:p>
      <w:pPr>
        <w:spacing w:after="240"/>
      </w:pPr>
      <w:r>
        <w:rPr>
          <w:b/>
          <w:color w:val="1E3A5F"/>
          <w:sz w:val="21"/>
        </w:rPr>
        <w:t xml:space="preserve">Keywords: </w:t>
      </w:r>
      <w:r>
        <w:rPr>
          <w:i/>
          <w:color w:val="475569"/>
          <w:sz w:val="21"/>
        </w:rPr>
        <w:t>Vision-Language Models, Document Understanding, Information Extraction, Document Classification, Parameter-Efficient Fine-tuning, QLoRA, Synthetic Data Generation</w:t>
      </w:r>
    </w:p>
    <w:p>
      <w:pPr>
        <w:spacing w:before="320" w:after="80"/>
        <w:pBdr>
          <w:bottom w:val="single" w:sz="4" w:space="4" w:color="1E3A5F"/>
        </w:pBdr>
      </w:pPr>
      <w:r>
        <w:rPr>
          <w:b/>
          <w:color w:val="1E3A5F"/>
          <w:sz w:val="28"/>
        </w:rPr>
        <w:t>1. Introduction</w:t>
      </w:r>
    </w:p>
    <w:p>
      <w:pPr>
        <w:spacing w:after="120"/>
        <w:ind w:firstLine="283"/>
      </w:pPr>
      <w:r>
        <w:rPr>
          <w:color w:val="0F172A"/>
          <w:sz w:val="22"/>
        </w:rPr>
        <w:t>Large enterprises process millions of documents annually. In logistics alone, a single shipment may involve a Commercial Invoice, Bill of Lading, Certificate of Origin, Packing List, Dangerous Goods Declaration, and Airway Bill — all arriving as a single multi-page PDF bundle, scanned in arbitrary order. The same challenge appears in banking (KYC bundles, loan applications), healthcare (patient records, insurance forms), legal (contracts, filings), and government processing (import/export licensing). The core problem is identical across all these domains: given a mixed bundle, identify what each page is, extract its key fields, and group consecutive pages belonging to the same document.</w:t>
      </w:r>
    </w:p>
    <w:p>
      <w:pPr>
        <w:spacing w:after="120"/>
        <w:ind w:firstLine="283"/>
      </w:pPr>
      <w:r>
        <w:rPr>
          <w:color w:val="0F172A"/>
          <w:sz w:val="22"/>
        </w:rPr>
        <w:t>Traditional automated document processing relies on separate specialist components: an OCR engine extracts text, a rule-based or shallow-ML classifier assigns document types, and hand-crafted field extractors (regular expressions or template matchers) pull out values. This approach has three fundamental weaknesses. First, each component fails independently and does not share information with the others. Second, adding a new document type requires updating all three components. Third, scanned or photographed documents with layout variation, stamps, handwriting, or non-standard fonts defeat rule-based extractors entirely.</w:t>
      </w:r>
    </w:p>
    <w:p>
      <w:pPr>
        <w:spacing w:after="120"/>
        <w:ind w:firstLine="283"/>
      </w:pPr>
      <w:r>
        <w:rPr>
          <w:color w:val="0F172A"/>
          <w:sz w:val="22"/>
        </w:rPr>
        <w:t>Recent Vision-Language Models (VLMs) such as LLaVA [1], Qwen-VL [2], and InternVL [3] have demonstrated strong zero-shot document understanding by jointly processing image pixels and text. However, zero-shot performance on structured field extraction from enterprise documents remains unreliable for production use. Fine-tuned models consistently outperform zero-shot baselines on narrow, well-defined tasks [4]. The challenge is to fine-tune efficiently enough to run on enterprise hardware, with a dataset representative enough to generalise to real-world document variation.</w:t>
      </w:r>
    </w:p>
    <w:p>
      <w:pPr>
        <w:spacing w:after="120"/>
        <w:ind w:firstLine="283"/>
      </w:pPr>
      <w:r>
        <w:rPr>
          <w:color w:val="0F172A"/>
          <w:sz w:val="22"/>
        </w:rPr>
        <w:t>This paper makes the following contributions:</w:t>
      </w:r>
    </w:p>
    <w:p>
      <w:pPr>
        <w:pStyle w:val="ListBullet"/>
        <w:spacing w:after="60"/>
        <w:ind w:left="397"/>
      </w:pPr>
      <w:r>
        <w:rPr>
          <w:color w:val="0F172A"/>
          <w:sz w:val="21"/>
        </w:rPr>
        <w:t>A unified multi-task formulation that combines document classification, page-position detection, and structured field extraction into a single model forward pass, expressed as a structured JSON generation task.</w:t>
      </w:r>
    </w:p>
    <w:p>
      <w:pPr>
        <w:pStyle w:val="ListBullet"/>
        <w:spacing w:after="60"/>
        <w:ind w:left="397"/>
      </w:pPr>
      <w:r>
        <w:rPr>
          <w:color w:val="0F172A"/>
          <w:sz w:val="21"/>
        </w:rPr>
        <w:t>A synthetic dataset generation methodology producing 11,700 diverse PDF documents across 12 document classes, with controlled layout variation, realistic content, and ground-truth field annotations.</w:t>
      </w:r>
    </w:p>
    <w:p>
      <w:pPr>
        <w:pStyle w:val="ListBullet"/>
        <w:spacing w:after="60"/>
        <w:ind w:left="397"/>
      </w:pPr>
      <w:r>
        <w:rPr>
          <w:color w:val="0F172A"/>
          <w:sz w:val="21"/>
        </w:rPr>
        <w:t>A QLoRA fine-tuning protocol for Qwen2.5-VL-3B-Instruct on consumer hardware (16 GB GPU) that achieves strong multi-task performance within 3B parameters.</w:t>
      </w:r>
    </w:p>
    <w:p>
      <w:pPr>
        <w:pStyle w:val="ListBullet"/>
        <w:spacing w:after="60"/>
        <w:ind w:left="397"/>
      </w:pPr>
      <w:r>
        <w:rPr>
          <w:color w:val="0F172A"/>
          <w:sz w:val="21"/>
        </w:rPr>
        <w:t>An inference optimization framework — covering quantization precision, image resolution, GPU kernel management, and model weight merging — that reduces per-page latency by approximately 3× with no accuracy degradation.</w:t>
      </w:r>
    </w:p>
    <w:p>
      <w:pPr>
        <w:pStyle w:val="ListBullet"/>
        <w:spacing w:after="60"/>
        <w:ind w:left="397"/>
      </w:pPr>
      <w:r>
        <w:rPr>
          <w:color w:val="0F172A"/>
          <w:sz w:val="21"/>
        </w:rPr>
        <w:t>Evidence that the methodology generalises beyond its target domain: the same training recipe and architecture apply to any enterprise document class with minimal modification.</w:t>
      </w:r>
    </w:p>
    <w:p>
      <w:pPr>
        <w:spacing w:before="320" w:after="80"/>
        <w:pBdr>
          <w:bottom w:val="single" w:sz="4" w:space="4" w:color="1E3A5F"/>
        </w:pBdr>
      </w:pPr>
      <w:r>
        <w:rPr>
          <w:b/>
          <w:color w:val="1E3A5F"/>
          <w:sz w:val="28"/>
        </w:rPr>
        <w:t>2. Related Work</w:t>
      </w:r>
    </w:p>
    <w:p>
      <w:pPr>
        <w:spacing w:before="200" w:after="60"/>
      </w:pPr>
      <w:r>
        <w:rPr>
          <w:b/>
          <w:color w:val="0E7ABF"/>
          <w:sz w:val="24"/>
        </w:rPr>
        <w:t>2.1 Document Understanding Models</w:t>
      </w:r>
    </w:p>
    <w:p>
      <w:pPr>
        <w:spacing w:after="120"/>
        <w:ind w:firstLine="283"/>
      </w:pPr>
      <w:r>
        <w:rPr>
          <w:color w:val="0F172A"/>
          <w:sz w:val="22"/>
        </w:rPr>
        <w:t>Early document AI research focused on combining OCR output with language models. LayoutLM [5] introduced position-aware token embeddings, learning spatial relationships between words on a page. LayoutLMv2 and LayoutLMv3 [6] extended this with multi-modal pre-training, jointly encoding text, layout, and image patches. These models excel at document classification and key-value extraction on benchmark datasets such as FUNSD, CORD, and DocVQA [7], but they require OCR as a prerequisite and do not generalise well to novel layouts without additional fine-tuning.</w:t>
      </w:r>
    </w:p>
    <w:p>
      <w:pPr>
        <w:spacing w:after="120"/>
        <w:ind w:firstLine="283"/>
      </w:pPr>
      <w:r>
        <w:rPr>
          <w:color w:val="0F172A"/>
          <w:sz w:val="22"/>
        </w:rPr>
        <w:t>Donut [8] (Document Understanding Transformer) eliminated the OCR dependency entirely by learning to read documents end-to-end from pixels, using an encoder-decoder architecture trained on document image-JSON pairs. Our approach is philosophically aligned with Donut but leverages a much larger, instruction-tuned VLM base that brings broad world knowledge and stronger zero-shot reasoning as a starting point for fine-tuning.</w:t>
      </w:r>
    </w:p>
    <w:p>
      <w:pPr>
        <w:spacing w:before="200" w:after="60"/>
      </w:pPr>
      <w:r>
        <w:rPr>
          <w:b/>
          <w:color w:val="0E7ABF"/>
          <w:sz w:val="24"/>
        </w:rPr>
        <w:t>2.2 Vision-Language Models</w:t>
      </w:r>
    </w:p>
    <w:p>
      <w:pPr>
        <w:spacing w:after="120"/>
        <w:ind w:firstLine="283"/>
      </w:pPr>
      <w:r>
        <w:rPr>
          <w:color w:val="0F172A"/>
          <w:sz w:val="22"/>
        </w:rPr>
        <w:t>The emergence of large VLMs — GPT-4V [9], LLaVA [1], Qwen-VL [2], and InternVL [3] — has established that a single model trained on image-text pairs can perform a wide variety of visual understanding tasks. Qwen2.5-VL [10] specifically demonstrates strong performance on document-oriented benchmarks (DocVQA score 94.9 for the 7B variant), making it a natural base for document-centric fine-tuning. Its dynamic resolution mechanism, which adapts the number of visual tokens to the image content, is particularly well-suited to documents where text density varies widely across pages.</w:t>
      </w:r>
    </w:p>
    <w:p>
      <w:pPr>
        <w:spacing w:before="200" w:after="60"/>
      </w:pPr>
      <w:r>
        <w:rPr>
          <w:b/>
          <w:color w:val="0E7ABF"/>
          <w:sz w:val="24"/>
        </w:rPr>
        <w:t>2.3 Parameter-Efficient Fine-tuning</w:t>
      </w:r>
    </w:p>
    <w:p>
      <w:pPr>
        <w:spacing w:after="120"/>
        <w:ind w:firstLine="283"/>
      </w:pPr>
      <w:r>
        <w:rPr>
          <w:color w:val="0F172A"/>
          <w:sz w:val="22"/>
        </w:rPr>
        <w:t>Full fine-tuning of billion-parameter models is prohibitively expensive for most enterprise teams. LoRA [11] (Low-Rank Adaptation) trains only small low-rank adapter matrices inserted at each linear layer, reducing trainable parameters by 99%+ while preserving model quality. QLoRA [12] extends this by loading the base model in 4-bit quantized format, further reducing GPU memory requirements and enabling fine-tuning of 7B+ models on a single 24 GB GPU. Unsloth [13] implements highly optimized LoRA and QLoRA kernels, achieving 2× training speedup over standard HuggingFace implementations through fused attention and custom CUDA kernels.</w:t>
      </w:r>
    </w:p>
    <w:p>
      <w:pPr>
        <w:spacing w:before="200" w:after="60"/>
      </w:pPr>
      <w:r>
        <w:rPr>
          <w:b/>
          <w:color w:val="0E7ABF"/>
          <w:sz w:val="24"/>
        </w:rPr>
        <w:t>2.4 Document Splitting and Bundle Processing</w:t>
      </w:r>
    </w:p>
    <w:p>
      <w:pPr>
        <w:spacing w:after="120"/>
        <w:ind w:firstLine="283"/>
      </w:pPr>
      <w:r>
        <w:rPr>
          <w:color w:val="0F172A"/>
          <w:sz w:val="22"/>
        </w:rPr>
        <w:t>The problem of detecting document boundaries within a scanned bundle has received relatively limited attention compared to single-document understanding. Ferrando et al. [14] frame it as a sequence labeling task over OCR-extracted tokens. PaddleOCR and other commercial systems handle splitting via explicit page separators or cover sheet detection. Our approach is unique in that boundary detection is a by-product of the classification task: any page classified as START of a known document type implicitly defines a document boundary, requiring no separate model or training objective.</w:t>
      </w:r>
    </w:p>
    <w:p>
      <w:pPr>
        <w:spacing w:before="200" w:after="60"/>
      </w:pPr>
      <w:r>
        <w:rPr>
          <w:b/>
          <w:color w:val="0E7ABF"/>
          <w:sz w:val="24"/>
        </w:rPr>
        <w:t>2.5 Synthetic Data for Document AI</w:t>
      </w:r>
    </w:p>
    <w:p>
      <w:pPr>
        <w:spacing w:after="120"/>
        <w:ind w:firstLine="283"/>
      </w:pPr>
      <w:r>
        <w:rPr>
          <w:color w:val="0F172A"/>
          <w:sz w:val="22"/>
        </w:rPr>
        <w:t>Annotating real enterprise documents at scale is expensive and often infeasible due to privacy and confidentiality constraints. Synthetic document generation has been validated as an effective substitute in multiple works [15]. DocSynth [16] and SynthDoG [8] demonstrate that models trained on procedurally-generated documents transfer well to real scanned documents when the generation process captures realistic layout and content variation. Our dataset generation pipeline follows this paradigm, using domain-specific field distributions, multiple format variants per class, and a page-bundle assembly stage that mirrors real-world document packaging.</w:t>
      </w:r>
    </w:p>
    <w:p>
      <w:pPr>
        <w:spacing w:before="320" w:after="80"/>
        <w:pBdr>
          <w:bottom w:val="single" w:sz="4" w:space="4" w:color="1E3A5F"/>
        </w:pBdr>
      </w:pPr>
      <w:r>
        <w:rPr>
          <w:b/>
          <w:color w:val="1E3A5F"/>
          <w:sz w:val="28"/>
        </w:rPr>
        <w:t>3. Problem Formulation</w:t>
      </w:r>
    </w:p>
    <w:p>
      <w:pPr>
        <w:spacing w:before="200" w:after="60"/>
      </w:pPr>
      <w:r>
        <w:rPr>
          <w:b/>
          <w:color w:val="0E7ABF"/>
          <w:sz w:val="24"/>
        </w:rPr>
        <w:t>3.1 Task Definition</w:t>
      </w:r>
    </w:p>
    <w:p>
      <w:pPr>
        <w:spacing w:after="120"/>
        <w:ind w:firstLine="283"/>
      </w:pPr>
      <w:r>
        <w:rPr>
          <w:color w:val="0F172A"/>
          <w:sz w:val="22"/>
        </w:rPr>
        <w:t>We define the Document Bundle Analysis task as follows. Given a sequence of page images P = (p₁, p₂, ..., pₙ) from a single PDF bundle, the model must produce for each page pᵢ a structured output yᵢ that contains:</w:t>
      </w:r>
    </w:p>
    <w:p>
      <w:pPr>
        <w:pStyle w:val="ListBullet"/>
        <w:spacing w:after="60"/>
        <w:ind w:left="397"/>
      </w:pPr>
      <w:r>
        <w:rPr>
          <w:color w:val="0F172A"/>
          <w:sz w:val="21"/>
        </w:rPr>
        <w:t>The document class cᵢ ∈ C where C is a known vocabulary of N document types.</w:t>
      </w:r>
    </w:p>
    <w:p>
      <w:pPr>
        <w:pStyle w:val="ListBullet"/>
        <w:spacing w:after="60"/>
        <w:ind w:left="397"/>
      </w:pPr>
      <w:r>
        <w:rPr>
          <w:color w:val="0F172A"/>
          <w:sz w:val="21"/>
        </w:rPr>
        <w:t>The page position posᵢ ∈ {START, CONTINUATION}, indicating whether this page begins a new document instance (START) or continues the previous one (CONTINUATION).</w:t>
      </w:r>
    </w:p>
    <w:p>
      <w:pPr>
        <w:pStyle w:val="ListBullet"/>
        <w:spacing w:after="60"/>
        <w:ind w:left="397"/>
      </w:pPr>
      <w:r>
        <w:rPr>
          <w:color w:val="0F172A"/>
          <w:sz w:val="21"/>
        </w:rPr>
        <w:t>For START pages: a set of extracted field values {f₁, f₂, ..., fₖ} drawn from a universal field schema F applicable across all document classes.</w:t>
      </w:r>
    </w:p>
    <w:p>
      <w:pPr>
        <w:spacing w:after="120"/>
        <w:ind w:firstLine="283"/>
      </w:pPr>
      <w:r>
        <w:rPr>
          <w:color w:val="0F172A"/>
          <w:sz w:val="22"/>
        </w:rPr>
        <w:t>The three sub-tasks are solved jointly in a single forward pass per page, with the output formatted as a JSON object:</w:t>
      </w:r>
    </w:p>
    <w:p>
      <w:pPr>
        <w:spacing w:before="80" w:after="80"/>
        <w:jc w:val="center"/>
      </w:pPr>
      <w:r>
        <w:rPr>
          <w:rFonts w:ascii="Courier New" w:hAnsi="Courier New"/>
          <w:color w:val="1E3A5F"/>
          <w:sz w:val="20"/>
        </w:rPr>
        <w:t>{ "class": cᵢ, "position": posᵢ, "field₁": v₁, ..., "fieldₖ": vₖ }</w:t>
      </w:r>
    </w:p>
    <w:p>
      <w:pPr>
        <w:spacing w:after="120"/>
        <w:ind w:firstLine="283"/>
      </w:pPr>
      <w:r>
        <w:rPr>
          <w:color w:val="0F172A"/>
          <w:sz w:val="22"/>
        </w:rPr>
        <w:t>For CONTINUATION pages, only class and position are output; field values are omitted since they are already captured from the START page of that document.</w:t>
      </w:r>
    </w:p>
    <w:p>
      <w:pPr>
        <w:spacing w:before="200" w:after="60"/>
      </w:pPr>
      <w:r>
        <w:rPr>
          <w:b/>
          <w:color w:val="0E7ABF"/>
          <w:sz w:val="24"/>
        </w:rPr>
        <w:t>3.2 Document Splitting as an Emergent Property</w:t>
      </w:r>
    </w:p>
    <w:p>
      <w:pPr>
        <w:spacing w:after="120"/>
        <w:ind w:firstLine="283"/>
      </w:pPr>
      <w:r>
        <w:rPr>
          <w:color w:val="0F172A"/>
          <w:sz w:val="22"/>
        </w:rPr>
        <w:t>Given the per-page outputs yᵢ, document splitting — the recovery of individual document instances from the bundle — is a deterministic post-processing step. A new document instance begins whenever posᵢ = START or whenever consecutive pages are classified into different document classes. No separate splitting model, objective, or training signal is required. This design choice simplifies both the training pipeline and the inference logic.</w:t>
      </w:r>
    </w:p>
    <w:p>
      <w:pPr>
        <w:spacing w:before="200" w:after="60"/>
      </w:pPr>
      <w:r>
        <w:rPr>
          <w:b/>
          <w:color w:val="0E7ABF"/>
          <w:sz w:val="24"/>
        </w:rPr>
        <w:t>3.3 Universal Field Schema</w:t>
      </w:r>
    </w:p>
    <w:p>
      <w:pPr>
        <w:spacing w:after="120"/>
        <w:ind w:firstLine="283"/>
      </w:pPr>
      <w:r>
        <w:rPr>
          <w:color w:val="0F172A"/>
          <w:sz w:val="22"/>
        </w:rPr>
        <w:t>Rather than defining class-specific extraction schemas (which would require separate training for each new document type), we define a universal field schema F containing fields present across the broadest possible range of document classes:</w:t>
      </w:r>
    </w:p>
    <w:p>
      <w:pPr>
        <w:spacing w:before="160" w:after="80"/>
        <w:jc w:val="center"/>
      </w:pPr>
      <w:r>
        <w:rPr>
          <w:b/>
          <w:color w:val="1E3A5F"/>
          <w:sz w:val="20"/>
        </w:rPr>
        <w:t>Table 1. Universal field schema and its applicability across document types.</w:t>
      </w:r>
    </w:p>
    <w:tbl>
      <w:tblPr>
        <w:tblStyle w:val="TableGrid"/>
        <w:tblW w:type="auto" w:w="0"/>
        <w:jc w:val="center"/>
        <w:tblLook w:firstColumn="1" w:firstRow="1" w:lastColumn="0" w:lastRow="0" w:noHBand="0" w:noVBand="1" w:val="04A0"/>
      </w:tblPr>
      <w:tblGrid>
        <w:gridCol w:w="2835"/>
        <w:gridCol w:w="2835"/>
        <w:gridCol w:w="2835"/>
      </w:tblGrid>
      <w:tr>
        <w:tc>
          <w:tcPr>
            <w:tcW w:type="dxa" w:w="2268"/>
            <w:shd w:val="clear" w:color="auto" w:fill="1E3A5F"/>
          </w:tcPr>
          <w:p>
            <w:pPr>
              <w:jc w:val="center"/>
            </w:pPr>
            <w:r>
              <w:rPr>
                <w:b/>
                <w:color w:val="FFFFFF"/>
                <w:sz w:val="20"/>
              </w:rPr>
              <w:t>Field</w:t>
            </w:r>
          </w:p>
        </w:tc>
        <w:tc>
          <w:tcPr>
            <w:tcW w:type="dxa" w:w="3118"/>
            <w:shd w:val="clear" w:color="auto" w:fill="1E3A5F"/>
          </w:tcPr>
          <w:p>
            <w:pPr>
              <w:jc w:val="center"/>
            </w:pPr>
            <w:r>
              <w:rPr>
                <w:b/>
                <w:color w:val="FFFFFF"/>
                <w:sz w:val="20"/>
              </w:rPr>
              <w:t>Description</w:t>
            </w:r>
          </w:p>
        </w:tc>
        <w:tc>
          <w:tcPr>
            <w:tcW w:type="dxa" w:w="2835"/>
            <w:shd w:val="clear" w:color="auto" w:fill="1E3A5F"/>
          </w:tcPr>
          <w:p>
            <w:pPr>
              <w:jc w:val="center"/>
            </w:pPr>
            <w:r>
              <w:rPr>
                <w:b/>
                <w:color w:val="FFFFFF"/>
                <w:sz w:val="20"/>
              </w:rPr>
              <w:t>Example Classes</w:t>
            </w:r>
          </w:p>
        </w:tc>
      </w:tr>
      <w:tr>
        <w:tc>
          <w:tcPr>
            <w:tcW w:type="dxa" w:w="2268"/>
            <w:shd w:val="clear" w:color="auto" w:fill="F8FAFC"/>
          </w:tcPr>
          <w:p>
            <w:pPr>
              <w:jc w:val="center"/>
            </w:pPr>
            <w:r>
              <w:rPr>
                <w:sz w:val="20"/>
              </w:rPr>
              <w:t>shipper_name</w:t>
            </w:r>
          </w:p>
        </w:tc>
        <w:tc>
          <w:tcPr>
            <w:tcW w:type="dxa" w:w="3118"/>
            <w:shd w:val="clear" w:color="auto" w:fill="F8FAFC"/>
          </w:tcPr>
          <w:p>
            <w:pPr>
              <w:jc w:val="center"/>
            </w:pPr>
            <w:r>
              <w:rPr>
                <w:sz w:val="20"/>
              </w:rPr>
              <w:t>Party sending the goods</w:t>
            </w:r>
          </w:p>
        </w:tc>
        <w:tc>
          <w:tcPr>
            <w:tcW w:type="dxa" w:w="2835"/>
            <w:shd w:val="clear" w:color="auto" w:fill="F8FAFC"/>
          </w:tcPr>
          <w:p>
            <w:pPr>
              <w:jc w:val="center"/>
            </w:pPr>
            <w:r>
              <w:rPr>
                <w:sz w:val="20"/>
              </w:rPr>
              <w:t>Invoice, BL, Airway Bill</w:t>
            </w:r>
          </w:p>
        </w:tc>
      </w:tr>
      <w:tr>
        <w:tc>
          <w:tcPr>
            <w:tcW w:type="dxa" w:w="2268"/>
            <w:shd w:val="clear" w:color="auto" w:fill="FFFFFF"/>
          </w:tcPr>
          <w:p>
            <w:pPr>
              <w:jc w:val="center"/>
            </w:pPr>
            <w:r>
              <w:rPr>
                <w:sz w:val="20"/>
              </w:rPr>
              <w:t>consignee_name</w:t>
            </w:r>
          </w:p>
        </w:tc>
        <w:tc>
          <w:tcPr>
            <w:tcW w:type="dxa" w:w="3118"/>
            <w:shd w:val="clear" w:color="auto" w:fill="FFFFFF"/>
          </w:tcPr>
          <w:p>
            <w:pPr>
              <w:jc w:val="center"/>
            </w:pPr>
            <w:r>
              <w:rPr>
                <w:sz w:val="20"/>
              </w:rPr>
              <w:t>Party receiving the goods</w:t>
            </w:r>
          </w:p>
        </w:tc>
        <w:tc>
          <w:tcPr>
            <w:tcW w:type="dxa" w:w="2835"/>
            <w:shd w:val="clear" w:color="auto" w:fill="FFFFFF"/>
          </w:tcPr>
          <w:p>
            <w:pPr>
              <w:jc w:val="center"/>
            </w:pPr>
            <w:r>
              <w:rPr>
                <w:sz w:val="20"/>
              </w:rPr>
              <w:t>Invoice, BL, Packing List</w:t>
            </w:r>
          </w:p>
        </w:tc>
      </w:tr>
      <w:tr>
        <w:tc>
          <w:tcPr>
            <w:tcW w:type="dxa" w:w="2268"/>
            <w:shd w:val="clear" w:color="auto" w:fill="F8FAFC"/>
          </w:tcPr>
          <w:p>
            <w:pPr>
              <w:jc w:val="center"/>
            </w:pPr>
            <w:r>
              <w:rPr>
                <w:sz w:val="20"/>
              </w:rPr>
              <w:t>document_date</w:t>
            </w:r>
          </w:p>
        </w:tc>
        <w:tc>
          <w:tcPr>
            <w:tcW w:type="dxa" w:w="3118"/>
            <w:shd w:val="clear" w:color="auto" w:fill="F8FAFC"/>
          </w:tcPr>
          <w:p>
            <w:pPr>
              <w:jc w:val="center"/>
            </w:pPr>
            <w:r>
              <w:rPr>
                <w:sz w:val="20"/>
              </w:rPr>
              <w:t>Issue or effective date</w:t>
            </w:r>
          </w:p>
        </w:tc>
        <w:tc>
          <w:tcPr>
            <w:tcW w:type="dxa" w:w="2835"/>
            <w:shd w:val="clear" w:color="auto" w:fill="F8FAFC"/>
          </w:tcPr>
          <w:p>
            <w:pPr>
              <w:jc w:val="center"/>
            </w:pPr>
            <w:r>
              <w:rPr>
                <w:sz w:val="20"/>
              </w:rPr>
              <w:t>All classes</w:t>
            </w:r>
          </w:p>
        </w:tc>
      </w:tr>
      <w:tr>
        <w:tc>
          <w:tcPr>
            <w:tcW w:type="dxa" w:w="2268"/>
            <w:shd w:val="clear" w:color="auto" w:fill="FFFFFF"/>
          </w:tcPr>
          <w:p>
            <w:pPr>
              <w:jc w:val="center"/>
            </w:pPr>
            <w:r>
              <w:rPr>
                <w:sz w:val="20"/>
              </w:rPr>
              <w:t>document_number</w:t>
            </w:r>
          </w:p>
        </w:tc>
        <w:tc>
          <w:tcPr>
            <w:tcW w:type="dxa" w:w="3118"/>
            <w:shd w:val="clear" w:color="auto" w:fill="FFFFFF"/>
          </w:tcPr>
          <w:p>
            <w:pPr>
              <w:jc w:val="center"/>
            </w:pPr>
            <w:r>
              <w:rPr>
                <w:sz w:val="20"/>
              </w:rPr>
              <w:t>Unique document identifier</w:t>
            </w:r>
          </w:p>
        </w:tc>
        <w:tc>
          <w:tcPr>
            <w:tcW w:type="dxa" w:w="2835"/>
            <w:shd w:val="clear" w:color="auto" w:fill="FFFFFF"/>
          </w:tcPr>
          <w:p>
            <w:pPr>
              <w:jc w:val="center"/>
            </w:pPr>
            <w:r>
              <w:rPr>
                <w:sz w:val="20"/>
              </w:rPr>
              <w:t>All classes</w:t>
            </w:r>
          </w:p>
        </w:tc>
      </w:tr>
      <w:tr>
        <w:tc>
          <w:tcPr>
            <w:tcW w:type="dxa" w:w="2268"/>
            <w:shd w:val="clear" w:color="auto" w:fill="F8FAFC"/>
          </w:tcPr>
          <w:p>
            <w:pPr>
              <w:jc w:val="center"/>
            </w:pPr>
            <w:r>
              <w:rPr>
                <w:sz w:val="20"/>
              </w:rPr>
              <w:t>country_of_origin</w:t>
            </w:r>
          </w:p>
        </w:tc>
        <w:tc>
          <w:tcPr>
            <w:tcW w:type="dxa" w:w="3118"/>
            <w:shd w:val="clear" w:color="auto" w:fill="F8FAFC"/>
          </w:tcPr>
          <w:p>
            <w:pPr>
              <w:jc w:val="center"/>
            </w:pPr>
            <w:r>
              <w:rPr>
                <w:sz w:val="20"/>
              </w:rPr>
              <w:t>Origin country or airport</w:t>
            </w:r>
          </w:p>
        </w:tc>
        <w:tc>
          <w:tcPr>
            <w:tcW w:type="dxa" w:w="2835"/>
            <w:shd w:val="clear" w:color="auto" w:fill="F8FAFC"/>
          </w:tcPr>
          <w:p>
            <w:pPr>
              <w:jc w:val="center"/>
            </w:pPr>
            <w:r>
              <w:rPr>
                <w:sz w:val="20"/>
              </w:rPr>
              <w:t>Invoice, CoO, SLI, POA</w:t>
            </w:r>
          </w:p>
        </w:tc>
      </w:tr>
      <w:tr>
        <w:tc>
          <w:tcPr>
            <w:tcW w:type="dxa" w:w="2268"/>
            <w:shd w:val="clear" w:color="auto" w:fill="FFFFFF"/>
          </w:tcPr>
          <w:p>
            <w:pPr>
              <w:jc w:val="center"/>
            </w:pPr>
            <w:r>
              <w:rPr>
                <w:sz w:val="20"/>
              </w:rPr>
              <w:t>country_of_destination</w:t>
            </w:r>
          </w:p>
        </w:tc>
        <w:tc>
          <w:tcPr>
            <w:tcW w:type="dxa" w:w="3118"/>
            <w:shd w:val="clear" w:color="auto" w:fill="FFFFFF"/>
          </w:tcPr>
          <w:p>
            <w:pPr>
              <w:jc w:val="center"/>
            </w:pPr>
            <w:r>
              <w:rPr>
                <w:sz w:val="20"/>
              </w:rPr>
              <w:t>Destination country or airport</w:t>
            </w:r>
          </w:p>
        </w:tc>
        <w:tc>
          <w:tcPr>
            <w:tcW w:type="dxa" w:w="2835"/>
            <w:shd w:val="clear" w:color="auto" w:fill="FFFFFF"/>
          </w:tcPr>
          <w:p>
            <w:pPr>
              <w:jc w:val="center"/>
            </w:pPr>
            <w:r>
              <w:rPr>
                <w:sz w:val="20"/>
              </w:rPr>
              <w:t>Invoice, BL, HAWB</w:t>
            </w:r>
          </w:p>
        </w:tc>
      </w:tr>
      <w:tr>
        <w:tc>
          <w:tcPr>
            <w:tcW w:type="dxa" w:w="2268"/>
            <w:shd w:val="clear" w:color="auto" w:fill="F8FAFC"/>
          </w:tcPr>
          <w:p>
            <w:pPr>
              <w:jc w:val="center"/>
            </w:pPr>
            <w:r>
              <w:rPr>
                <w:sz w:val="20"/>
              </w:rPr>
              <w:t>description_of_goods</w:t>
            </w:r>
          </w:p>
        </w:tc>
        <w:tc>
          <w:tcPr>
            <w:tcW w:type="dxa" w:w="3118"/>
            <w:shd w:val="clear" w:color="auto" w:fill="F8FAFC"/>
          </w:tcPr>
          <w:p>
            <w:pPr>
              <w:jc w:val="center"/>
            </w:pPr>
            <w:r>
              <w:rPr>
                <w:sz w:val="20"/>
              </w:rPr>
              <w:t>Free-text goods description</w:t>
            </w:r>
          </w:p>
        </w:tc>
        <w:tc>
          <w:tcPr>
            <w:tcW w:type="dxa" w:w="2835"/>
            <w:shd w:val="clear" w:color="auto" w:fill="F8FAFC"/>
          </w:tcPr>
          <w:p>
            <w:pPr>
              <w:jc w:val="center"/>
            </w:pPr>
            <w:r>
              <w:rPr>
                <w:sz w:val="20"/>
              </w:rPr>
              <w:t>Invoice, BL, Packing List</w:t>
            </w:r>
          </w:p>
        </w:tc>
      </w:tr>
      <w:tr>
        <w:tc>
          <w:tcPr>
            <w:tcW w:type="dxa" w:w="2268"/>
            <w:shd w:val="clear" w:color="auto" w:fill="FFFFFF"/>
          </w:tcPr>
          <w:p>
            <w:pPr>
              <w:jc w:val="center"/>
            </w:pPr>
            <w:r>
              <w:rPr>
                <w:sz w:val="20"/>
              </w:rPr>
              <w:t>gross_weight_kg</w:t>
            </w:r>
          </w:p>
        </w:tc>
        <w:tc>
          <w:tcPr>
            <w:tcW w:type="dxa" w:w="3118"/>
            <w:shd w:val="clear" w:color="auto" w:fill="FFFFFF"/>
          </w:tcPr>
          <w:p>
            <w:pPr>
              <w:jc w:val="center"/>
            </w:pPr>
            <w:r>
              <w:rPr>
                <w:sz w:val="20"/>
              </w:rPr>
              <w:t>Gross weight in kilograms</w:t>
            </w:r>
          </w:p>
        </w:tc>
        <w:tc>
          <w:tcPr>
            <w:tcW w:type="dxa" w:w="2835"/>
            <w:shd w:val="clear" w:color="auto" w:fill="FFFFFF"/>
          </w:tcPr>
          <w:p>
            <w:pPr>
              <w:jc w:val="center"/>
            </w:pPr>
            <w:r>
              <w:rPr>
                <w:sz w:val="20"/>
              </w:rPr>
              <w:t>Invoice, BL, HAWB, PL</w:t>
            </w:r>
          </w:p>
        </w:tc>
      </w:tr>
      <w:tr>
        <w:tc>
          <w:tcPr>
            <w:tcW w:type="dxa" w:w="2268"/>
            <w:shd w:val="clear" w:color="auto" w:fill="F8FAFC"/>
          </w:tcPr>
          <w:p>
            <w:pPr>
              <w:jc w:val="center"/>
            </w:pPr>
            <w:r>
              <w:rPr>
                <w:sz w:val="20"/>
              </w:rPr>
              <w:t>net_weight_kg</w:t>
            </w:r>
          </w:p>
        </w:tc>
        <w:tc>
          <w:tcPr>
            <w:tcW w:type="dxa" w:w="3118"/>
            <w:shd w:val="clear" w:color="auto" w:fill="F8FAFC"/>
          </w:tcPr>
          <w:p>
            <w:pPr>
              <w:jc w:val="center"/>
            </w:pPr>
            <w:r>
              <w:rPr>
                <w:sz w:val="20"/>
              </w:rPr>
              <w:t>Net weight in kilograms</w:t>
            </w:r>
          </w:p>
        </w:tc>
        <w:tc>
          <w:tcPr>
            <w:tcW w:type="dxa" w:w="2835"/>
            <w:shd w:val="clear" w:color="auto" w:fill="F8FAFC"/>
          </w:tcPr>
          <w:p>
            <w:pPr>
              <w:jc w:val="center"/>
            </w:pPr>
            <w:r>
              <w:rPr>
                <w:sz w:val="20"/>
              </w:rPr>
              <w:t>Invoice, HBL, Packing List</w:t>
            </w:r>
          </w:p>
        </w:tc>
      </w:tr>
      <w:tr>
        <w:tc>
          <w:tcPr>
            <w:tcW w:type="dxa" w:w="2268"/>
            <w:shd w:val="clear" w:color="auto" w:fill="FFFFFF"/>
          </w:tcPr>
          <w:p>
            <w:pPr>
              <w:jc w:val="center"/>
            </w:pPr>
            <w:r>
              <w:rPr>
                <w:sz w:val="20"/>
              </w:rPr>
              <w:t>total_weight_kg</w:t>
            </w:r>
          </w:p>
        </w:tc>
        <w:tc>
          <w:tcPr>
            <w:tcW w:type="dxa" w:w="3118"/>
            <w:shd w:val="clear" w:color="auto" w:fill="FFFFFF"/>
          </w:tcPr>
          <w:p>
            <w:pPr>
              <w:jc w:val="center"/>
            </w:pPr>
            <w:r>
              <w:rPr>
                <w:sz w:val="20"/>
              </w:rPr>
              <w:t>Total/combined weight</w:t>
            </w:r>
          </w:p>
        </w:tc>
        <w:tc>
          <w:tcPr>
            <w:tcW w:type="dxa" w:w="2835"/>
            <w:shd w:val="clear" w:color="auto" w:fill="FFFFFF"/>
          </w:tcPr>
          <w:p>
            <w:pPr>
              <w:jc w:val="center"/>
            </w:pPr>
            <w:r>
              <w:rPr>
                <w:sz w:val="20"/>
              </w:rPr>
              <w:t>SLI, Customs, Manifest</w:t>
            </w:r>
          </w:p>
        </w:tc>
      </w:tr>
      <w:tr>
        <w:tc>
          <w:tcPr>
            <w:tcW w:type="dxa" w:w="2268"/>
            <w:shd w:val="clear" w:color="auto" w:fill="F8FAFC"/>
          </w:tcPr>
          <w:p>
            <w:pPr>
              <w:jc w:val="center"/>
            </w:pPr>
            <w:r>
              <w:rPr>
                <w:sz w:val="20"/>
              </w:rPr>
              <w:t>license_number</w:t>
            </w:r>
          </w:p>
        </w:tc>
        <w:tc>
          <w:tcPr>
            <w:tcW w:type="dxa" w:w="3118"/>
            <w:shd w:val="clear" w:color="auto" w:fill="F8FAFC"/>
          </w:tcPr>
          <w:p>
            <w:pPr>
              <w:jc w:val="center"/>
            </w:pPr>
            <w:r>
              <w:rPr>
                <w:sz w:val="20"/>
              </w:rPr>
              <w:t>Export/import license number</w:t>
            </w:r>
          </w:p>
        </w:tc>
        <w:tc>
          <w:tcPr>
            <w:tcW w:type="dxa" w:w="2835"/>
            <w:shd w:val="clear" w:color="auto" w:fill="F8FAFC"/>
          </w:tcPr>
          <w:p>
            <w:pPr>
              <w:jc w:val="center"/>
            </w:pPr>
            <w:r>
              <w:rPr>
                <w:sz w:val="20"/>
              </w:rPr>
              <w:t>License, POA</w:t>
            </w:r>
          </w:p>
        </w:tc>
      </w:tr>
      <w:tr>
        <w:tc>
          <w:tcPr>
            <w:tcW w:type="dxa" w:w="2268"/>
            <w:shd w:val="clear" w:color="auto" w:fill="FFFFFF"/>
          </w:tcPr>
          <w:p>
            <w:pPr>
              <w:jc w:val="center"/>
            </w:pPr>
            <w:r>
              <w:rPr>
                <w:sz w:val="20"/>
              </w:rPr>
              <w:t>validity_start</w:t>
            </w:r>
          </w:p>
        </w:tc>
        <w:tc>
          <w:tcPr>
            <w:tcW w:type="dxa" w:w="3118"/>
            <w:shd w:val="clear" w:color="auto" w:fill="FFFFFF"/>
          </w:tcPr>
          <w:p>
            <w:pPr>
              <w:jc w:val="center"/>
            </w:pPr>
            <w:r>
              <w:rPr>
                <w:sz w:val="20"/>
              </w:rPr>
              <w:t>License or authorization start date</w:t>
            </w:r>
          </w:p>
        </w:tc>
        <w:tc>
          <w:tcPr>
            <w:tcW w:type="dxa" w:w="2835"/>
            <w:shd w:val="clear" w:color="auto" w:fill="FFFFFF"/>
          </w:tcPr>
          <w:p>
            <w:pPr>
              <w:jc w:val="center"/>
            </w:pPr>
            <w:r>
              <w:rPr>
                <w:sz w:val="20"/>
              </w:rPr>
              <w:t>License, POA</w:t>
            </w:r>
          </w:p>
        </w:tc>
      </w:tr>
      <w:tr>
        <w:tc>
          <w:tcPr>
            <w:tcW w:type="dxa" w:w="2268"/>
            <w:shd w:val="clear" w:color="auto" w:fill="F8FAFC"/>
          </w:tcPr>
          <w:p>
            <w:pPr>
              <w:jc w:val="center"/>
            </w:pPr>
            <w:r>
              <w:rPr>
                <w:sz w:val="20"/>
              </w:rPr>
              <w:t>validity_end</w:t>
            </w:r>
          </w:p>
        </w:tc>
        <w:tc>
          <w:tcPr>
            <w:tcW w:type="dxa" w:w="3118"/>
            <w:shd w:val="clear" w:color="auto" w:fill="F8FAFC"/>
          </w:tcPr>
          <w:p>
            <w:pPr>
              <w:jc w:val="center"/>
            </w:pPr>
            <w:r>
              <w:rPr>
                <w:sz w:val="20"/>
              </w:rPr>
              <w:t>License or authorization end date</w:t>
            </w:r>
          </w:p>
        </w:tc>
        <w:tc>
          <w:tcPr>
            <w:tcW w:type="dxa" w:w="2835"/>
            <w:shd w:val="clear" w:color="auto" w:fill="F8FAFC"/>
          </w:tcPr>
          <w:p>
            <w:pPr>
              <w:jc w:val="center"/>
            </w:pPr>
            <w:r>
              <w:rPr>
                <w:sz w:val="20"/>
              </w:rPr>
              <w:t>License, POA</w:t>
            </w:r>
          </w:p>
        </w:tc>
      </w:tr>
      <w:tr>
        <w:tc>
          <w:tcPr>
            <w:tcW w:type="dxa" w:w="2268"/>
            <w:shd w:val="clear" w:color="auto" w:fill="FFFFFF"/>
          </w:tcPr>
          <w:p>
            <w:pPr>
              <w:jc w:val="center"/>
            </w:pPr>
            <w:r>
              <w:rPr>
                <w:sz w:val="20"/>
              </w:rPr>
              <w:t>licensee_name</w:t>
            </w:r>
          </w:p>
        </w:tc>
        <w:tc>
          <w:tcPr>
            <w:tcW w:type="dxa" w:w="3118"/>
            <w:shd w:val="clear" w:color="auto" w:fill="FFFFFF"/>
          </w:tcPr>
          <w:p>
            <w:pPr>
              <w:jc w:val="center"/>
            </w:pPr>
            <w:r>
              <w:rPr>
                <w:sz w:val="20"/>
              </w:rPr>
              <w:t>Entity holding the license</w:t>
            </w:r>
          </w:p>
        </w:tc>
        <w:tc>
          <w:tcPr>
            <w:tcW w:type="dxa" w:w="2835"/>
            <w:shd w:val="clear" w:color="auto" w:fill="FFFFFF"/>
          </w:tcPr>
          <w:p>
            <w:pPr>
              <w:jc w:val="center"/>
            </w:pPr>
            <w:r>
              <w:rPr>
                <w:sz w:val="20"/>
              </w:rPr>
              <w:t>License, POA</w:t>
            </w:r>
          </w:p>
        </w:tc>
      </w:tr>
    </w:tbl>
    <w:p>
      <w:pPr>
        <w:spacing w:after="120"/>
      </w:pPr>
    </w:p>
    <w:p>
      <w:pPr>
        <w:spacing w:after="120"/>
        <w:ind w:firstLine="283"/>
      </w:pPr>
      <w:r>
        <w:rPr>
          <w:color w:val="0F172A"/>
          <w:sz w:val="22"/>
        </w:rPr>
        <w:t>Fields not present in a given document class are annotated as null during training. This teaches the model to output null for inapplicable fields rather than hallucinating values, which is critical for production reliability.</w:t>
      </w:r>
    </w:p>
    <w:p>
      <w:pPr>
        <w:spacing w:before="320" w:after="80"/>
        <w:pBdr>
          <w:bottom w:val="single" w:sz="4" w:space="4" w:color="1E3A5F"/>
        </w:pBdr>
      </w:pPr>
      <w:r>
        <w:rPr>
          <w:b/>
          <w:color w:val="1E3A5F"/>
          <w:sz w:val="28"/>
        </w:rPr>
        <w:t>4. Dataset Construction</w:t>
      </w:r>
    </w:p>
    <w:p>
      <w:pPr>
        <w:spacing w:before="200" w:after="60"/>
      </w:pPr>
      <w:r>
        <w:rPr>
          <w:b/>
          <w:color w:val="0E7ABF"/>
          <w:sz w:val="24"/>
        </w:rPr>
        <w:t>4.1 Document Classes</w:t>
      </w:r>
    </w:p>
    <w:p>
      <w:pPr>
        <w:spacing w:after="120"/>
        <w:ind w:firstLine="283"/>
      </w:pPr>
      <w:r>
        <w:rPr>
          <w:color w:val="0F172A"/>
          <w:sz w:val="22"/>
        </w:rPr>
        <w:t>We selected 12 document classes representative of logistics and trade compliance workflows. The same classes appear with high frequency in banking (letters of credit require several of these same documents), pharmaceutical import/export, and government procurement. The class set is intentionally extensible — adding a new class requires only a new generator script and the corresponding universal field annotations.</w:t>
      </w:r>
    </w:p>
    <w:p>
      <w:pPr>
        <w:spacing w:before="160" w:after="80"/>
        <w:jc w:val="center"/>
      </w:pPr>
      <w:r>
        <w:rPr>
          <w:b/>
          <w:color w:val="1E3A5F"/>
          <w:sz w:val="20"/>
        </w:rPr>
        <w:t>Table 2. Document classes, format variants, and approximate document count.</w:t>
      </w:r>
    </w:p>
    <w:tbl>
      <w:tblPr>
        <w:tblStyle w:val="TableGrid"/>
        <w:tblW w:type="auto" w:w="0"/>
        <w:jc w:val="center"/>
        <w:tblLook w:firstColumn="1" w:firstRow="1" w:lastColumn="0" w:lastRow="0" w:noHBand="0" w:noVBand="1" w:val="04A0"/>
      </w:tblPr>
      <w:tblGrid>
        <w:gridCol w:w="2126"/>
        <w:gridCol w:w="2126"/>
        <w:gridCol w:w="2126"/>
        <w:gridCol w:w="2126"/>
      </w:tblGrid>
      <w:tr>
        <w:tc>
          <w:tcPr>
            <w:tcW w:type="dxa" w:w="3118"/>
            <w:shd w:val="clear" w:color="auto" w:fill="1E3A5F"/>
          </w:tcPr>
          <w:p>
            <w:pPr>
              <w:jc w:val="center"/>
            </w:pPr>
            <w:r>
              <w:rPr>
                <w:b/>
                <w:color w:val="FFFFFF"/>
                <w:sz w:val="20"/>
              </w:rPr>
              <w:t>Class</w:t>
            </w:r>
          </w:p>
        </w:tc>
        <w:tc>
          <w:tcPr>
            <w:tcW w:type="dxa" w:w="1984"/>
            <w:shd w:val="clear" w:color="auto" w:fill="1E3A5F"/>
          </w:tcPr>
          <w:p>
            <w:pPr>
              <w:jc w:val="center"/>
            </w:pPr>
            <w:r>
              <w:rPr>
                <w:b/>
                <w:color w:val="FFFFFF"/>
                <w:sz w:val="20"/>
              </w:rPr>
              <w:t>Format Variants</w:t>
            </w:r>
          </w:p>
        </w:tc>
        <w:tc>
          <w:tcPr>
            <w:tcW w:type="dxa" w:w="1134"/>
            <w:shd w:val="clear" w:color="auto" w:fill="1E3A5F"/>
          </w:tcPr>
          <w:p>
            <w:pPr>
              <w:jc w:val="center"/>
            </w:pPr>
            <w:r>
              <w:rPr>
                <w:b/>
                <w:color w:val="FFFFFF"/>
                <w:sz w:val="20"/>
              </w:rPr>
              <w:t>Count</w:t>
            </w:r>
          </w:p>
        </w:tc>
        <w:tc>
          <w:tcPr>
            <w:tcW w:type="dxa" w:w="1417"/>
            <w:shd w:val="clear" w:color="auto" w:fill="1E3A5F"/>
          </w:tcPr>
          <w:p>
            <w:pPr>
              <w:jc w:val="center"/>
            </w:pPr>
            <w:r>
              <w:rPr>
                <w:b/>
                <w:color w:val="FFFFFF"/>
                <w:sz w:val="20"/>
              </w:rPr>
              <w:t>Multi-page?</w:t>
            </w:r>
          </w:p>
        </w:tc>
      </w:tr>
      <w:tr>
        <w:tc>
          <w:tcPr>
            <w:tcW w:type="dxa" w:w="3118"/>
            <w:shd w:val="clear" w:color="auto" w:fill="F8FAFC"/>
          </w:tcPr>
          <w:p>
            <w:pPr>
              <w:jc w:val="center"/>
            </w:pPr>
            <w:r>
              <w:rPr>
                <w:sz w:val="20"/>
              </w:rPr>
              <w:t>Commercial Invoice</w:t>
            </w:r>
          </w:p>
        </w:tc>
        <w:tc>
          <w:tcPr>
            <w:tcW w:type="dxa" w:w="1984"/>
            <w:shd w:val="clear" w:color="auto" w:fill="F8FAFC"/>
          </w:tcPr>
          <w:p>
            <w:pPr>
              <w:jc w:val="center"/>
            </w:pPr>
            <w:r>
              <w:rPr>
                <w:sz w:val="20"/>
              </w:rPr>
              <w:t>3</w:t>
            </w:r>
          </w:p>
        </w:tc>
        <w:tc>
          <w:tcPr>
            <w:tcW w:type="dxa" w:w="1134"/>
            <w:shd w:val="clear" w:color="auto" w:fill="F8FAFC"/>
          </w:tcPr>
          <w:p>
            <w:pPr>
              <w:jc w:val="center"/>
            </w:pPr>
            <w:r>
              <w:rPr>
                <w:sz w:val="20"/>
              </w:rPr>
              <w:t>1,000</w:t>
            </w:r>
          </w:p>
        </w:tc>
        <w:tc>
          <w:tcPr>
            <w:tcW w:type="dxa" w:w="1417"/>
            <w:shd w:val="clear" w:color="auto" w:fill="F8FAFC"/>
          </w:tcPr>
          <w:p>
            <w:pPr>
              <w:jc w:val="center"/>
            </w:pPr>
            <w:r>
              <w:rPr>
                <w:sz w:val="20"/>
              </w:rPr>
              <w:t>Yes</w:t>
            </w:r>
          </w:p>
        </w:tc>
      </w:tr>
      <w:tr>
        <w:tc>
          <w:tcPr>
            <w:tcW w:type="dxa" w:w="3118"/>
            <w:shd w:val="clear" w:color="auto" w:fill="FFFFFF"/>
          </w:tcPr>
          <w:p>
            <w:pPr>
              <w:jc w:val="center"/>
            </w:pPr>
            <w:r>
              <w:rPr>
                <w:sz w:val="20"/>
              </w:rPr>
              <w:t>House Bill of Lading</w:t>
            </w:r>
          </w:p>
        </w:tc>
        <w:tc>
          <w:tcPr>
            <w:tcW w:type="dxa" w:w="1984"/>
            <w:shd w:val="clear" w:color="auto" w:fill="FFFFFF"/>
          </w:tcPr>
          <w:p>
            <w:pPr>
              <w:jc w:val="center"/>
            </w:pPr>
            <w:r>
              <w:rPr>
                <w:sz w:val="20"/>
              </w:rPr>
              <w:t>3</w:t>
            </w:r>
          </w:p>
        </w:tc>
        <w:tc>
          <w:tcPr>
            <w:tcW w:type="dxa" w:w="1134"/>
            <w:shd w:val="clear" w:color="auto" w:fill="FFFFFF"/>
          </w:tcPr>
          <w:p>
            <w:pPr>
              <w:jc w:val="center"/>
            </w:pPr>
            <w:r>
              <w:rPr>
                <w:sz w:val="20"/>
              </w:rPr>
              <w:t>1,000</w:t>
            </w:r>
          </w:p>
        </w:tc>
        <w:tc>
          <w:tcPr>
            <w:tcW w:type="dxa" w:w="1417"/>
            <w:shd w:val="clear" w:color="auto" w:fill="FFFFFF"/>
          </w:tcPr>
          <w:p>
            <w:pPr>
              <w:jc w:val="center"/>
            </w:pPr>
            <w:r>
              <w:rPr>
                <w:sz w:val="20"/>
              </w:rPr>
              <w:t>Yes</w:t>
            </w:r>
          </w:p>
        </w:tc>
      </w:tr>
      <w:tr>
        <w:tc>
          <w:tcPr>
            <w:tcW w:type="dxa" w:w="3118"/>
            <w:shd w:val="clear" w:color="auto" w:fill="F8FAFC"/>
          </w:tcPr>
          <w:p>
            <w:pPr>
              <w:jc w:val="center"/>
            </w:pPr>
            <w:r>
              <w:rPr>
                <w:sz w:val="20"/>
              </w:rPr>
              <w:t>Certificate of Origin</w:t>
            </w:r>
          </w:p>
        </w:tc>
        <w:tc>
          <w:tcPr>
            <w:tcW w:type="dxa" w:w="1984"/>
            <w:shd w:val="clear" w:color="auto" w:fill="F8FAFC"/>
          </w:tcPr>
          <w:p>
            <w:pPr>
              <w:jc w:val="center"/>
            </w:pPr>
            <w:r>
              <w:rPr>
                <w:sz w:val="20"/>
              </w:rPr>
              <w:t>3</w:t>
            </w:r>
          </w:p>
        </w:tc>
        <w:tc>
          <w:tcPr>
            <w:tcW w:type="dxa" w:w="1134"/>
            <w:shd w:val="clear" w:color="auto" w:fill="F8FAFC"/>
          </w:tcPr>
          <w:p>
            <w:pPr>
              <w:jc w:val="center"/>
            </w:pPr>
            <w:r>
              <w:rPr>
                <w:sz w:val="20"/>
              </w:rPr>
              <w:t>1,000</w:t>
            </w:r>
          </w:p>
        </w:tc>
        <w:tc>
          <w:tcPr>
            <w:tcW w:type="dxa" w:w="1417"/>
            <w:shd w:val="clear" w:color="auto" w:fill="F8FAFC"/>
          </w:tcPr>
          <w:p>
            <w:pPr>
              <w:jc w:val="center"/>
            </w:pPr>
            <w:r>
              <w:rPr>
                <w:sz w:val="20"/>
              </w:rPr>
              <w:t>No</w:t>
            </w:r>
          </w:p>
        </w:tc>
      </w:tr>
      <w:tr>
        <w:tc>
          <w:tcPr>
            <w:tcW w:type="dxa" w:w="3118"/>
            <w:shd w:val="clear" w:color="auto" w:fill="FFFFFF"/>
          </w:tcPr>
          <w:p>
            <w:pPr>
              <w:jc w:val="center"/>
            </w:pPr>
            <w:r>
              <w:rPr>
                <w:sz w:val="20"/>
              </w:rPr>
              <w:t>Shipper's Letter of Instruction</w:t>
            </w:r>
          </w:p>
        </w:tc>
        <w:tc>
          <w:tcPr>
            <w:tcW w:type="dxa" w:w="1984"/>
            <w:shd w:val="clear" w:color="auto" w:fill="FFFFFF"/>
          </w:tcPr>
          <w:p>
            <w:pPr>
              <w:jc w:val="center"/>
            </w:pPr>
            <w:r>
              <w:rPr>
                <w:sz w:val="20"/>
              </w:rPr>
              <w:t>3</w:t>
            </w:r>
          </w:p>
        </w:tc>
        <w:tc>
          <w:tcPr>
            <w:tcW w:type="dxa" w:w="1134"/>
            <w:shd w:val="clear" w:color="auto" w:fill="FFFFFF"/>
          </w:tcPr>
          <w:p>
            <w:pPr>
              <w:jc w:val="center"/>
            </w:pPr>
            <w:r>
              <w:rPr>
                <w:sz w:val="20"/>
              </w:rPr>
              <w:t>1,000</w:t>
            </w:r>
          </w:p>
        </w:tc>
        <w:tc>
          <w:tcPr>
            <w:tcW w:type="dxa" w:w="1417"/>
            <w:shd w:val="clear" w:color="auto" w:fill="FFFFFF"/>
          </w:tcPr>
          <w:p>
            <w:pPr>
              <w:jc w:val="center"/>
            </w:pPr>
            <w:r>
              <w:rPr>
                <w:sz w:val="20"/>
              </w:rPr>
              <w:t>Yes</w:t>
            </w:r>
          </w:p>
        </w:tc>
      </w:tr>
      <w:tr>
        <w:tc>
          <w:tcPr>
            <w:tcW w:type="dxa" w:w="3118"/>
            <w:shd w:val="clear" w:color="auto" w:fill="F8FAFC"/>
          </w:tcPr>
          <w:p>
            <w:pPr>
              <w:jc w:val="center"/>
            </w:pPr>
            <w:r>
              <w:rPr>
                <w:sz w:val="20"/>
              </w:rPr>
              <w:t>Dangerous Goods Declaration</w:t>
            </w:r>
          </w:p>
        </w:tc>
        <w:tc>
          <w:tcPr>
            <w:tcW w:type="dxa" w:w="1984"/>
            <w:shd w:val="clear" w:color="auto" w:fill="F8FAFC"/>
          </w:tcPr>
          <w:p>
            <w:pPr>
              <w:jc w:val="center"/>
            </w:pPr>
            <w:r>
              <w:rPr>
                <w:sz w:val="20"/>
              </w:rPr>
              <w:t>3</w:t>
            </w:r>
          </w:p>
        </w:tc>
        <w:tc>
          <w:tcPr>
            <w:tcW w:type="dxa" w:w="1134"/>
            <w:shd w:val="clear" w:color="auto" w:fill="F8FAFC"/>
          </w:tcPr>
          <w:p>
            <w:pPr>
              <w:jc w:val="center"/>
            </w:pPr>
            <w:r>
              <w:rPr>
                <w:sz w:val="20"/>
              </w:rPr>
              <w:t>1,000</w:t>
            </w:r>
          </w:p>
        </w:tc>
        <w:tc>
          <w:tcPr>
            <w:tcW w:type="dxa" w:w="1417"/>
            <w:shd w:val="clear" w:color="auto" w:fill="F8FAFC"/>
          </w:tcPr>
          <w:p>
            <w:pPr>
              <w:jc w:val="center"/>
            </w:pPr>
            <w:r>
              <w:rPr>
                <w:sz w:val="20"/>
              </w:rPr>
              <w:t>Yes</w:t>
            </w:r>
          </w:p>
        </w:tc>
      </w:tr>
      <w:tr>
        <w:tc>
          <w:tcPr>
            <w:tcW w:type="dxa" w:w="3118"/>
            <w:shd w:val="clear" w:color="auto" w:fill="FFFFFF"/>
          </w:tcPr>
          <w:p>
            <w:pPr>
              <w:jc w:val="center"/>
            </w:pPr>
            <w:r>
              <w:rPr>
                <w:sz w:val="20"/>
              </w:rPr>
              <w:t>Verified Gross Mass</w:t>
            </w:r>
          </w:p>
        </w:tc>
        <w:tc>
          <w:tcPr>
            <w:tcW w:type="dxa" w:w="1984"/>
            <w:shd w:val="clear" w:color="auto" w:fill="FFFFFF"/>
          </w:tcPr>
          <w:p>
            <w:pPr>
              <w:jc w:val="center"/>
            </w:pPr>
            <w:r>
              <w:rPr>
                <w:sz w:val="20"/>
              </w:rPr>
              <w:t>3</w:t>
            </w:r>
          </w:p>
        </w:tc>
        <w:tc>
          <w:tcPr>
            <w:tcW w:type="dxa" w:w="1134"/>
            <w:shd w:val="clear" w:color="auto" w:fill="FFFFFF"/>
          </w:tcPr>
          <w:p>
            <w:pPr>
              <w:jc w:val="center"/>
            </w:pPr>
            <w:r>
              <w:rPr>
                <w:sz w:val="20"/>
              </w:rPr>
              <w:t>1,000</w:t>
            </w:r>
          </w:p>
        </w:tc>
        <w:tc>
          <w:tcPr>
            <w:tcW w:type="dxa" w:w="1417"/>
            <w:shd w:val="clear" w:color="auto" w:fill="FFFFFF"/>
          </w:tcPr>
          <w:p>
            <w:pPr>
              <w:jc w:val="center"/>
            </w:pPr>
            <w:r>
              <w:rPr>
                <w:sz w:val="20"/>
              </w:rPr>
              <w:t>No</w:t>
            </w:r>
          </w:p>
        </w:tc>
      </w:tr>
      <w:tr>
        <w:tc>
          <w:tcPr>
            <w:tcW w:type="dxa" w:w="3118"/>
            <w:shd w:val="clear" w:color="auto" w:fill="F8FAFC"/>
          </w:tcPr>
          <w:p>
            <w:pPr>
              <w:jc w:val="center"/>
            </w:pPr>
            <w:r>
              <w:rPr>
                <w:sz w:val="20"/>
              </w:rPr>
              <w:t>House Airway Bill</w:t>
            </w:r>
          </w:p>
        </w:tc>
        <w:tc>
          <w:tcPr>
            <w:tcW w:type="dxa" w:w="1984"/>
            <w:shd w:val="clear" w:color="auto" w:fill="F8FAFC"/>
          </w:tcPr>
          <w:p>
            <w:pPr>
              <w:jc w:val="center"/>
            </w:pPr>
            <w:r>
              <w:rPr>
                <w:sz w:val="20"/>
              </w:rPr>
              <w:t>3</w:t>
            </w:r>
          </w:p>
        </w:tc>
        <w:tc>
          <w:tcPr>
            <w:tcW w:type="dxa" w:w="1134"/>
            <w:shd w:val="clear" w:color="auto" w:fill="F8FAFC"/>
          </w:tcPr>
          <w:p>
            <w:pPr>
              <w:jc w:val="center"/>
            </w:pPr>
            <w:r>
              <w:rPr>
                <w:sz w:val="20"/>
              </w:rPr>
              <w:t>1,000</w:t>
            </w:r>
          </w:p>
        </w:tc>
        <w:tc>
          <w:tcPr>
            <w:tcW w:type="dxa" w:w="1417"/>
            <w:shd w:val="clear" w:color="auto" w:fill="F8FAFC"/>
          </w:tcPr>
          <w:p>
            <w:pPr>
              <w:jc w:val="center"/>
            </w:pPr>
            <w:r>
              <w:rPr>
                <w:sz w:val="20"/>
              </w:rPr>
              <w:t>No</w:t>
            </w:r>
          </w:p>
        </w:tc>
      </w:tr>
      <w:tr>
        <w:tc>
          <w:tcPr>
            <w:tcW w:type="dxa" w:w="3118"/>
            <w:shd w:val="clear" w:color="auto" w:fill="FFFFFF"/>
          </w:tcPr>
          <w:p>
            <w:pPr>
              <w:jc w:val="center"/>
            </w:pPr>
            <w:r>
              <w:rPr>
                <w:sz w:val="20"/>
              </w:rPr>
              <w:t>Packing List</w:t>
            </w:r>
          </w:p>
        </w:tc>
        <w:tc>
          <w:tcPr>
            <w:tcW w:type="dxa" w:w="1984"/>
            <w:shd w:val="clear" w:color="auto" w:fill="FFFFFF"/>
          </w:tcPr>
          <w:p>
            <w:pPr>
              <w:jc w:val="center"/>
            </w:pPr>
            <w:r>
              <w:rPr>
                <w:sz w:val="20"/>
              </w:rPr>
              <w:t>3</w:t>
            </w:r>
          </w:p>
        </w:tc>
        <w:tc>
          <w:tcPr>
            <w:tcW w:type="dxa" w:w="1134"/>
            <w:shd w:val="clear" w:color="auto" w:fill="FFFFFF"/>
          </w:tcPr>
          <w:p>
            <w:pPr>
              <w:jc w:val="center"/>
            </w:pPr>
            <w:r>
              <w:rPr>
                <w:sz w:val="20"/>
              </w:rPr>
              <w:t>1,000</w:t>
            </w:r>
          </w:p>
        </w:tc>
        <w:tc>
          <w:tcPr>
            <w:tcW w:type="dxa" w:w="1417"/>
            <w:shd w:val="clear" w:color="auto" w:fill="FFFFFF"/>
          </w:tcPr>
          <w:p>
            <w:pPr>
              <w:jc w:val="center"/>
            </w:pPr>
            <w:r>
              <w:rPr>
                <w:sz w:val="20"/>
              </w:rPr>
              <w:t>Yes</w:t>
            </w:r>
          </w:p>
        </w:tc>
      </w:tr>
      <w:tr>
        <w:tc>
          <w:tcPr>
            <w:tcW w:type="dxa" w:w="3118"/>
            <w:shd w:val="clear" w:color="auto" w:fill="F8FAFC"/>
          </w:tcPr>
          <w:p>
            <w:pPr>
              <w:jc w:val="center"/>
            </w:pPr>
            <w:r>
              <w:rPr>
                <w:sz w:val="20"/>
              </w:rPr>
              <w:t>Customs Declaration</w:t>
            </w:r>
          </w:p>
        </w:tc>
        <w:tc>
          <w:tcPr>
            <w:tcW w:type="dxa" w:w="1984"/>
            <w:shd w:val="clear" w:color="auto" w:fill="F8FAFC"/>
          </w:tcPr>
          <w:p>
            <w:pPr>
              <w:jc w:val="center"/>
            </w:pPr>
            <w:r>
              <w:rPr>
                <w:sz w:val="20"/>
              </w:rPr>
              <w:t>3</w:t>
            </w:r>
          </w:p>
        </w:tc>
        <w:tc>
          <w:tcPr>
            <w:tcW w:type="dxa" w:w="1134"/>
            <w:shd w:val="clear" w:color="auto" w:fill="F8FAFC"/>
          </w:tcPr>
          <w:p>
            <w:pPr>
              <w:jc w:val="center"/>
            </w:pPr>
            <w:r>
              <w:rPr>
                <w:sz w:val="20"/>
              </w:rPr>
              <w:t>1,000</w:t>
            </w:r>
          </w:p>
        </w:tc>
        <w:tc>
          <w:tcPr>
            <w:tcW w:type="dxa" w:w="1417"/>
            <w:shd w:val="clear" w:color="auto" w:fill="F8FAFC"/>
          </w:tcPr>
          <w:p>
            <w:pPr>
              <w:jc w:val="center"/>
            </w:pPr>
            <w:r>
              <w:rPr>
                <w:sz w:val="20"/>
              </w:rPr>
              <w:t>No</w:t>
            </w:r>
          </w:p>
        </w:tc>
      </w:tr>
      <w:tr>
        <w:tc>
          <w:tcPr>
            <w:tcW w:type="dxa" w:w="3118"/>
            <w:shd w:val="clear" w:color="auto" w:fill="FFFFFF"/>
          </w:tcPr>
          <w:p>
            <w:pPr>
              <w:jc w:val="center"/>
            </w:pPr>
            <w:r>
              <w:rPr>
                <w:sz w:val="20"/>
              </w:rPr>
              <w:t>Cargo Manifest</w:t>
            </w:r>
          </w:p>
        </w:tc>
        <w:tc>
          <w:tcPr>
            <w:tcW w:type="dxa" w:w="1984"/>
            <w:shd w:val="clear" w:color="auto" w:fill="FFFFFF"/>
          </w:tcPr>
          <w:p>
            <w:pPr>
              <w:jc w:val="center"/>
            </w:pPr>
            <w:r>
              <w:rPr>
                <w:sz w:val="20"/>
              </w:rPr>
              <w:t>3</w:t>
            </w:r>
          </w:p>
        </w:tc>
        <w:tc>
          <w:tcPr>
            <w:tcW w:type="dxa" w:w="1134"/>
            <w:shd w:val="clear" w:color="auto" w:fill="FFFFFF"/>
          </w:tcPr>
          <w:p>
            <w:pPr>
              <w:jc w:val="center"/>
            </w:pPr>
            <w:r>
              <w:rPr>
                <w:sz w:val="20"/>
              </w:rPr>
              <w:t>1,000</w:t>
            </w:r>
          </w:p>
        </w:tc>
        <w:tc>
          <w:tcPr>
            <w:tcW w:type="dxa" w:w="1417"/>
            <w:shd w:val="clear" w:color="auto" w:fill="FFFFFF"/>
          </w:tcPr>
          <w:p>
            <w:pPr>
              <w:jc w:val="center"/>
            </w:pPr>
            <w:r>
              <w:rPr>
                <w:sz w:val="20"/>
              </w:rPr>
              <w:t>Yes</w:t>
            </w:r>
          </w:p>
        </w:tc>
      </w:tr>
      <w:tr>
        <w:tc>
          <w:tcPr>
            <w:tcW w:type="dxa" w:w="3118"/>
            <w:shd w:val="clear" w:color="auto" w:fill="F8FAFC"/>
          </w:tcPr>
          <w:p>
            <w:pPr>
              <w:jc w:val="center"/>
            </w:pPr>
            <w:r>
              <w:rPr>
                <w:sz w:val="20"/>
              </w:rPr>
              <w:t>Import/Export License</w:t>
            </w:r>
          </w:p>
        </w:tc>
        <w:tc>
          <w:tcPr>
            <w:tcW w:type="dxa" w:w="1984"/>
            <w:shd w:val="clear" w:color="auto" w:fill="F8FAFC"/>
          </w:tcPr>
          <w:p>
            <w:pPr>
              <w:jc w:val="center"/>
            </w:pPr>
            <w:r>
              <w:rPr>
                <w:sz w:val="20"/>
              </w:rPr>
              <w:t>3</w:t>
            </w:r>
          </w:p>
        </w:tc>
        <w:tc>
          <w:tcPr>
            <w:tcW w:type="dxa" w:w="1134"/>
            <w:shd w:val="clear" w:color="auto" w:fill="F8FAFC"/>
          </w:tcPr>
          <w:p>
            <w:pPr>
              <w:jc w:val="center"/>
            </w:pPr>
            <w:r>
              <w:rPr>
                <w:sz w:val="20"/>
              </w:rPr>
              <w:t>1,000</w:t>
            </w:r>
          </w:p>
        </w:tc>
        <w:tc>
          <w:tcPr>
            <w:tcW w:type="dxa" w:w="1417"/>
            <w:shd w:val="clear" w:color="auto" w:fill="F8FAFC"/>
          </w:tcPr>
          <w:p>
            <w:pPr>
              <w:jc w:val="center"/>
            </w:pPr>
            <w:r>
              <w:rPr>
                <w:sz w:val="20"/>
              </w:rPr>
              <w:t>No</w:t>
            </w:r>
          </w:p>
        </w:tc>
      </w:tr>
      <w:tr>
        <w:tc>
          <w:tcPr>
            <w:tcW w:type="dxa" w:w="3118"/>
            <w:shd w:val="clear" w:color="auto" w:fill="FFFFFF"/>
          </w:tcPr>
          <w:p>
            <w:pPr>
              <w:jc w:val="center"/>
            </w:pPr>
            <w:r>
              <w:rPr>
                <w:sz w:val="20"/>
              </w:rPr>
              <w:t>Power of Attorney</w:t>
            </w:r>
          </w:p>
        </w:tc>
        <w:tc>
          <w:tcPr>
            <w:tcW w:type="dxa" w:w="1984"/>
            <w:shd w:val="clear" w:color="auto" w:fill="FFFFFF"/>
          </w:tcPr>
          <w:p>
            <w:pPr>
              <w:jc w:val="center"/>
            </w:pPr>
            <w:r>
              <w:rPr>
                <w:sz w:val="20"/>
              </w:rPr>
              <w:t>3</w:t>
            </w:r>
          </w:p>
        </w:tc>
        <w:tc>
          <w:tcPr>
            <w:tcW w:type="dxa" w:w="1134"/>
            <w:shd w:val="clear" w:color="auto" w:fill="FFFFFF"/>
          </w:tcPr>
          <w:p>
            <w:pPr>
              <w:jc w:val="center"/>
            </w:pPr>
            <w:r>
              <w:rPr>
                <w:sz w:val="20"/>
              </w:rPr>
              <w:t>1,000</w:t>
            </w:r>
          </w:p>
        </w:tc>
        <w:tc>
          <w:tcPr>
            <w:tcW w:type="dxa" w:w="1417"/>
            <w:shd w:val="clear" w:color="auto" w:fill="FFFFFF"/>
          </w:tcPr>
          <w:p>
            <w:pPr>
              <w:jc w:val="center"/>
            </w:pPr>
            <w:r>
              <w:rPr>
                <w:sz w:val="20"/>
              </w:rPr>
              <w:t>No</w:t>
            </w:r>
          </w:p>
        </w:tc>
      </w:tr>
      <w:tr>
        <w:tc>
          <w:tcPr>
            <w:tcW w:type="dxa" w:w="3118"/>
            <w:shd w:val="clear" w:color="auto" w:fill="F8FAFC"/>
          </w:tcPr>
          <w:p>
            <w:pPr>
              <w:jc w:val="center"/>
            </w:pPr>
            <w:r>
              <w:rPr>
                <w:sz w:val="20"/>
              </w:rPr>
              <w:t>Total</w:t>
            </w:r>
          </w:p>
        </w:tc>
        <w:tc>
          <w:tcPr>
            <w:tcW w:type="dxa" w:w="1984"/>
            <w:shd w:val="clear" w:color="auto" w:fill="F8FAFC"/>
          </w:tcPr>
          <w:p>
            <w:pPr>
              <w:jc w:val="center"/>
            </w:pPr>
            <w:r>
              <w:rPr>
                <w:sz w:val="20"/>
              </w:rPr>
              <w:t>36</w:t>
            </w:r>
          </w:p>
        </w:tc>
        <w:tc>
          <w:tcPr>
            <w:tcW w:type="dxa" w:w="1134"/>
            <w:shd w:val="clear" w:color="auto" w:fill="F8FAFC"/>
          </w:tcPr>
          <w:p>
            <w:pPr>
              <w:jc w:val="center"/>
            </w:pPr>
            <w:r>
              <w:rPr>
                <w:sz w:val="20"/>
              </w:rPr>
              <w:t>12,000</w:t>
            </w:r>
          </w:p>
        </w:tc>
        <w:tc>
          <w:tcPr>
            <w:tcW w:type="dxa" w:w="1417"/>
            <w:shd w:val="clear" w:color="auto" w:fill="F8FAFC"/>
          </w:tcPr>
          <w:p>
            <w:pPr>
              <w:jc w:val="center"/>
            </w:pPr>
            <w:r>
              <w:rPr>
                <w:sz w:val="20"/>
              </w:rPr>
              <w:t>—</w:t>
            </w:r>
          </w:p>
        </w:tc>
      </w:tr>
    </w:tbl>
    <w:p>
      <w:pPr>
        <w:spacing w:after="120"/>
      </w:pPr>
    </w:p>
    <w:p>
      <w:pPr>
        <w:spacing w:before="200" w:after="60"/>
      </w:pPr>
      <w:r>
        <w:rPr>
          <w:b/>
          <w:color w:val="0E7ABF"/>
          <w:sz w:val="24"/>
        </w:rPr>
        <w:t>4.2 Format Variants</w:t>
      </w:r>
    </w:p>
    <w:p>
      <w:pPr>
        <w:spacing w:after="120"/>
        <w:ind w:firstLine="283"/>
      </w:pPr>
      <w:r>
        <w:rPr>
          <w:color w:val="0F172A"/>
          <w:sz w:val="22"/>
        </w:rPr>
        <w:t>A critical design decision is generating multiple visually distinct format variants for each document class. Real-world document collections contain hundreds of different templates for the same document type — different freight forwarders use different invoice templates, different customs authorities use different declaration forms. Training on a single template per class leads to catastrophic failure on unseen templates.</w:t>
      </w:r>
    </w:p>
    <w:p>
      <w:pPr>
        <w:spacing w:after="120"/>
        <w:ind w:firstLine="283"/>
      </w:pPr>
      <w:r>
        <w:rPr>
          <w:color w:val="0F172A"/>
          <w:sz w:val="22"/>
        </w:rPr>
        <w:t>Each class is implemented with three distinct format variants, differing in:</w:t>
      </w:r>
    </w:p>
    <w:p>
      <w:pPr>
        <w:pStyle w:val="ListBullet"/>
        <w:spacing w:after="60"/>
        <w:ind w:left="397"/>
      </w:pPr>
      <w:r>
        <w:rPr>
          <w:color w:val="0F172A"/>
          <w:sz w:val="21"/>
        </w:rPr>
        <w:t>Visual layout: table-heavy vs paragraph-based vs mixed</w:t>
      </w:r>
    </w:p>
    <w:p>
      <w:pPr>
        <w:pStyle w:val="ListBullet"/>
        <w:spacing w:after="60"/>
        <w:ind w:left="397"/>
      </w:pPr>
      <w:r>
        <w:rPr>
          <w:color w:val="0F172A"/>
          <w:sz w:val="21"/>
        </w:rPr>
        <w:t>Colour scheme and header style (corporate letterhead variations)</w:t>
      </w:r>
    </w:p>
    <w:p>
      <w:pPr>
        <w:pStyle w:val="ListBullet"/>
        <w:spacing w:after="60"/>
        <w:ind w:left="397"/>
      </w:pPr>
      <w:r>
        <w:rPr>
          <w:color w:val="0F172A"/>
          <w:sz w:val="21"/>
        </w:rPr>
        <w:t>Field label wording (e.g., 'Shipper' vs 'Consignor' vs 'Exporter')</w:t>
      </w:r>
    </w:p>
    <w:p>
      <w:pPr>
        <w:pStyle w:val="ListBullet"/>
        <w:spacing w:after="60"/>
        <w:ind w:left="397"/>
      </w:pPr>
      <w:r>
        <w:rPr>
          <w:color w:val="0F172A"/>
          <w:sz w:val="21"/>
        </w:rPr>
        <w:t>Unit and date formatting conventions</w:t>
      </w:r>
    </w:p>
    <w:p>
      <w:pPr>
        <w:pStyle w:val="ListBullet"/>
        <w:spacing w:after="60"/>
        <w:ind w:left="397"/>
      </w:pPr>
      <w:r>
        <w:rPr>
          <w:color w:val="0F172A"/>
          <w:sz w:val="21"/>
        </w:rPr>
        <w:t>Presence or absence of optional sections (e.g., notarization block, seal)</w:t>
      </w:r>
    </w:p>
    <w:p>
      <w:pPr>
        <w:spacing w:after="120"/>
        <w:ind w:firstLine="283"/>
      </w:pPr>
      <w:r>
        <w:rPr>
          <w:color w:val="0F172A"/>
          <w:sz w:val="22"/>
        </w:rPr>
        <w:t>Documents are generated programmatically using ReportLab (PDF generation) and Faker (realistic synthetic field values). Field values are drawn from domain-specific distributions — company names from realistic trade entity pools, HS codes from actual commodity classifications, weights from log-normal distributions matching real shipment data.</w:t>
      </w:r>
    </w:p>
    <w:p>
      <w:pPr>
        <w:spacing w:before="200" w:after="60"/>
      </w:pPr>
      <w:r>
        <w:rPr>
          <w:b/>
          <w:color w:val="0E7ABF"/>
          <w:sz w:val="24"/>
        </w:rPr>
        <w:t>4.3 Multi-page Documents</w:t>
      </w:r>
    </w:p>
    <w:p>
      <w:pPr>
        <w:spacing w:after="120"/>
        <w:ind w:firstLine="283"/>
      </w:pPr>
      <w:r>
        <w:rPr>
          <w:color w:val="0F172A"/>
          <w:sz w:val="22"/>
        </w:rPr>
        <w:t>Seven of the twelve document classes have multi-page variants: documents that span two pages when the number of line items exceeds a single page. Multi-page documents are generated with the same field values across both pages, with the second page containing only the overflow line items and a continuation header. In the training data, the first page is annotated as START (with full field extraction) and subsequent pages as CONTINUATION (class only).</w:t>
      </w:r>
    </w:p>
    <w:p>
      <w:pPr>
        <w:spacing w:before="200" w:after="60"/>
      </w:pPr>
      <w:r>
        <w:rPr>
          <w:b/>
          <w:color w:val="0E7ABF"/>
          <w:sz w:val="24"/>
        </w:rPr>
        <w:t>4.4 Bundle Assembly for Splitting Training</w:t>
      </w:r>
    </w:p>
    <w:p>
      <w:pPr>
        <w:spacing w:after="120"/>
        <w:ind w:firstLine="283"/>
      </w:pPr>
      <w:r>
        <w:rPr>
          <w:color w:val="0F172A"/>
          <w:sz w:val="22"/>
        </w:rPr>
        <w:t>To train the document splitting capability, we assemble multi-document bundles by randomly sampling 5–11 documents from the full document pool and concatenating them into a single PDF. Bundle composition is constrained to avoid degenerate cases: consecutive documents of the same class are permitted but not the sole content. The resulting training set contains approximately 4,500 multi-document bundles with a total of 35,000+ pages, with the class sequence and page boundaries recorded as ground truth.</w:t>
      </w:r>
    </w:p>
    <w:p>
      <w:pPr>
        <w:spacing w:before="200" w:after="60"/>
      </w:pPr>
      <w:r>
        <w:rPr>
          <w:b/>
          <w:color w:val="0E7ABF"/>
          <w:sz w:val="24"/>
        </w:rPr>
        <w:t>4.5 Train / Validation / Test Split</w:t>
      </w:r>
    </w:p>
    <w:p>
      <w:pPr>
        <w:spacing w:before="160" w:after="80"/>
        <w:jc w:val="center"/>
      </w:pPr>
      <w:r>
        <w:rPr>
          <w:b/>
          <w:color w:val="1E3A5F"/>
          <w:sz w:val="20"/>
        </w:rPr>
        <w:t>Table 3. Dataset split statistics.</w:t>
      </w:r>
    </w:p>
    <w:tbl>
      <w:tblPr>
        <w:tblStyle w:val="TableGrid"/>
        <w:tblW w:type="auto" w:w="0"/>
        <w:jc w:val="center"/>
        <w:tblLook w:firstColumn="1" w:firstRow="1" w:lastColumn="0" w:lastRow="0" w:noHBand="0" w:noVBand="1" w:val="04A0"/>
      </w:tblPr>
      <w:tblGrid>
        <w:gridCol w:w="2126"/>
        <w:gridCol w:w="2126"/>
        <w:gridCol w:w="2126"/>
        <w:gridCol w:w="2126"/>
      </w:tblGrid>
      <w:tr>
        <w:tc>
          <w:tcPr>
            <w:tcW w:type="dxa" w:w="1984"/>
            <w:shd w:val="clear" w:color="auto" w:fill="1E3A5F"/>
          </w:tcPr>
          <w:p>
            <w:pPr>
              <w:jc w:val="center"/>
            </w:pPr>
            <w:r>
              <w:rPr>
                <w:b/>
                <w:color w:val="FFFFFF"/>
                <w:sz w:val="20"/>
              </w:rPr>
              <w:t>Split</w:t>
            </w:r>
          </w:p>
        </w:tc>
        <w:tc>
          <w:tcPr>
            <w:tcW w:type="dxa" w:w="1984"/>
            <w:shd w:val="clear" w:color="auto" w:fill="1E3A5F"/>
          </w:tcPr>
          <w:p>
            <w:pPr>
              <w:jc w:val="center"/>
            </w:pPr>
            <w:r>
              <w:rPr>
                <w:b/>
                <w:color w:val="FFFFFF"/>
                <w:sz w:val="20"/>
              </w:rPr>
              <w:t>Bundles</w:t>
            </w:r>
          </w:p>
        </w:tc>
        <w:tc>
          <w:tcPr>
            <w:tcW w:type="dxa" w:w="1984"/>
            <w:shd w:val="clear" w:color="auto" w:fill="1E3A5F"/>
          </w:tcPr>
          <w:p>
            <w:pPr>
              <w:jc w:val="center"/>
            </w:pPr>
            <w:r>
              <w:rPr>
                <w:b/>
                <w:color w:val="FFFFFF"/>
                <w:sz w:val="20"/>
              </w:rPr>
              <w:t>Total Pages</w:t>
            </w:r>
          </w:p>
        </w:tc>
        <w:tc>
          <w:tcPr>
            <w:tcW w:type="dxa" w:w="1984"/>
            <w:shd w:val="clear" w:color="auto" w:fill="1E3A5F"/>
          </w:tcPr>
          <w:p>
            <w:pPr>
              <w:jc w:val="center"/>
            </w:pPr>
            <w:r>
              <w:rPr>
                <w:b/>
                <w:color w:val="FFFFFF"/>
                <w:sz w:val="20"/>
              </w:rPr>
              <w:t>Unique Document IDs</w:t>
            </w:r>
          </w:p>
        </w:tc>
      </w:tr>
      <w:tr>
        <w:tc>
          <w:tcPr>
            <w:tcW w:type="dxa" w:w="1984"/>
            <w:shd w:val="clear" w:color="auto" w:fill="F8FAFC"/>
          </w:tcPr>
          <w:p>
            <w:pPr>
              <w:jc w:val="center"/>
            </w:pPr>
            <w:r>
              <w:rPr>
                <w:sz w:val="20"/>
              </w:rPr>
              <w:t>Training</w:t>
            </w:r>
          </w:p>
        </w:tc>
        <w:tc>
          <w:tcPr>
            <w:tcW w:type="dxa" w:w="1984"/>
            <w:shd w:val="clear" w:color="auto" w:fill="F8FAFC"/>
          </w:tcPr>
          <w:p>
            <w:pPr>
              <w:jc w:val="center"/>
            </w:pPr>
            <w:r>
              <w:rPr>
                <w:sz w:val="20"/>
              </w:rPr>
              <w:t>3,600</w:t>
            </w:r>
          </w:p>
        </w:tc>
        <w:tc>
          <w:tcPr>
            <w:tcW w:type="dxa" w:w="1984"/>
            <w:shd w:val="clear" w:color="auto" w:fill="F8FAFC"/>
          </w:tcPr>
          <w:p>
            <w:pPr>
              <w:jc w:val="center"/>
            </w:pPr>
            <w:r>
              <w:rPr>
                <w:sz w:val="20"/>
              </w:rPr>
              <w:t>28,200</w:t>
            </w:r>
          </w:p>
        </w:tc>
        <w:tc>
          <w:tcPr>
            <w:tcW w:type="dxa" w:w="1984"/>
            <w:shd w:val="clear" w:color="auto" w:fill="F8FAFC"/>
          </w:tcPr>
          <w:p>
            <w:pPr>
              <w:jc w:val="center"/>
            </w:pPr>
            <w:r>
              <w:rPr>
                <w:sz w:val="20"/>
              </w:rPr>
              <w:t>9,500</w:t>
            </w:r>
          </w:p>
        </w:tc>
      </w:tr>
      <w:tr>
        <w:tc>
          <w:tcPr>
            <w:tcW w:type="dxa" w:w="1984"/>
            <w:shd w:val="clear" w:color="auto" w:fill="FFFFFF"/>
          </w:tcPr>
          <w:p>
            <w:pPr>
              <w:jc w:val="center"/>
            </w:pPr>
            <w:r>
              <w:rPr>
                <w:sz w:val="20"/>
              </w:rPr>
              <w:t>Validation</w:t>
            </w:r>
          </w:p>
        </w:tc>
        <w:tc>
          <w:tcPr>
            <w:tcW w:type="dxa" w:w="1984"/>
            <w:shd w:val="clear" w:color="auto" w:fill="FFFFFF"/>
          </w:tcPr>
          <w:p>
            <w:pPr>
              <w:jc w:val="center"/>
            </w:pPr>
            <w:r>
              <w:rPr>
                <w:sz w:val="20"/>
              </w:rPr>
              <w:t>400</w:t>
            </w:r>
          </w:p>
        </w:tc>
        <w:tc>
          <w:tcPr>
            <w:tcW w:type="dxa" w:w="1984"/>
            <w:shd w:val="clear" w:color="auto" w:fill="FFFFFF"/>
          </w:tcPr>
          <w:p>
            <w:pPr>
              <w:jc w:val="center"/>
            </w:pPr>
            <w:r>
              <w:rPr>
                <w:sz w:val="20"/>
              </w:rPr>
              <w:t>3,100</w:t>
            </w:r>
          </w:p>
        </w:tc>
        <w:tc>
          <w:tcPr>
            <w:tcW w:type="dxa" w:w="1984"/>
            <w:shd w:val="clear" w:color="auto" w:fill="FFFFFF"/>
          </w:tcPr>
          <w:p>
            <w:pPr>
              <w:jc w:val="center"/>
            </w:pPr>
            <w:r>
              <w:rPr>
                <w:sz w:val="20"/>
              </w:rPr>
              <w:t>1,000</w:t>
            </w:r>
          </w:p>
        </w:tc>
      </w:tr>
      <w:tr>
        <w:tc>
          <w:tcPr>
            <w:tcW w:type="dxa" w:w="1984"/>
            <w:shd w:val="clear" w:color="auto" w:fill="F8FAFC"/>
          </w:tcPr>
          <w:p>
            <w:pPr>
              <w:jc w:val="center"/>
            </w:pPr>
            <w:r>
              <w:rPr>
                <w:sz w:val="20"/>
              </w:rPr>
              <w:t>Test</w:t>
            </w:r>
          </w:p>
        </w:tc>
        <w:tc>
          <w:tcPr>
            <w:tcW w:type="dxa" w:w="1984"/>
            <w:shd w:val="clear" w:color="auto" w:fill="F8FAFC"/>
          </w:tcPr>
          <w:p>
            <w:pPr>
              <w:jc w:val="center"/>
            </w:pPr>
            <w:r>
              <w:rPr>
                <w:sz w:val="20"/>
              </w:rPr>
              <w:t>500</w:t>
            </w:r>
          </w:p>
        </w:tc>
        <w:tc>
          <w:tcPr>
            <w:tcW w:type="dxa" w:w="1984"/>
            <w:shd w:val="clear" w:color="auto" w:fill="F8FAFC"/>
          </w:tcPr>
          <w:p>
            <w:pPr>
              <w:jc w:val="center"/>
            </w:pPr>
            <w:r>
              <w:rPr>
                <w:sz w:val="20"/>
              </w:rPr>
              <w:t>3,900</w:t>
            </w:r>
          </w:p>
        </w:tc>
        <w:tc>
          <w:tcPr>
            <w:tcW w:type="dxa" w:w="1984"/>
            <w:shd w:val="clear" w:color="auto" w:fill="F8FAFC"/>
          </w:tcPr>
          <w:p>
            <w:pPr>
              <w:jc w:val="center"/>
            </w:pPr>
            <w:r>
              <w:rPr>
                <w:sz w:val="20"/>
              </w:rPr>
              <w:t>1,500</w:t>
            </w:r>
          </w:p>
        </w:tc>
      </w:tr>
      <w:tr>
        <w:tc>
          <w:tcPr>
            <w:tcW w:type="dxa" w:w="1984"/>
            <w:shd w:val="clear" w:color="auto" w:fill="FFFFFF"/>
          </w:tcPr>
          <w:p>
            <w:pPr>
              <w:jc w:val="center"/>
            </w:pPr>
            <w:r>
              <w:rPr>
                <w:sz w:val="20"/>
              </w:rPr>
              <w:t>Total</w:t>
            </w:r>
          </w:p>
        </w:tc>
        <w:tc>
          <w:tcPr>
            <w:tcW w:type="dxa" w:w="1984"/>
            <w:shd w:val="clear" w:color="auto" w:fill="FFFFFF"/>
          </w:tcPr>
          <w:p>
            <w:pPr>
              <w:jc w:val="center"/>
            </w:pPr>
            <w:r>
              <w:rPr>
                <w:sz w:val="20"/>
              </w:rPr>
              <w:t>4,500</w:t>
            </w:r>
          </w:p>
        </w:tc>
        <w:tc>
          <w:tcPr>
            <w:tcW w:type="dxa" w:w="1984"/>
            <w:shd w:val="clear" w:color="auto" w:fill="FFFFFF"/>
          </w:tcPr>
          <w:p>
            <w:pPr>
              <w:jc w:val="center"/>
            </w:pPr>
            <w:r>
              <w:rPr>
                <w:sz w:val="20"/>
              </w:rPr>
              <w:t>35,200</w:t>
            </w:r>
          </w:p>
        </w:tc>
        <w:tc>
          <w:tcPr>
            <w:tcW w:type="dxa" w:w="1984"/>
            <w:shd w:val="clear" w:color="auto" w:fill="FFFFFF"/>
          </w:tcPr>
          <w:p>
            <w:pPr>
              <w:jc w:val="center"/>
            </w:pPr>
            <w:r>
              <w:rPr>
                <w:sz w:val="20"/>
              </w:rPr>
              <w:t>12,000</w:t>
            </w:r>
          </w:p>
        </w:tc>
      </w:tr>
    </w:tbl>
    <w:p>
      <w:pPr>
        <w:spacing w:after="120"/>
      </w:pPr>
    </w:p>
    <w:p>
      <w:pPr>
        <w:spacing w:before="320" w:after="80"/>
        <w:pBdr>
          <w:bottom w:val="single" w:sz="4" w:space="4" w:color="1E3A5F"/>
        </w:pBdr>
      </w:pPr>
      <w:r>
        <w:rPr>
          <w:b/>
          <w:color w:val="1E3A5F"/>
          <w:sz w:val="28"/>
        </w:rPr>
        <w:t>5. Methodology</w:t>
      </w:r>
    </w:p>
    <w:p>
      <w:pPr>
        <w:spacing w:before="200" w:after="60"/>
      </w:pPr>
      <w:r>
        <w:rPr>
          <w:b/>
          <w:color w:val="0E7ABF"/>
          <w:sz w:val="24"/>
        </w:rPr>
        <w:t>5.1 Base Model Selection</w:t>
      </w:r>
    </w:p>
    <w:p>
      <w:pPr>
        <w:spacing w:after="120"/>
        <w:ind w:firstLine="283"/>
      </w:pPr>
      <w:r>
        <w:rPr>
          <w:color w:val="0F172A"/>
          <w:sz w:val="22"/>
        </w:rPr>
        <w:t>We select Qwen2.5-VL-3B-Instruct [10] as the base model based on three considerations. First, its DocVQA score of 93.9 at the 3B scale indicates strong pre-trained document understanding from which fine-tuning can build. Second, its dynamic resolution mechanism — which varies the number of visual tokens (14×14 px patches merged 2×2) based on image content — is well-suited to documents where information density varies considerably across page regions. Third, at 3 billion parameters, the model fits in 16 GB VRAM in bfloat16 precision with room for inference activations, making it accessible on widely available enterprise GPU hardware.</w:t>
      </w:r>
    </w:p>
    <w:p>
      <w:pPr>
        <w:spacing w:before="200" w:after="60"/>
      </w:pPr>
      <w:r>
        <w:rPr>
          <w:b/>
          <w:color w:val="0E7ABF"/>
          <w:sz w:val="24"/>
        </w:rPr>
        <w:t>5.2 Input Representation</w:t>
      </w:r>
    </w:p>
    <w:p>
      <w:pPr>
        <w:spacing w:after="120"/>
        <w:ind w:firstLine="283"/>
      </w:pPr>
      <w:r>
        <w:rPr>
          <w:color w:val="0F172A"/>
          <w:sz w:val="22"/>
        </w:rPr>
        <w:t>PDF pages are rasterized to 150 DPI PNG images and pre-processed to fit within a pixel budget of 384,000 pixels (equivalent to approximately 490 visual tokens). Scanned or photographed pages receive additional preprocessing: mild sharpening, contrast enhancement (factor 1.25), and EXIF-based auto-rotation. The pixel budget was chosen to balance visual token count (and thus inference latency) against text legibility for standard document font sizes.</w:t>
      </w:r>
    </w:p>
    <w:p>
      <w:pPr>
        <w:spacing w:after="120"/>
        <w:ind w:firstLine="283"/>
      </w:pPr>
      <w:r>
        <w:rPr>
          <w:color w:val="0F172A"/>
          <w:sz w:val="22"/>
        </w:rPr>
        <w:t>The prompt follows Qwen2.5-VL's chat template and includes:</w:t>
      </w:r>
    </w:p>
    <w:p>
      <w:pPr>
        <w:pStyle w:val="ListBullet"/>
        <w:spacing w:after="60"/>
        <w:ind w:left="397"/>
      </w:pPr>
      <w:r>
        <w:rPr>
          <w:color w:val="0F172A"/>
          <w:sz w:val="21"/>
        </w:rPr>
        <w:t>The previous page's model output (class and position), providing sequential context for the document splitting decision.</w:t>
      </w:r>
    </w:p>
    <w:p>
      <w:pPr>
        <w:pStyle w:val="ListBullet"/>
        <w:spacing w:after="60"/>
        <w:ind w:left="397"/>
      </w:pPr>
      <w:r>
        <w:rPr>
          <w:color w:val="0F172A"/>
          <w:sz w:val="21"/>
        </w:rPr>
        <w:t>An explicit JSON schema showing the expected output structure for START and CONTINUATION pages.</w:t>
      </w:r>
    </w:p>
    <w:p>
      <w:pPr>
        <w:pStyle w:val="ListBullet"/>
        <w:spacing w:after="60"/>
        <w:ind w:left="397"/>
      </w:pPr>
      <w:r>
        <w:rPr>
          <w:color w:val="0F172A"/>
          <w:sz w:val="21"/>
        </w:rPr>
        <w:t>The full list of 12 document class names.</w:t>
      </w:r>
    </w:p>
    <w:p>
      <w:pPr>
        <w:pStyle w:val="ListBullet"/>
        <w:spacing w:after="60"/>
        <w:ind w:left="397"/>
      </w:pPr>
      <w:r>
        <w:rPr>
          <w:color w:val="0F172A"/>
          <w:sz w:val="21"/>
        </w:rPr>
        <w:t>An instruction to output null for fields not visible on the page.</w:t>
      </w:r>
    </w:p>
    <w:p>
      <w:pPr>
        <w:spacing w:before="200" w:after="60"/>
      </w:pPr>
      <w:r>
        <w:rPr>
          <w:b/>
          <w:color w:val="0E7ABF"/>
          <w:sz w:val="24"/>
        </w:rPr>
        <w:t>5.3 Training Objective</w:t>
      </w:r>
    </w:p>
    <w:p>
      <w:pPr>
        <w:spacing w:after="120"/>
        <w:ind w:firstLine="283"/>
      </w:pPr>
      <w:r>
        <w:rPr>
          <w:color w:val="0F172A"/>
          <w:sz w:val="22"/>
        </w:rPr>
        <w:t>The model is trained with a standard language modeling objective (cross-entropy loss) on the assistant response tokens only — the image and instruction prompt tokens are masked (loss weight = 0). This focuses the training signal entirely on the quality of the structured JSON output.</w:t>
      </w:r>
    </w:p>
    <w:p>
      <w:pPr>
        <w:spacing w:after="120"/>
        <w:ind w:firstLine="283"/>
      </w:pPr>
      <w:r>
        <w:rPr>
          <w:color w:val="0F172A"/>
          <w:sz w:val="22"/>
        </w:rPr>
        <w:t>The output JSON is treated as a sequence of tokens. The model learns to generate valid JSON with correct field names, accurate extracted values, and consistent null patterns for non-applicable fields — all from a single training signal without task-specific loss terms.</w:t>
      </w:r>
    </w:p>
    <w:p>
      <w:pPr>
        <w:spacing w:before="200" w:after="60"/>
      </w:pPr>
      <w:r>
        <w:rPr>
          <w:b/>
          <w:color w:val="0E7ABF"/>
          <w:sz w:val="24"/>
        </w:rPr>
        <w:t>5.4 QLoRA Fine-tuning Configuration</w:t>
      </w:r>
    </w:p>
    <w:p>
      <w:pPr>
        <w:spacing w:after="120"/>
        <w:ind w:firstLine="283"/>
      </w:pPr>
      <w:r>
        <w:rPr>
          <w:color w:val="0F172A"/>
          <w:sz w:val="22"/>
        </w:rPr>
        <w:t>We apply QLoRA [12] via Unsloth [13] with the following configuration. The base model is loaded in 4-bit NF4 quantization during training, reducing peak GPU memory from ~6.5 GB (bfloat16) to ~2.5 GB. LoRA adapters with rank r=32 and alpha=32 are applied to all linear projection layers (q_proj, k_proj, v_proj, o_proj, gate_proj, up_proj, down_proj). The effective scaling factor alpha/r = 1.0.</w:t>
      </w:r>
    </w:p>
    <w:p>
      <w:pPr>
        <w:spacing w:before="160" w:after="80"/>
        <w:jc w:val="center"/>
      </w:pPr>
      <w:r>
        <w:rPr>
          <w:b/>
          <w:color w:val="1E3A5F"/>
          <w:sz w:val="20"/>
        </w:rPr>
        <w:t>Table 4. Training hyperparameters.</w:t>
      </w:r>
    </w:p>
    <w:tbl>
      <w:tblPr>
        <w:tblStyle w:val="TableGrid"/>
        <w:tblW w:type="auto" w:w="0"/>
        <w:jc w:val="center"/>
        <w:tblLook w:firstColumn="1" w:firstRow="1" w:lastColumn="0" w:lastRow="0" w:noHBand="0" w:noVBand="1" w:val="04A0"/>
      </w:tblPr>
      <w:tblGrid>
        <w:gridCol w:w="2835"/>
        <w:gridCol w:w="2835"/>
        <w:gridCol w:w="2835"/>
      </w:tblGrid>
      <w:tr>
        <w:tc>
          <w:tcPr>
            <w:tcW w:type="dxa" w:w="3118"/>
            <w:shd w:val="clear" w:color="auto" w:fill="1E3A5F"/>
          </w:tcPr>
          <w:p>
            <w:pPr>
              <w:jc w:val="center"/>
            </w:pPr>
            <w:r>
              <w:rPr>
                <w:b/>
                <w:color w:val="FFFFFF"/>
                <w:sz w:val="20"/>
              </w:rPr>
              <w:t>Hyperparameter</w:t>
            </w:r>
          </w:p>
        </w:tc>
        <w:tc>
          <w:tcPr>
            <w:tcW w:type="dxa" w:w="1701"/>
            <w:shd w:val="clear" w:color="auto" w:fill="1E3A5F"/>
          </w:tcPr>
          <w:p>
            <w:pPr>
              <w:jc w:val="center"/>
            </w:pPr>
            <w:r>
              <w:rPr>
                <w:b/>
                <w:color w:val="FFFFFF"/>
                <w:sz w:val="20"/>
              </w:rPr>
              <w:t>Value</w:t>
            </w:r>
          </w:p>
        </w:tc>
        <w:tc>
          <w:tcPr>
            <w:tcW w:type="dxa" w:w="2835"/>
            <w:shd w:val="clear" w:color="auto" w:fill="1E3A5F"/>
          </w:tcPr>
          <w:p>
            <w:pPr>
              <w:jc w:val="center"/>
            </w:pPr>
            <w:r>
              <w:rPr>
                <w:b/>
                <w:color w:val="FFFFFF"/>
                <w:sz w:val="20"/>
              </w:rPr>
              <w:t>Rationale</w:t>
            </w:r>
          </w:p>
        </w:tc>
      </w:tr>
      <w:tr>
        <w:tc>
          <w:tcPr>
            <w:tcW w:type="dxa" w:w="3118"/>
            <w:shd w:val="clear" w:color="auto" w:fill="F8FAFC"/>
          </w:tcPr>
          <w:p>
            <w:pPr>
              <w:jc w:val="center"/>
            </w:pPr>
            <w:r>
              <w:rPr>
                <w:sz w:val="20"/>
              </w:rPr>
              <w:t>LoRA rank (r)</w:t>
            </w:r>
          </w:p>
        </w:tc>
        <w:tc>
          <w:tcPr>
            <w:tcW w:type="dxa" w:w="1701"/>
            <w:shd w:val="clear" w:color="auto" w:fill="F8FAFC"/>
          </w:tcPr>
          <w:p>
            <w:pPr>
              <w:jc w:val="center"/>
            </w:pPr>
            <w:r>
              <w:rPr>
                <w:sz w:val="20"/>
              </w:rPr>
              <w:t>32</w:t>
            </w:r>
          </w:p>
        </w:tc>
        <w:tc>
          <w:tcPr>
            <w:tcW w:type="dxa" w:w="2835"/>
            <w:shd w:val="clear" w:color="auto" w:fill="F8FAFC"/>
          </w:tcPr>
          <w:p>
            <w:pPr>
              <w:jc w:val="center"/>
            </w:pPr>
            <w:r>
              <w:rPr>
                <w:sz w:val="20"/>
              </w:rPr>
              <w:t>Balances expressiveness vs adapter size</w:t>
            </w:r>
          </w:p>
        </w:tc>
      </w:tr>
      <w:tr>
        <w:tc>
          <w:tcPr>
            <w:tcW w:type="dxa" w:w="3118"/>
            <w:shd w:val="clear" w:color="auto" w:fill="FFFFFF"/>
          </w:tcPr>
          <w:p>
            <w:pPr>
              <w:jc w:val="center"/>
            </w:pPr>
            <w:r>
              <w:rPr>
                <w:sz w:val="20"/>
              </w:rPr>
              <w:t>LoRA alpha</w:t>
            </w:r>
          </w:p>
        </w:tc>
        <w:tc>
          <w:tcPr>
            <w:tcW w:type="dxa" w:w="1701"/>
            <w:shd w:val="clear" w:color="auto" w:fill="FFFFFF"/>
          </w:tcPr>
          <w:p>
            <w:pPr>
              <w:jc w:val="center"/>
            </w:pPr>
            <w:r>
              <w:rPr>
                <w:sz w:val="20"/>
              </w:rPr>
              <w:t>32</w:t>
            </w:r>
          </w:p>
        </w:tc>
        <w:tc>
          <w:tcPr>
            <w:tcW w:type="dxa" w:w="2835"/>
            <w:shd w:val="clear" w:color="auto" w:fill="FFFFFF"/>
          </w:tcPr>
          <w:p>
            <w:pPr>
              <w:jc w:val="center"/>
            </w:pPr>
            <w:r>
              <w:rPr>
                <w:sz w:val="20"/>
              </w:rPr>
              <w:t>Scale factor 1.0 — standard starting point</w:t>
            </w:r>
          </w:p>
        </w:tc>
      </w:tr>
      <w:tr>
        <w:tc>
          <w:tcPr>
            <w:tcW w:type="dxa" w:w="3118"/>
            <w:shd w:val="clear" w:color="auto" w:fill="F8FAFC"/>
          </w:tcPr>
          <w:p>
            <w:pPr>
              <w:jc w:val="center"/>
            </w:pPr>
            <w:r>
              <w:rPr>
                <w:sz w:val="20"/>
              </w:rPr>
              <w:t>LoRA dropout</w:t>
            </w:r>
          </w:p>
        </w:tc>
        <w:tc>
          <w:tcPr>
            <w:tcW w:type="dxa" w:w="1701"/>
            <w:shd w:val="clear" w:color="auto" w:fill="F8FAFC"/>
          </w:tcPr>
          <w:p>
            <w:pPr>
              <w:jc w:val="center"/>
            </w:pPr>
            <w:r>
              <w:rPr>
                <w:sz w:val="20"/>
              </w:rPr>
              <w:t>0.0</w:t>
            </w:r>
          </w:p>
        </w:tc>
        <w:tc>
          <w:tcPr>
            <w:tcW w:type="dxa" w:w="2835"/>
            <w:shd w:val="clear" w:color="auto" w:fill="F8FAFC"/>
          </w:tcPr>
          <w:p>
            <w:pPr>
              <w:jc w:val="center"/>
            </w:pPr>
            <w:r>
              <w:rPr>
                <w:sz w:val="20"/>
              </w:rPr>
              <w:t>No regularization — synthetic data is clean</w:t>
            </w:r>
          </w:p>
        </w:tc>
      </w:tr>
      <w:tr>
        <w:tc>
          <w:tcPr>
            <w:tcW w:type="dxa" w:w="3118"/>
            <w:shd w:val="clear" w:color="auto" w:fill="FFFFFF"/>
          </w:tcPr>
          <w:p>
            <w:pPr>
              <w:jc w:val="center"/>
            </w:pPr>
            <w:r>
              <w:rPr>
                <w:sz w:val="20"/>
              </w:rPr>
              <w:t>Learning rate</w:t>
            </w:r>
          </w:p>
        </w:tc>
        <w:tc>
          <w:tcPr>
            <w:tcW w:type="dxa" w:w="1701"/>
            <w:shd w:val="clear" w:color="auto" w:fill="FFFFFF"/>
          </w:tcPr>
          <w:p>
            <w:pPr>
              <w:jc w:val="center"/>
            </w:pPr>
            <w:r>
              <w:rPr>
                <w:sz w:val="20"/>
              </w:rPr>
              <w:t>2e-4</w:t>
            </w:r>
          </w:p>
        </w:tc>
        <w:tc>
          <w:tcPr>
            <w:tcW w:type="dxa" w:w="2835"/>
            <w:shd w:val="clear" w:color="auto" w:fill="FFFFFF"/>
          </w:tcPr>
          <w:p>
            <w:pPr>
              <w:jc w:val="center"/>
            </w:pPr>
            <w:r>
              <w:rPr>
                <w:sz w:val="20"/>
              </w:rPr>
              <w:t>Standard for LoRA fine-tuning</w:t>
            </w:r>
          </w:p>
        </w:tc>
      </w:tr>
      <w:tr>
        <w:tc>
          <w:tcPr>
            <w:tcW w:type="dxa" w:w="3118"/>
            <w:shd w:val="clear" w:color="auto" w:fill="F8FAFC"/>
          </w:tcPr>
          <w:p>
            <w:pPr>
              <w:jc w:val="center"/>
            </w:pPr>
            <w:r>
              <w:rPr>
                <w:sz w:val="20"/>
              </w:rPr>
              <w:t>LR scheduler</w:t>
            </w:r>
          </w:p>
        </w:tc>
        <w:tc>
          <w:tcPr>
            <w:tcW w:type="dxa" w:w="1701"/>
            <w:shd w:val="clear" w:color="auto" w:fill="F8FAFC"/>
          </w:tcPr>
          <w:p>
            <w:pPr>
              <w:jc w:val="center"/>
            </w:pPr>
            <w:r>
              <w:rPr>
                <w:sz w:val="20"/>
              </w:rPr>
              <w:t>cosine</w:t>
            </w:r>
          </w:p>
        </w:tc>
        <w:tc>
          <w:tcPr>
            <w:tcW w:type="dxa" w:w="2835"/>
            <w:shd w:val="clear" w:color="auto" w:fill="F8FAFC"/>
          </w:tcPr>
          <w:p>
            <w:pPr>
              <w:jc w:val="center"/>
            </w:pPr>
            <w:r>
              <w:rPr>
                <w:sz w:val="20"/>
              </w:rPr>
              <w:t>Smooth decay over training</w:t>
            </w:r>
          </w:p>
        </w:tc>
      </w:tr>
      <w:tr>
        <w:tc>
          <w:tcPr>
            <w:tcW w:type="dxa" w:w="3118"/>
            <w:shd w:val="clear" w:color="auto" w:fill="FFFFFF"/>
          </w:tcPr>
          <w:p>
            <w:pPr>
              <w:jc w:val="center"/>
            </w:pPr>
            <w:r>
              <w:rPr>
                <w:sz w:val="20"/>
              </w:rPr>
              <w:t>Warmup ratio</w:t>
            </w:r>
          </w:p>
        </w:tc>
        <w:tc>
          <w:tcPr>
            <w:tcW w:type="dxa" w:w="1701"/>
            <w:shd w:val="clear" w:color="auto" w:fill="FFFFFF"/>
          </w:tcPr>
          <w:p>
            <w:pPr>
              <w:jc w:val="center"/>
            </w:pPr>
            <w:r>
              <w:rPr>
                <w:sz w:val="20"/>
              </w:rPr>
              <w:t>3%</w:t>
            </w:r>
          </w:p>
        </w:tc>
        <w:tc>
          <w:tcPr>
            <w:tcW w:type="dxa" w:w="2835"/>
            <w:shd w:val="clear" w:color="auto" w:fill="FFFFFF"/>
          </w:tcPr>
          <w:p>
            <w:pPr>
              <w:jc w:val="center"/>
            </w:pPr>
            <w:r>
              <w:rPr>
                <w:sz w:val="20"/>
              </w:rPr>
              <w:t>~90 warmup steps</w:t>
            </w:r>
          </w:p>
        </w:tc>
      </w:tr>
      <w:tr>
        <w:tc>
          <w:tcPr>
            <w:tcW w:type="dxa" w:w="3118"/>
            <w:shd w:val="clear" w:color="auto" w:fill="F8FAFC"/>
          </w:tcPr>
          <w:p>
            <w:pPr>
              <w:jc w:val="center"/>
            </w:pPr>
            <w:r>
              <w:rPr>
                <w:sz w:val="20"/>
              </w:rPr>
              <w:t>Batch size (per device)</w:t>
            </w:r>
          </w:p>
        </w:tc>
        <w:tc>
          <w:tcPr>
            <w:tcW w:type="dxa" w:w="1701"/>
            <w:shd w:val="clear" w:color="auto" w:fill="F8FAFC"/>
          </w:tcPr>
          <w:p>
            <w:pPr>
              <w:jc w:val="center"/>
            </w:pPr>
            <w:r>
              <w:rPr>
                <w:sz w:val="20"/>
              </w:rPr>
              <w:t>1</w:t>
            </w:r>
          </w:p>
        </w:tc>
        <w:tc>
          <w:tcPr>
            <w:tcW w:type="dxa" w:w="2835"/>
            <w:shd w:val="clear" w:color="auto" w:fill="F8FAFC"/>
          </w:tcPr>
          <w:p>
            <w:pPr>
              <w:jc w:val="center"/>
            </w:pPr>
            <w:r>
              <w:rPr>
                <w:sz w:val="20"/>
              </w:rPr>
              <w:t>VRAM constraint during training</w:t>
            </w:r>
          </w:p>
        </w:tc>
      </w:tr>
      <w:tr>
        <w:tc>
          <w:tcPr>
            <w:tcW w:type="dxa" w:w="3118"/>
            <w:shd w:val="clear" w:color="auto" w:fill="FFFFFF"/>
          </w:tcPr>
          <w:p>
            <w:pPr>
              <w:jc w:val="center"/>
            </w:pPr>
            <w:r>
              <w:rPr>
                <w:sz w:val="20"/>
              </w:rPr>
              <w:t>Gradient accumulation steps</w:t>
            </w:r>
          </w:p>
        </w:tc>
        <w:tc>
          <w:tcPr>
            <w:tcW w:type="dxa" w:w="1701"/>
            <w:shd w:val="clear" w:color="auto" w:fill="FFFFFF"/>
          </w:tcPr>
          <w:p>
            <w:pPr>
              <w:jc w:val="center"/>
            </w:pPr>
            <w:r>
              <w:rPr>
                <w:sz w:val="20"/>
              </w:rPr>
              <w:t>16</w:t>
            </w:r>
          </w:p>
        </w:tc>
        <w:tc>
          <w:tcPr>
            <w:tcW w:type="dxa" w:w="2835"/>
            <w:shd w:val="clear" w:color="auto" w:fill="FFFFFF"/>
          </w:tcPr>
          <w:p>
            <w:pPr>
              <w:jc w:val="center"/>
            </w:pPr>
            <w:r>
              <w:rPr>
                <w:sz w:val="20"/>
              </w:rPr>
              <w:t>Effective batch = 16</w:t>
            </w:r>
          </w:p>
        </w:tc>
      </w:tr>
      <w:tr>
        <w:tc>
          <w:tcPr>
            <w:tcW w:type="dxa" w:w="3118"/>
            <w:shd w:val="clear" w:color="auto" w:fill="F8FAFC"/>
          </w:tcPr>
          <w:p>
            <w:pPr>
              <w:jc w:val="center"/>
            </w:pPr>
            <w:r>
              <w:rPr>
                <w:sz w:val="20"/>
              </w:rPr>
              <w:t>Epochs</w:t>
            </w:r>
          </w:p>
        </w:tc>
        <w:tc>
          <w:tcPr>
            <w:tcW w:type="dxa" w:w="1701"/>
            <w:shd w:val="clear" w:color="auto" w:fill="F8FAFC"/>
          </w:tcPr>
          <w:p>
            <w:pPr>
              <w:jc w:val="center"/>
            </w:pPr>
            <w:r>
              <w:rPr>
                <w:sz w:val="20"/>
              </w:rPr>
              <w:t>1</w:t>
            </w:r>
          </w:p>
        </w:tc>
        <w:tc>
          <w:tcPr>
            <w:tcW w:type="dxa" w:w="2835"/>
            <w:shd w:val="clear" w:color="auto" w:fill="F8FAFC"/>
          </w:tcPr>
          <w:p>
            <w:pPr>
              <w:jc w:val="center"/>
            </w:pPr>
            <w:r>
              <w:rPr>
                <w:sz w:val="20"/>
              </w:rPr>
              <w:t>Large dataset — one epoch sufficient</w:t>
            </w:r>
          </w:p>
        </w:tc>
      </w:tr>
      <w:tr>
        <w:tc>
          <w:tcPr>
            <w:tcW w:type="dxa" w:w="3118"/>
            <w:shd w:val="clear" w:color="auto" w:fill="FFFFFF"/>
          </w:tcPr>
          <w:p>
            <w:pPr>
              <w:jc w:val="center"/>
            </w:pPr>
            <w:r>
              <w:rPr>
                <w:sz w:val="20"/>
              </w:rPr>
              <w:t>Max sequence length</w:t>
            </w:r>
          </w:p>
        </w:tc>
        <w:tc>
          <w:tcPr>
            <w:tcW w:type="dxa" w:w="1701"/>
            <w:shd w:val="clear" w:color="auto" w:fill="FFFFFF"/>
          </w:tcPr>
          <w:p>
            <w:pPr>
              <w:jc w:val="center"/>
            </w:pPr>
            <w:r>
              <w:rPr>
                <w:sz w:val="20"/>
              </w:rPr>
              <w:t>2,048</w:t>
            </w:r>
          </w:p>
        </w:tc>
        <w:tc>
          <w:tcPr>
            <w:tcW w:type="dxa" w:w="2835"/>
            <w:shd w:val="clear" w:color="auto" w:fill="FFFFFF"/>
          </w:tcPr>
          <w:p>
            <w:pPr>
              <w:jc w:val="center"/>
            </w:pPr>
            <w:r>
              <w:rPr>
                <w:sz w:val="20"/>
              </w:rPr>
              <w:t>Covers image tokens + full JSON output</w:t>
            </w:r>
          </w:p>
        </w:tc>
      </w:tr>
      <w:tr>
        <w:tc>
          <w:tcPr>
            <w:tcW w:type="dxa" w:w="3118"/>
            <w:shd w:val="clear" w:color="auto" w:fill="F8FAFC"/>
          </w:tcPr>
          <w:p>
            <w:pPr>
              <w:jc w:val="center"/>
            </w:pPr>
            <w:r>
              <w:rPr>
                <w:sz w:val="20"/>
              </w:rPr>
              <w:t>Optimizer</w:t>
            </w:r>
          </w:p>
        </w:tc>
        <w:tc>
          <w:tcPr>
            <w:tcW w:type="dxa" w:w="1701"/>
            <w:shd w:val="clear" w:color="auto" w:fill="F8FAFC"/>
          </w:tcPr>
          <w:p>
            <w:pPr>
              <w:jc w:val="center"/>
            </w:pPr>
            <w:r>
              <w:rPr>
                <w:sz w:val="20"/>
              </w:rPr>
              <w:t>AdamW 8-bit</w:t>
            </w:r>
          </w:p>
        </w:tc>
        <w:tc>
          <w:tcPr>
            <w:tcW w:type="dxa" w:w="2835"/>
            <w:shd w:val="clear" w:color="auto" w:fill="F8FAFC"/>
          </w:tcPr>
          <w:p>
            <w:pPr>
              <w:jc w:val="center"/>
            </w:pPr>
            <w:r>
              <w:rPr>
                <w:sz w:val="20"/>
              </w:rPr>
              <w:t>Reduces optimizer state memory</w:t>
            </w:r>
          </w:p>
        </w:tc>
      </w:tr>
      <w:tr>
        <w:tc>
          <w:tcPr>
            <w:tcW w:type="dxa" w:w="3118"/>
            <w:shd w:val="clear" w:color="auto" w:fill="FFFFFF"/>
          </w:tcPr>
          <w:p>
            <w:pPr>
              <w:jc w:val="center"/>
            </w:pPr>
            <w:r>
              <w:rPr>
                <w:sz w:val="20"/>
              </w:rPr>
              <w:t>Precision</w:t>
            </w:r>
          </w:p>
        </w:tc>
        <w:tc>
          <w:tcPr>
            <w:tcW w:type="dxa" w:w="1701"/>
            <w:shd w:val="clear" w:color="auto" w:fill="FFFFFF"/>
          </w:tcPr>
          <w:p>
            <w:pPr>
              <w:jc w:val="center"/>
            </w:pPr>
            <w:r>
              <w:rPr>
                <w:sz w:val="20"/>
              </w:rPr>
              <w:t>bfloat16</w:t>
            </w:r>
          </w:p>
        </w:tc>
        <w:tc>
          <w:tcPr>
            <w:tcW w:type="dxa" w:w="2835"/>
            <w:shd w:val="clear" w:color="auto" w:fill="FFFFFF"/>
          </w:tcPr>
          <w:p>
            <w:pPr>
              <w:jc w:val="center"/>
            </w:pPr>
            <w:r>
              <w:rPr>
                <w:sz w:val="20"/>
              </w:rPr>
              <w:t>Matches GPU hardware capability</w:t>
            </w:r>
          </w:p>
        </w:tc>
      </w:tr>
    </w:tbl>
    <w:p>
      <w:pPr>
        <w:spacing w:after="120"/>
      </w:pPr>
    </w:p>
    <w:p>
      <w:pPr>
        <w:spacing w:before="200" w:after="60"/>
      </w:pPr>
      <w:r>
        <w:rPr>
          <w:b/>
          <w:color w:val="0E7ABF"/>
          <w:sz w:val="24"/>
        </w:rPr>
        <w:t>5.5 Context-Aware Sequential Processing</w:t>
      </w:r>
    </w:p>
    <w:p>
      <w:pPr>
        <w:spacing w:after="120"/>
        <w:ind w:firstLine="283"/>
      </w:pPr>
      <w:r>
        <w:rPr>
          <w:color w:val="0F172A"/>
          <w:sz w:val="22"/>
        </w:rPr>
        <w:t>A key design feature is the use of the previous page's output as context for the current page's inference. The prompt includes the field 'Previous page: {prev}', where prev is the model's own output from the preceding page (e.g., 'House Bill of Lading | START' or 'none (first page of batch)').</w:t>
      </w:r>
    </w:p>
    <w:p>
      <w:pPr>
        <w:spacing w:after="120"/>
        <w:ind w:firstLine="283"/>
      </w:pPr>
      <w:r>
        <w:rPr>
          <w:color w:val="0F172A"/>
          <w:sz w:val="22"/>
        </w:rPr>
        <w:t>This context serves two purposes. First, it gives the CONTINUATION classifier an explicit signal about what document type it is continuing — reducing ambiguity when consecutive pages of the same class look visually similar. Second, it allows the model to resolve edge cases where a page's content alone is ambiguous (e.g., a page of signatures could belong to multiple document types) by incorporating the preceding class label as prior information.</w:t>
      </w:r>
    </w:p>
    <w:p>
      <w:pPr>
        <w:spacing w:before="320" w:after="80"/>
        <w:pBdr>
          <w:bottom w:val="single" w:sz="4" w:space="4" w:color="1E3A5F"/>
        </w:pBdr>
      </w:pPr>
      <w:r>
        <w:rPr>
          <w:b/>
          <w:color w:val="1E3A5F"/>
          <w:sz w:val="28"/>
        </w:rPr>
        <w:t>6. Experiments and Results</w:t>
      </w:r>
    </w:p>
    <w:p>
      <w:pPr>
        <w:spacing w:before="200" w:after="60"/>
      </w:pPr>
      <w:r>
        <w:rPr>
          <w:b/>
          <w:color w:val="0E7ABF"/>
          <w:sz w:val="24"/>
        </w:rPr>
        <w:t>6.1 Evaluation Metrics</w:t>
      </w:r>
    </w:p>
    <w:p>
      <w:pPr>
        <w:spacing w:after="120"/>
        <w:ind w:firstLine="283"/>
      </w:pPr>
      <w:r>
        <w:rPr>
          <w:color w:val="0F172A"/>
          <w:sz w:val="22"/>
        </w:rPr>
        <w:t>We evaluate the model on three tasks independently, as well as on the end-to-end bundle splitting task:</w:t>
      </w:r>
    </w:p>
    <w:p>
      <w:pPr>
        <w:pStyle w:val="ListBullet"/>
        <w:spacing w:after="60"/>
        <w:ind w:left="397"/>
      </w:pPr>
      <w:r>
        <w:rPr>
          <w:color w:val="0F172A"/>
          <w:sz w:val="21"/>
        </w:rPr>
        <w:t>Classification Accuracy: the fraction of pages where the predicted document class matches the ground truth.</w:t>
      </w:r>
    </w:p>
    <w:p>
      <w:pPr>
        <w:pStyle w:val="ListBullet"/>
        <w:spacing w:after="60"/>
        <w:ind w:left="397"/>
      </w:pPr>
      <w:r>
        <w:rPr>
          <w:color w:val="0F172A"/>
          <w:sz w:val="21"/>
        </w:rPr>
        <w:t>Position Accuracy: the fraction of pages where START/CONTINUATION is predicted correctly.</w:t>
      </w:r>
    </w:p>
    <w:p>
      <w:pPr>
        <w:pStyle w:val="ListBullet"/>
        <w:spacing w:after="60"/>
        <w:ind w:left="397"/>
      </w:pPr>
      <w:r>
        <w:rPr>
          <w:color w:val="0F172A"/>
          <w:sz w:val="21"/>
        </w:rPr>
        <w:t>Field Extraction F1: for each field, partial string match F1 between predicted and ground-truth values (case-insensitive, first 20 characters). Null-null matches (both ground truth and prediction are null) are excluded to avoid inflating scores on sparse fields.</w:t>
      </w:r>
    </w:p>
    <w:p>
      <w:pPr>
        <w:pStyle w:val="ListBullet"/>
        <w:spacing w:after="60"/>
        <w:ind w:left="397"/>
      </w:pPr>
      <w:r>
        <w:rPr>
          <w:color w:val="0F172A"/>
          <w:sz w:val="21"/>
        </w:rPr>
        <w:t>Bundle Splitting IoU: the intersection-over-union between predicted and ground-truth document boundary sets across all bundles in the test set.</w:t>
      </w:r>
    </w:p>
    <w:p>
      <w:pPr>
        <w:pStyle w:val="ListBullet"/>
        <w:spacing w:after="60"/>
        <w:ind w:left="397"/>
      </w:pPr>
      <w:r>
        <w:rPr>
          <w:color w:val="0F172A"/>
          <w:sz w:val="21"/>
        </w:rPr>
        <w:t>Exact Match Rate: the fraction of START pages where all non-null fields are predicted correctly (strict evaluation).</w:t>
      </w:r>
    </w:p>
    <w:p>
      <w:pPr>
        <w:spacing w:before="200" w:after="60"/>
      </w:pPr>
      <w:r>
        <w:rPr>
          <w:b/>
          <w:color w:val="0E7ABF"/>
          <w:sz w:val="24"/>
        </w:rPr>
        <w:t>6.2 Baseline Comparisons</w:t>
      </w:r>
    </w:p>
    <w:p>
      <w:pPr>
        <w:spacing w:before="160" w:after="80"/>
        <w:jc w:val="center"/>
      </w:pPr>
      <w:r>
        <w:rPr>
          <w:b/>
          <w:color w:val="1E3A5F"/>
          <w:sz w:val="20"/>
        </w:rPr>
        <w:t>Table 5. Task performance comparison across models.</w:t>
      </w:r>
    </w:p>
    <w:tbl>
      <w:tblPr>
        <w:tblStyle w:val="TableGrid"/>
        <w:tblW w:type="auto" w:w="0"/>
        <w:jc w:val="center"/>
        <w:tblLook w:firstColumn="1" w:firstRow="1" w:lastColumn="0" w:lastRow="0" w:noHBand="0" w:noVBand="1" w:val="04A0"/>
      </w:tblPr>
      <w:tblGrid>
        <w:gridCol w:w="1701"/>
        <w:gridCol w:w="1701"/>
        <w:gridCol w:w="1701"/>
        <w:gridCol w:w="1701"/>
        <w:gridCol w:w="1701"/>
      </w:tblGrid>
      <w:tr>
        <w:tc>
          <w:tcPr>
            <w:tcW w:type="dxa" w:w="2835"/>
            <w:shd w:val="clear" w:color="auto" w:fill="1E3A5F"/>
          </w:tcPr>
          <w:p>
            <w:pPr>
              <w:jc w:val="center"/>
            </w:pPr>
            <w:r>
              <w:rPr>
                <w:b/>
                <w:color w:val="FFFFFF"/>
                <w:sz w:val="20"/>
              </w:rPr>
              <w:t>Model</w:t>
            </w:r>
          </w:p>
        </w:tc>
        <w:tc>
          <w:tcPr>
            <w:tcW w:type="dxa" w:w="1587"/>
            <w:shd w:val="clear" w:color="auto" w:fill="1E3A5F"/>
          </w:tcPr>
          <w:p>
            <w:pPr>
              <w:jc w:val="center"/>
            </w:pPr>
            <w:r>
              <w:rPr>
                <w:b/>
                <w:color w:val="FFFFFF"/>
                <w:sz w:val="20"/>
              </w:rPr>
              <w:t>Class Acc.</w:t>
            </w:r>
          </w:p>
        </w:tc>
        <w:tc>
          <w:tcPr>
            <w:tcW w:type="dxa" w:w="1587"/>
            <w:shd w:val="clear" w:color="auto" w:fill="1E3A5F"/>
          </w:tcPr>
          <w:p>
            <w:pPr>
              <w:jc w:val="center"/>
            </w:pPr>
            <w:r>
              <w:rPr>
                <w:b/>
                <w:color w:val="FFFFFF"/>
                <w:sz w:val="20"/>
              </w:rPr>
              <w:t>Pos. Acc.</w:t>
            </w:r>
          </w:p>
        </w:tc>
        <w:tc>
          <w:tcPr>
            <w:tcW w:type="dxa" w:w="1587"/>
            <w:shd w:val="clear" w:color="auto" w:fill="1E3A5F"/>
          </w:tcPr>
          <w:p>
            <w:pPr>
              <w:jc w:val="center"/>
            </w:pPr>
            <w:r>
              <w:rPr>
                <w:b/>
                <w:color w:val="FFFFFF"/>
                <w:sz w:val="20"/>
              </w:rPr>
              <w:t>Field F1</w:t>
            </w:r>
          </w:p>
        </w:tc>
        <w:tc>
          <w:tcPr>
            <w:tcW w:type="dxa" w:w="1587"/>
            <w:shd w:val="clear" w:color="auto" w:fill="1E3A5F"/>
          </w:tcPr>
          <w:p>
            <w:pPr>
              <w:jc w:val="center"/>
            </w:pPr>
            <w:r>
              <w:rPr>
                <w:b/>
                <w:color w:val="FFFFFF"/>
                <w:sz w:val="20"/>
              </w:rPr>
              <w:t>Split IoU</w:t>
            </w:r>
          </w:p>
        </w:tc>
      </w:tr>
      <w:tr>
        <w:tc>
          <w:tcPr>
            <w:tcW w:type="dxa" w:w="2835"/>
            <w:shd w:val="clear" w:color="auto" w:fill="F8FAFC"/>
          </w:tcPr>
          <w:p>
            <w:pPr>
              <w:jc w:val="center"/>
            </w:pPr>
            <w:r>
              <w:rPr>
                <w:sz w:val="20"/>
              </w:rPr>
              <w:t>Zero-shot Qwen2.5-VL-3B</w:t>
            </w:r>
          </w:p>
        </w:tc>
        <w:tc>
          <w:tcPr>
            <w:tcW w:type="dxa" w:w="1587"/>
            <w:shd w:val="clear" w:color="auto" w:fill="F8FAFC"/>
          </w:tcPr>
          <w:p>
            <w:pPr>
              <w:jc w:val="center"/>
            </w:pPr>
            <w:r>
              <w:rPr>
                <w:sz w:val="20"/>
              </w:rPr>
              <w:t>71.2%</w:t>
            </w:r>
          </w:p>
        </w:tc>
        <w:tc>
          <w:tcPr>
            <w:tcW w:type="dxa" w:w="1587"/>
            <w:shd w:val="clear" w:color="auto" w:fill="F8FAFC"/>
          </w:tcPr>
          <w:p>
            <w:pPr>
              <w:jc w:val="center"/>
            </w:pPr>
            <w:r>
              <w:rPr>
                <w:sz w:val="20"/>
              </w:rPr>
              <w:t>68.4%</w:t>
            </w:r>
          </w:p>
        </w:tc>
        <w:tc>
          <w:tcPr>
            <w:tcW w:type="dxa" w:w="1587"/>
            <w:shd w:val="clear" w:color="auto" w:fill="F8FAFC"/>
          </w:tcPr>
          <w:p>
            <w:pPr>
              <w:jc w:val="center"/>
            </w:pPr>
            <w:r>
              <w:rPr>
                <w:sz w:val="20"/>
              </w:rPr>
              <w:t>38.6%</w:t>
            </w:r>
          </w:p>
        </w:tc>
        <w:tc>
          <w:tcPr>
            <w:tcW w:type="dxa" w:w="1587"/>
            <w:shd w:val="clear" w:color="auto" w:fill="F8FAFC"/>
          </w:tcPr>
          <w:p>
            <w:pPr>
              <w:jc w:val="center"/>
            </w:pPr>
            <w:r>
              <w:rPr>
                <w:sz w:val="20"/>
              </w:rPr>
              <w:t>62.1%</w:t>
            </w:r>
          </w:p>
        </w:tc>
      </w:tr>
      <w:tr>
        <w:tc>
          <w:tcPr>
            <w:tcW w:type="dxa" w:w="2835"/>
            <w:shd w:val="clear" w:color="auto" w:fill="FFFFFF"/>
          </w:tcPr>
          <w:p>
            <w:pPr>
              <w:jc w:val="center"/>
            </w:pPr>
            <w:r>
              <w:rPr>
                <w:sz w:val="20"/>
              </w:rPr>
              <w:t>Zero-shot Qwen2.5-VL-7B</w:t>
            </w:r>
          </w:p>
        </w:tc>
        <w:tc>
          <w:tcPr>
            <w:tcW w:type="dxa" w:w="1587"/>
            <w:shd w:val="clear" w:color="auto" w:fill="FFFFFF"/>
          </w:tcPr>
          <w:p>
            <w:pPr>
              <w:jc w:val="center"/>
            </w:pPr>
            <w:r>
              <w:rPr>
                <w:sz w:val="20"/>
              </w:rPr>
              <w:t>78.9%</w:t>
            </w:r>
          </w:p>
        </w:tc>
        <w:tc>
          <w:tcPr>
            <w:tcW w:type="dxa" w:w="1587"/>
            <w:shd w:val="clear" w:color="auto" w:fill="FFFFFF"/>
          </w:tcPr>
          <w:p>
            <w:pPr>
              <w:jc w:val="center"/>
            </w:pPr>
            <w:r>
              <w:rPr>
                <w:sz w:val="20"/>
              </w:rPr>
              <w:t>74.2%</w:t>
            </w:r>
          </w:p>
        </w:tc>
        <w:tc>
          <w:tcPr>
            <w:tcW w:type="dxa" w:w="1587"/>
            <w:shd w:val="clear" w:color="auto" w:fill="FFFFFF"/>
          </w:tcPr>
          <w:p>
            <w:pPr>
              <w:jc w:val="center"/>
            </w:pPr>
            <w:r>
              <w:rPr>
                <w:sz w:val="20"/>
              </w:rPr>
              <w:t>49.3%</w:t>
            </w:r>
          </w:p>
        </w:tc>
        <w:tc>
          <w:tcPr>
            <w:tcW w:type="dxa" w:w="1587"/>
            <w:shd w:val="clear" w:color="auto" w:fill="FFFFFF"/>
          </w:tcPr>
          <w:p>
            <w:pPr>
              <w:jc w:val="center"/>
            </w:pPr>
            <w:r>
              <w:rPr>
                <w:sz w:val="20"/>
              </w:rPr>
              <w:t>69.8%</w:t>
            </w:r>
          </w:p>
        </w:tc>
      </w:tr>
      <w:tr>
        <w:tc>
          <w:tcPr>
            <w:tcW w:type="dxa" w:w="2835"/>
            <w:shd w:val="clear" w:color="auto" w:fill="F8FAFC"/>
          </w:tcPr>
          <w:p>
            <w:pPr>
              <w:jc w:val="center"/>
            </w:pPr>
            <w:r>
              <w:rPr>
                <w:sz w:val="20"/>
              </w:rPr>
              <w:t>LayoutLMv3 (OCR-based)</w:t>
            </w:r>
          </w:p>
        </w:tc>
        <w:tc>
          <w:tcPr>
            <w:tcW w:type="dxa" w:w="1587"/>
            <w:shd w:val="clear" w:color="auto" w:fill="F8FAFC"/>
          </w:tcPr>
          <w:p>
            <w:pPr>
              <w:jc w:val="center"/>
            </w:pPr>
            <w:r>
              <w:rPr>
                <w:sz w:val="20"/>
              </w:rPr>
              <w:t>83.4%</w:t>
            </w:r>
          </w:p>
        </w:tc>
        <w:tc>
          <w:tcPr>
            <w:tcW w:type="dxa" w:w="1587"/>
            <w:shd w:val="clear" w:color="auto" w:fill="F8FAFC"/>
          </w:tcPr>
          <w:p>
            <w:pPr>
              <w:jc w:val="center"/>
            </w:pPr>
            <w:r>
              <w:rPr>
                <w:sz w:val="20"/>
              </w:rPr>
              <w:t>—</w:t>
            </w:r>
          </w:p>
        </w:tc>
        <w:tc>
          <w:tcPr>
            <w:tcW w:type="dxa" w:w="1587"/>
            <w:shd w:val="clear" w:color="auto" w:fill="F8FAFC"/>
          </w:tcPr>
          <w:p>
            <w:pPr>
              <w:jc w:val="center"/>
            </w:pPr>
            <w:r>
              <w:rPr>
                <w:sz w:val="20"/>
              </w:rPr>
              <w:t>61.2%</w:t>
            </w:r>
          </w:p>
        </w:tc>
        <w:tc>
          <w:tcPr>
            <w:tcW w:type="dxa" w:w="1587"/>
            <w:shd w:val="clear" w:color="auto" w:fill="F8FAFC"/>
          </w:tcPr>
          <w:p>
            <w:pPr>
              <w:jc w:val="center"/>
            </w:pPr>
            <w:r>
              <w:rPr>
                <w:sz w:val="20"/>
              </w:rPr>
              <w:t>—</w:t>
            </w:r>
          </w:p>
        </w:tc>
      </w:tr>
      <w:tr>
        <w:tc>
          <w:tcPr>
            <w:tcW w:type="dxa" w:w="2835"/>
            <w:shd w:val="clear" w:color="auto" w:fill="FFFFFF"/>
          </w:tcPr>
          <w:p>
            <w:pPr>
              <w:jc w:val="center"/>
            </w:pPr>
            <w:r>
              <w:rPr>
                <w:sz w:val="20"/>
              </w:rPr>
              <w:t>Donut fine-tuned</w:t>
            </w:r>
          </w:p>
        </w:tc>
        <w:tc>
          <w:tcPr>
            <w:tcW w:type="dxa" w:w="1587"/>
            <w:shd w:val="clear" w:color="auto" w:fill="FFFFFF"/>
          </w:tcPr>
          <w:p>
            <w:pPr>
              <w:jc w:val="center"/>
            </w:pPr>
            <w:r>
              <w:rPr>
                <w:sz w:val="20"/>
              </w:rPr>
              <w:t>86.1%</w:t>
            </w:r>
          </w:p>
        </w:tc>
        <w:tc>
          <w:tcPr>
            <w:tcW w:type="dxa" w:w="1587"/>
            <w:shd w:val="clear" w:color="auto" w:fill="FFFFFF"/>
          </w:tcPr>
          <w:p>
            <w:pPr>
              <w:jc w:val="center"/>
            </w:pPr>
            <w:r>
              <w:rPr>
                <w:sz w:val="20"/>
              </w:rPr>
              <w:t>79.3%</w:t>
            </w:r>
          </w:p>
        </w:tc>
        <w:tc>
          <w:tcPr>
            <w:tcW w:type="dxa" w:w="1587"/>
            <w:shd w:val="clear" w:color="auto" w:fill="FFFFFF"/>
          </w:tcPr>
          <w:p>
            <w:pPr>
              <w:jc w:val="center"/>
            </w:pPr>
            <w:r>
              <w:rPr>
                <w:sz w:val="20"/>
              </w:rPr>
              <w:t>64.8%</w:t>
            </w:r>
          </w:p>
        </w:tc>
        <w:tc>
          <w:tcPr>
            <w:tcW w:type="dxa" w:w="1587"/>
            <w:shd w:val="clear" w:color="auto" w:fill="FFFFFF"/>
          </w:tcPr>
          <w:p>
            <w:pPr>
              <w:jc w:val="center"/>
            </w:pPr>
            <w:r>
              <w:rPr>
                <w:sz w:val="20"/>
              </w:rPr>
              <w:t>74.2%</w:t>
            </w:r>
          </w:p>
        </w:tc>
      </w:tr>
      <w:tr>
        <w:tc>
          <w:tcPr>
            <w:tcW w:type="dxa" w:w="2835"/>
            <w:shd w:val="clear" w:color="auto" w:fill="F8FAFC"/>
          </w:tcPr>
          <w:p>
            <w:pPr>
              <w:jc w:val="center"/>
            </w:pPr>
            <w:r>
              <w:rPr>
                <w:sz w:val="20"/>
              </w:rPr>
              <w:t>Ours (QLoRA 3B, V2)</w:t>
            </w:r>
          </w:p>
        </w:tc>
        <w:tc>
          <w:tcPr>
            <w:tcW w:type="dxa" w:w="1587"/>
            <w:shd w:val="clear" w:color="auto" w:fill="F8FAFC"/>
          </w:tcPr>
          <w:p>
            <w:pPr>
              <w:jc w:val="center"/>
            </w:pPr>
            <w:r>
              <w:rPr>
                <w:sz w:val="20"/>
              </w:rPr>
              <w:t>94.7%</w:t>
            </w:r>
          </w:p>
        </w:tc>
        <w:tc>
          <w:tcPr>
            <w:tcW w:type="dxa" w:w="1587"/>
            <w:shd w:val="clear" w:color="auto" w:fill="F8FAFC"/>
          </w:tcPr>
          <w:p>
            <w:pPr>
              <w:jc w:val="center"/>
            </w:pPr>
            <w:r>
              <w:rPr>
                <w:sz w:val="20"/>
              </w:rPr>
              <w:t>91.8%</w:t>
            </w:r>
          </w:p>
        </w:tc>
        <w:tc>
          <w:tcPr>
            <w:tcW w:type="dxa" w:w="1587"/>
            <w:shd w:val="clear" w:color="auto" w:fill="F8FAFC"/>
          </w:tcPr>
          <w:p>
            <w:pPr>
              <w:jc w:val="center"/>
            </w:pPr>
            <w:r>
              <w:rPr>
                <w:sz w:val="20"/>
              </w:rPr>
              <w:t>82.3%</w:t>
            </w:r>
          </w:p>
        </w:tc>
        <w:tc>
          <w:tcPr>
            <w:tcW w:type="dxa" w:w="1587"/>
            <w:shd w:val="clear" w:color="auto" w:fill="F8FAFC"/>
          </w:tcPr>
          <w:p>
            <w:pPr>
              <w:jc w:val="center"/>
            </w:pPr>
            <w:r>
              <w:rPr>
                <w:sz w:val="20"/>
              </w:rPr>
              <w:t>89.4%</w:t>
            </w:r>
          </w:p>
        </w:tc>
      </w:tr>
    </w:tbl>
    <w:p>
      <w:pPr>
        <w:spacing w:after="120"/>
      </w:pPr>
    </w:p>
    <w:p>
      <w:pPr>
        <w:spacing w:after="120"/>
        <w:ind w:firstLine="283"/>
      </w:pPr>
      <w:r>
        <w:rPr>
          <w:color w:val="0F172A"/>
          <w:sz w:val="22"/>
        </w:rPr>
        <w:t>The zero-shot Qwen2.5-VL-3B baseline demonstrates that the base model has reasonable document understanding but struggles with both the structured JSON output format and the precise START/CONTINUATION distinction. Fine-tuning closes this gap dramatically: class accuracy improves by 23.5 pp and field F1 improves by 43.7 pp over the 3B zero-shot baseline.</w:t>
      </w:r>
    </w:p>
    <w:p>
      <w:pPr>
        <w:spacing w:after="120"/>
        <w:ind w:firstLine="283"/>
      </w:pPr>
      <w:r>
        <w:rPr>
          <w:color w:val="0F172A"/>
          <w:sz w:val="22"/>
        </w:rPr>
        <w:t>Notably, our 3B fine-tuned model outperforms the 7B zero-shot baseline on all metrics, demonstrating that task-specific fine-tuning is more efficient than simply using a larger model in zero-shot mode.</w:t>
      </w:r>
    </w:p>
    <w:p>
      <w:pPr>
        <w:spacing w:before="200" w:after="60"/>
      </w:pPr>
      <w:r>
        <w:rPr>
          <w:b/>
          <w:color w:val="0E7ABF"/>
          <w:sz w:val="24"/>
        </w:rPr>
        <w:t>6.3 Per-Class Analysis</w:t>
      </w:r>
    </w:p>
    <w:p>
      <w:pPr>
        <w:spacing w:before="160" w:after="80"/>
        <w:jc w:val="center"/>
      </w:pPr>
      <w:r>
        <w:rPr>
          <w:b/>
          <w:color w:val="1E3A5F"/>
          <w:sz w:val="20"/>
        </w:rPr>
        <w:t>Table 6. Per-class classification accuracy and field extraction F1.</w:t>
      </w:r>
    </w:p>
    <w:tbl>
      <w:tblPr>
        <w:tblStyle w:val="TableGrid"/>
        <w:tblW w:type="auto" w:w="0"/>
        <w:jc w:val="center"/>
        <w:tblLook w:firstColumn="1" w:firstRow="1" w:lastColumn="0" w:lastRow="0" w:noHBand="0" w:noVBand="1" w:val="04A0"/>
      </w:tblPr>
      <w:tblGrid>
        <w:gridCol w:w="2126"/>
        <w:gridCol w:w="2126"/>
        <w:gridCol w:w="2126"/>
        <w:gridCol w:w="2126"/>
      </w:tblGrid>
      <w:tr>
        <w:tc>
          <w:tcPr>
            <w:tcW w:type="dxa" w:w="2721"/>
            <w:shd w:val="clear" w:color="auto" w:fill="1E3A5F"/>
          </w:tcPr>
          <w:p>
            <w:pPr>
              <w:jc w:val="center"/>
            </w:pPr>
            <w:r>
              <w:rPr>
                <w:b/>
                <w:color w:val="FFFFFF"/>
                <w:sz w:val="20"/>
              </w:rPr>
              <w:t>Document Class</w:t>
            </w:r>
          </w:p>
        </w:tc>
        <w:tc>
          <w:tcPr>
            <w:tcW w:type="dxa" w:w="1417"/>
            <w:shd w:val="clear" w:color="auto" w:fill="1E3A5F"/>
          </w:tcPr>
          <w:p>
            <w:pPr>
              <w:jc w:val="center"/>
            </w:pPr>
            <w:r>
              <w:rPr>
                <w:b/>
                <w:color w:val="FFFFFF"/>
                <w:sz w:val="20"/>
              </w:rPr>
              <w:t>Class Acc.</w:t>
            </w:r>
          </w:p>
        </w:tc>
        <w:tc>
          <w:tcPr>
            <w:tcW w:type="dxa" w:w="1417"/>
            <w:shd w:val="clear" w:color="auto" w:fill="1E3A5F"/>
          </w:tcPr>
          <w:p>
            <w:pPr>
              <w:jc w:val="center"/>
            </w:pPr>
            <w:r>
              <w:rPr>
                <w:b/>
                <w:color w:val="FFFFFF"/>
                <w:sz w:val="20"/>
              </w:rPr>
              <w:t>Field F1</w:t>
            </w:r>
          </w:p>
        </w:tc>
        <w:tc>
          <w:tcPr>
            <w:tcW w:type="dxa" w:w="2835"/>
            <w:shd w:val="clear" w:color="auto" w:fill="1E3A5F"/>
          </w:tcPr>
          <w:p>
            <w:pPr>
              <w:jc w:val="center"/>
            </w:pPr>
            <w:r>
              <w:rPr>
                <w:b/>
                <w:color w:val="FFFFFF"/>
                <w:sz w:val="20"/>
              </w:rPr>
              <w:t>Key Extracted Fields</w:t>
            </w:r>
          </w:p>
        </w:tc>
      </w:tr>
      <w:tr>
        <w:tc>
          <w:tcPr>
            <w:tcW w:type="dxa" w:w="2721"/>
            <w:shd w:val="clear" w:color="auto" w:fill="F8FAFC"/>
          </w:tcPr>
          <w:p>
            <w:pPr>
              <w:jc w:val="center"/>
            </w:pPr>
            <w:r>
              <w:rPr>
                <w:sz w:val="20"/>
              </w:rPr>
              <w:t>Commercial Invoice</w:t>
            </w:r>
          </w:p>
        </w:tc>
        <w:tc>
          <w:tcPr>
            <w:tcW w:type="dxa" w:w="1417"/>
            <w:shd w:val="clear" w:color="auto" w:fill="F8FAFC"/>
          </w:tcPr>
          <w:p>
            <w:pPr>
              <w:jc w:val="center"/>
            </w:pPr>
            <w:r>
              <w:rPr>
                <w:sz w:val="20"/>
              </w:rPr>
              <w:t>96.3%</w:t>
            </w:r>
          </w:p>
        </w:tc>
        <w:tc>
          <w:tcPr>
            <w:tcW w:type="dxa" w:w="1417"/>
            <w:shd w:val="clear" w:color="auto" w:fill="F8FAFC"/>
          </w:tcPr>
          <w:p>
            <w:pPr>
              <w:jc w:val="center"/>
            </w:pPr>
            <w:r>
              <w:rPr>
                <w:sz w:val="20"/>
              </w:rPr>
              <w:t>85.1%</w:t>
            </w:r>
          </w:p>
        </w:tc>
        <w:tc>
          <w:tcPr>
            <w:tcW w:type="dxa" w:w="2835"/>
            <w:shd w:val="clear" w:color="auto" w:fill="F8FAFC"/>
          </w:tcPr>
          <w:p>
            <w:pPr>
              <w:jc w:val="center"/>
            </w:pPr>
            <w:r>
              <w:rPr>
                <w:sz w:val="20"/>
              </w:rPr>
              <w:t>shipper, consignee, date, number, origin, destination, goods</w:t>
            </w:r>
          </w:p>
        </w:tc>
      </w:tr>
      <w:tr>
        <w:tc>
          <w:tcPr>
            <w:tcW w:type="dxa" w:w="2721"/>
            <w:shd w:val="clear" w:color="auto" w:fill="FFFFFF"/>
          </w:tcPr>
          <w:p>
            <w:pPr>
              <w:jc w:val="center"/>
            </w:pPr>
            <w:r>
              <w:rPr>
                <w:sz w:val="20"/>
              </w:rPr>
              <w:t>House Bill of Lading</w:t>
            </w:r>
          </w:p>
        </w:tc>
        <w:tc>
          <w:tcPr>
            <w:tcW w:type="dxa" w:w="1417"/>
            <w:shd w:val="clear" w:color="auto" w:fill="FFFFFF"/>
          </w:tcPr>
          <w:p>
            <w:pPr>
              <w:jc w:val="center"/>
            </w:pPr>
            <w:r>
              <w:rPr>
                <w:sz w:val="20"/>
              </w:rPr>
              <w:t>95.8%</w:t>
            </w:r>
          </w:p>
        </w:tc>
        <w:tc>
          <w:tcPr>
            <w:tcW w:type="dxa" w:w="1417"/>
            <w:shd w:val="clear" w:color="auto" w:fill="FFFFFF"/>
          </w:tcPr>
          <w:p>
            <w:pPr>
              <w:jc w:val="center"/>
            </w:pPr>
            <w:r>
              <w:rPr>
                <w:sz w:val="20"/>
              </w:rPr>
              <w:t>83.7%</w:t>
            </w:r>
          </w:p>
        </w:tc>
        <w:tc>
          <w:tcPr>
            <w:tcW w:type="dxa" w:w="2835"/>
            <w:shd w:val="clear" w:color="auto" w:fill="FFFFFF"/>
          </w:tcPr>
          <w:p>
            <w:pPr>
              <w:jc w:val="center"/>
            </w:pPr>
            <w:r>
              <w:rPr>
                <w:sz w:val="20"/>
              </w:rPr>
              <w:t>shipper, consignee, bl_number, gross_weight, net_weight</w:t>
            </w:r>
          </w:p>
        </w:tc>
      </w:tr>
      <w:tr>
        <w:tc>
          <w:tcPr>
            <w:tcW w:type="dxa" w:w="2721"/>
            <w:shd w:val="clear" w:color="auto" w:fill="F8FAFC"/>
          </w:tcPr>
          <w:p>
            <w:pPr>
              <w:jc w:val="center"/>
            </w:pPr>
            <w:r>
              <w:rPr>
                <w:sz w:val="20"/>
              </w:rPr>
              <w:t>Certificate of Origin</w:t>
            </w:r>
          </w:p>
        </w:tc>
        <w:tc>
          <w:tcPr>
            <w:tcW w:type="dxa" w:w="1417"/>
            <w:shd w:val="clear" w:color="auto" w:fill="F8FAFC"/>
          </w:tcPr>
          <w:p>
            <w:pPr>
              <w:jc w:val="center"/>
            </w:pPr>
            <w:r>
              <w:rPr>
                <w:sz w:val="20"/>
              </w:rPr>
              <w:t>93.2%</w:t>
            </w:r>
          </w:p>
        </w:tc>
        <w:tc>
          <w:tcPr>
            <w:tcW w:type="dxa" w:w="1417"/>
            <w:shd w:val="clear" w:color="auto" w:fill="F8FAFC"/>
          </w:tcPr>
          <w:p>
            <w:pPr>
              <w:jc w:val="center"/>
            </w:pPr>
            <w:r>
              <w:rPr>
                <w:sz w:val="20"/>
              </w:rPr>
              <w:t>78.4%</w:t>
            </w:r>
          </w:p>
        </w:tc>
        <w:tc>
          <w:tcPr>
            <w:tcW w:type="dxa" w:w="2835"/>
            <w:shd w:val="clear" w:color="auto" w:fill="F8FAFC"/>
          </w:tcPr>
          <w:p>
            <w:pPr>
              <w:jc w:val="center"/>
            </w:pPr>
            <w:r>
              <w:rPr>
                <w:sz w:val="20"/>
              </w:rPr>
              <w:t>exporter, consignee, origin, destination, goods</w:t>
            </w:r>
          </w:p>
        </w:tc>
      </w:tr>
      <w:tr>
        <w:tc>
          <w:tcPr>
            <w:tcW w:type="dxa" w:w="2721"/>
            <w:shd w:val="clear" w:color="auto" w:fill="FFFFFF"/>
          </w:tcPr>
          <w:p>
            <w:pPr>
              <w:jc w:val="center"/>
            </w:pPr>
            <w:r>
              <w:rPr>
                <w:sz w:val="20"/>
              </w:rPr>
              <w:t>Shipper's Letter of Instruction</w:t>
            </w:r>
          </w:p>
        </w:tc>
        <w:tc>
          <w:tcPr>
            <w:tcW w:type="dxa" w:w="1417"/>
            <w:shd w:val="clear" w:color="auto" w:fill="FFFFFF"/>
          </w:tcPr>
          <w:p>
            <w:pPr>
              <w:jc w:val="center"/>
            </w:pPr>
            <w:r>
              <w:rPr>
                <w:sz w:val="20"/>
              </w:rPr>
              <w:t>94.7%</w:t>
            </w:r>
          </w:p>
        </w:tc>
        <w:tc>
          <w:tcPr>
            <w:tcW w:type="dxa" w:w="1417"/>
            <w:shd w:val="clear" w:color="auto" w:fill="FFFFFF"/>
          </w:tcPr>
          <w:p>
            <w:pPr>
              <w:jc w:val="center"/>
            </w:pPr>
            <w:r>
              <w:rPr>
                <w:sz w:val="20"/>
              </w:rPr>
              <w:t>80.2%</w:t>
            </w:r>
          </w:p>
        </w:tc>
        <w:tc>
          <w:tcPr>
            <w:tcW w:type="dxa" w:w="2835"/>
            <w:shd w:val="clear" w:color="auto" w:fill="FFFFFF"/>
          </w:tcPr>
          <w:p>
            <w:pPr>
              <w:jc w:val="center"/>
            </w:pPr>
            <w:r>
              <w:rPr>
                <w:sz w:val="20"/>
              </w:rPr>
              <w:t>usppi, consignee, reference, total_weight</w:t>
            </w:r>
          </w:p>
        </w:tc>
      </w:tr>
      <w:tr>
        <w:tc>
          <w:tcPr>
            <w:tcW w:type="dxa" w:w="2721"/>
            <w:shd w:val="clear" w:color="auto" w:fill="F8FAFC"/>
          </w:tcPr>
          <w:p>
            <w:pPr>
              <w:jc w:val="center"/>
            </w:pPr>
            <w:r>
              <w:rPr>
                <w:sz w:val="20"/>
              </w:rPr>
              <w:t>Dangerous Goods Declaration</w:t>
            </w:r>
          </w:p>
        </w:tc>
        <w:tc>
          <w:tcPr>
            <w:tcW w:type="dxa" w:w="1417"/>
            <w:shd w:val="clear" w:color="auto" w:fill="F8FAFC"/>
          </w:tcPr>
          <w:p>
            <w:pPr>
              <w:jc w:val="center"/>
            </w:pPr>
            <w:r>
              <w:rPr>
                <w:sz w:val="20"/>
              </w:rPr>
              <w:t>96.1%</w:t>
            </w:r>
          </w:p>
        </w:tc>
        <w:tc>
          <w:tcPr>
            <w:tcW w:type="dxa" w:w="1417"/>
            <w:shd w:val="clear" w:color="auto" w:fill="F8FAFC"/>
          </w:tcPr>
          <w:p>
            <w:pPr>
              <w:jc w:val="center"/>
            </w:pPr>
            <w:r>
              <w:rPr>
                <w:sz w:val="20"/>
              </w:rPr>
              <w:t>77.9%</w:t>
            </w:r>
          </w:p>
        </w:tc>
        <w:tc>
          <w:tcPr>
            <w:tcW w:type="dxa" w:w="2835"/>
            <w:shd w:val="clear" w:color="auto" w:fill="F8FAFC"/>
          </w:tcPr>
          <w:p>
            <w:pPr>
              <w:jc w:val="center"/>
            </w:pPr>
            <w:r>
              <w:rPr>
                <w:sz w:val="20"/>
              </w:rPr>
              <w:t>shipper, consignee, awb_number, dg_description</w:t>
            </w:r>
          </w:p>
        </w:tc>
      </w:tr>
      <w:tr>
        <w:tc>
          <w:tcPr>
            <w:tcW w:type="dxa" w:w="2721"/>
            <w:shd w:val="clear" w:color="auto" w:fill="FFFFFF"/>
          </w:tcPr>
          <w:p>
            <w:pPr>
              <w:jc w:val="center"/>
            </w:pPr>
            <w:r>
              <w:rPr>
                <w:sz w:val="20"/>
              </w:rPr>
              <w:t>Verified Gross Mass</w:t>
            </w:r>
          </w:p>
        </w:tc>
        <w:tc>
          <w:tcPr>
            <w:tcW w:type="dxa" w:w="1417"/>
            <w:shd w:val="clear" w:color="auto" w:fill="FFFFFF"/>
          </w:tcPr>
          <w:p>
            <w:pPr>
              <w:jc w:val="center"/>
            </w:pPr>
            <w:r>
              <w:rPr>
                <w:sz w:val="20"/>
              </w:rPr>
              <w:t>97.4%</w:t>
            </w:r>
          </w:p>
        </w:tc>
        <w:tc>
          <w:tcPr>
            <w:tcW w:type="dxa" w:w="1417"/>
            <w:shd w:val="clear" w:color="auto" w:fill="FFFFFF"/>
          </w:tcPr>
          <w:p>
            <w:pPr>
              <w:jc w:val="center"/>
            </w:pPr>
            <w:r>
              <w:rPr>
                <w:sz w:val="20"/>
              </w:rPr>
              <w:t>88.6%</w:t>
            </w:r>
          </w:p>
        </w:tc>
        <w:tc>
          <w:tcPr>
            <w:tcW w:type="dxa" w:w="2835"/>
            <w:shd w:val="clear" w:color="auto" w:fill="FFFFFF"/>
          </w:tcPr>
          <w:p>
            <w:pPr>
              <w:jc w:val="center"/>
            </w:pPr>
            <w:r>
              <w:rPr>
                <w:sz w:val="20"/>
              </w:rPr>
              <w:t>shipper, bl_number, date, vgm_kg, origin</w:t>
            </w:r>
          </w:p>
        </w:tc>
      </w:tr>
      <w:tr>
        <w:tc>
          <w:tcPr>
            <w:tcW w:type="dxa" w:w="2721"/>
            <w:shd w:val="clear" w:color="auto" w:fill="F8FAFC"/>
          </w:tcPr>
          <w:p>
            <w:pPr>
              <w:jc w:val="center"/>
            </w:pPr>
            <w:r>
              <w:rPr>
                <w:sz w:val="20"/>
              </w:rPr>
              <w:t>House Airway Bill</w:t>
            </w:r>
          </w:p>
        </w:tc>
        <w:tc>
          <w:tcPr>
            <w:tcW w:type="dxa" w:w="1417"/>
            <w:shd w:val="clear" w:color="auto" w:fill="F8FAFC"/>
          </w:tcPr>
          <w:p>
            <w:pPr>
              <w:jc w:val="center"/>
            </w:pPr>
            <w:r>
              <w:rPr>
                <w:sz w:val="20"/>
              </w:rPr>
              <w:t>96.9%</w:t>
            </w:r>
          </w:p>
        </w:tc>
        <w:tc>
          <w:tcPr>
            <w:tcW w:type="dxa" w:w="1417"/>
            <w:shd w:val="clear" w:color="auto" w:fill="F8FAFC"/>
          </w:tcPr>
          <w:p>
            <w:pPr>
              <w:jc w:val="center"/>
            </w:pPr>
            <w:r>
              <w:rPr>
                <w:sz w:val="20"/>
              </w:rPr>
              <w:t>87.2%</w:t>
            </w:r>
          </w:p>
        </w:tc>
        <w:tc>
          <w:tcPr>
            <w:tcW w:type="dxa" w:w="2835"/>
            <w:shd w:val="clear" w:color="auto" w:fill="F8FAFC"/>
          </w:tcPr>
          <w:p>
            <w:pPr>
              <w:jc w:val="center"/>
            </w:pPr>
            <w:r>
              <w:rPr>
                <w:sz w:val="20"/>
              </w:rPr>
              <w:t>shipper, consignee, hawb_number, gross_weight, goods</w:t>
            </w:r>
          </w:p>
        </w:tc>
      </w:tr>
      <w:tr>
        <w:tc>
          <w:tcPr>
            <w:tcW w:type="dxa" w:w="2721"/>
            <w:shd w:val="clear" w:color="auto" w:fill="FFFFFF"/>
          </w:tcPr>
          <w:p>
            <w:pPr>
              <w:jc w:val="center"/>
            </w:pPr>
            <w:r>
              <w:rPr>
                <w:sz w:val="20"/>
              </w:rPr>
              <w:t>Packing List</w:t>
            </w:r>
          </w:p>
        </w:tc>
        <w:tc>
          <w:tcPr>
            <w:tcW w:type="dxa" w:w="1417"/>
            <w:shd w:val="clear" w:color="auto" w:fill="FFFFFF"/>
          </w:tcPr>
          <w:p>
            <w:pPr>
              <w:jc w:val="center"/>
            </w:pPr>
            <w:r>
              <w:rPr>
                <w:sz w:val="20"/>
              </w:rPr>
              <w:t>94.4%</w:t>
            </w:r>
          </w:p>
        </w:tc>
        <w:tc>
          <w:tcPr>
            <w:tcW w:type="dxa" w:w="1417"/>
            <w:shd w:val="clear" w:color="auto" w:fill="FFFFFF"/>
          </w:tcPr>
          <w:p>
            <w:pPr>
              <w:jc w:val="center"/>
            </w:pPr>
            <w:r>
              <w:rPr>
                <w:sz w:val="20"/>
              </w:rPr>
              <w:t>84.1%</w:t>
            </w:r>
          </w:p>
        </w:tc>
        <w:tc>
          <w:tcPr>
            <w:tcW w:type="dxa" w:w="2835"/>
            <w:shd w:val="clear" w:color="auto" w:fill="FFFFFF"/>
          </w:tcPr>
          <w:p>
            <w:pPr>
              <w:jc w:val="center"/>
            </w:pPr>
            <w:r>
              <w:rPr>
                <w:sz w:val="20"/>
              </w:rPr>
              <w:t>shipper, consignee, date, invoice_number, goods</w:t>
            </w:r>
          </w:p>
        </w:tc>
      </w:tr>
      <w:tr>
        <w:tc>
          <w:tcPr>
            <w:tcW w:type="dxa" w:w="2721"/>
            <w:shd w:val="clear" w:color="auto" w:fill="F8FAFC"/>
          </w:tcPr>
          <w:p>
            <w:pPr>
              <w:jc w:val="center"/>
            </w:pPr>
            <w:r>
              <w:rPr>
                <w:sz w:val="20"/>
              </w:rPr>
              <w:t>Customs Declaration</w:t>
            </w:r>
          </w:p>
        </w:tc>
        <w:tc>
          <w:tcPr>
            <w:tcW w:type="dxa" w:w="1417"/>
            <w:shd w:val="clear" w:color="auto" w:fill="F8FAFC"/>
          </w:tcPr>
          <w:p>
            <w:pPr>
              <w:jc w:val="center"/>
            </w:pPr>
            <w:r>
              <w:rPr>
                <w:sz w:val="20"/>
              </w:rPr>
              <w:t>93.8%</w:t>
            </w:r>
          </w:p>
        </w:tc>
        <w:tc>
          <w:tcPr>
            <w:tcW w:type="dxa" w:w="1417"/>
            <w:shd w:val="clear" w:color="auto" w:fill="F8FAFC"/>
          </w:tcPr>
          <w:p>
            <w:pPr>
              <w:jc w:val="center"/>
            </w:pPr>
            <w:r>
              <w:rPr>
                <w:sz w:val="20"/>
              </w:rPr>
              <w:t>79.3%</w:t>
            </w:r>
          </w:p>
        </w:tc>
        <w:tc>
          <w:tcPr>
            <w:tcW w:type="dxa" w:w="2835"/>
            <w:shd w:val="clear" w:color="auto" w:fill="F8FAFC"/>
          </w:tcPr>
          <w:p>
            <w:pPr>
              <w:jc w:val="center"/>
            </w:pPr>
            <w:r>
              <w:rPr>
                <w:sz w:val="20"/>
              </w:rPr>
              <w:t>sender, addressee, date, reference, total_weight</w:t>
            </w:r>
          </w:p>
        </w:tc>
      </w:tr>
      <w:tr>
        <w:tc>
          <w:tcPr>
            <w:tcW w:type="dxa" w:w="2721"/>
            <w:shd w:val="clear" w:color="auto" w:fill="FFFFFF"/>
          </w:tcPr>
          <w:p>
            <w:pPr>
              <w:jc w:val="center"/>
            </w:pPr>
            <w:r>
              <w:rPr>
                <w:sz w:val="20"/>
              </w:rPr>
              <w:t>Cargo Manifest</w:t>
            </w:r>
          </w:p>
        </w:tc>
        <w:tc>
          <w:tcPr>
            <w:tcW w:type="dxa" w:w="1417"/>
            <w:shd w:val="clear" w:color="auto" w:fill="FFFFFF"/>
          </w:tcPr>
          <w:p>
            <w:pPr>
              <w:jc w:val="center"/>
            </w:pPr>
            <w:r>
              <w:rPr>
                <w:sz w:val="20"/>
              </w:rPr>
              <w:t>95.2%</w:t>
            </w:r>
          </w:p>
        </w:tc>
        <w:tc>
          <w:tcPr>
            <w:tcW w:type="dxa" w:w="1417"/>
            <w:shd w:val="clear" w:color="auto" w:fill="FFFFFF"/>
          </w:tcPr>
          <w:p>
            <w:pPr>
              <w:jc w:val="center"/>
            </w:pPr>
            <w:r>
              <w:rPr>
                <w:sz w:val="20"/>
              </w:rPr>
              <w:t>81.6%</w:t>
            </w:r>
          </w:p>
        </w:tc>
        <w:tc>
          <w:tcPr>
            <w:tcW w:type="dxa" w:w="2835"/>
            <w:shd w:val="clear" w:color="auto" w:fill="FFFFFF"/>
          </w:tcPr>
          <w:p>
            <w:pPr>
              <w:jc w:val="center"/>
            </w:pPr>
            <w:r>
              <w:rPr>
                <w:sz w:val="20"/>
              </w:rPr>
              <w:t>manifest_number, date, departure, destination</w:t>
            </w:r>
          </w:p>
        </w:tc>
      </w:tr>
      <w:tr>
        <w:tc>
          <w:tcPr>
            <w:tcW w:type="dxa" w:w="2721"/>
            <w:shd w:val="clear" w:color="auto" w:fill="F8FAFC"/>
          </w:tcPr>
          <w:p>
            <w:pPr>
              <w:jc w:val="center"/>
            </w:pPr>
            <w:r>
              <w:rPr>
                <w:sz w:val="20"/>
              </w:rPr>
              <w:t>Import/Export License</w:t>
            </w:r>
          </w:p>
        </w:tc>
        <w:tc>
          <w:tcPr>
            <w:tcW w:type="dxa" w:w="1417"/>
            <w:shd w:val="clear" w:color="auto" w:fill="F8FAFC"/>
          </w:tcPr>
          <w:p>
            <w:pPr>
              <w:jc w:val="center"/>
            </w:pPr>
            <w:r>
              <w:rPr>
                <w:sz w:val="20"/>
              </w:rPr>
              <w:t>94.6%</w:t>
            </w:r>
          </w:p>
        </w:tc>
        <w:tc>
          <w:tcPr>
            <w:tcW w:type="dxa" w:w="1417"/>
            <w:shd w:val="clear" w:color="auto" w:fill="F8FAFC"/>
          </w:tcPr>
          <w:p>
            <w:pPr>
              <w:jc w:val="center"/>
            </w:pPr>
            <w:r>
              <w:rPr>
                <w:sz w:val="20"/>
              </w:rPr>
              <w:t>83.4%</w:t>
            </w:r>
          </w:p>
        </w:tc>
        <w:tc>
          <w:tcPr>
            <w:tcW w:type="dxa" w:w="2835"/>
            <w:shd w:val="clear" w:color="auto" w:fill="F8FAFC"/>
          </w:tcPr>
          <w:p>
            <w:pPr>
              <w:jc w:val="center"/>
            </w:pPr>
            <w:r>
              <w:rPr>
                <w:sz w:val="20"/>
              </w:rPr>
              <w:t>licensee, license_number, validity_start, validity_end</w:t>
            </w:r>
          </w:p>
        </w:tc>
      </w:tr>
      <w:tr>
        <w:tc>
          <w:tcPr>
            <w:tcW w:type="dxa" w:w="2721"/>
            <w:shd w:val="clear" w:color="auto" w:fill="FFFFFF"/>
          </w:tcPr>
          <w:p>
            <w:pPr>
              <w:jc w:val="center"/>
            </w:pPr>
            <w:r>
              <w:rPr>
                <w:sz w:val="20"/>
              </w:rPr>
              <w:t>Power of Attorney</w:t>
            </w:r>
          </w:p>
        </w:tc>
        <w:tc>
          <w:tcPr>
            <w:tcW w:type="dxa" w:w="1417"/>
            <w:shd w:val="clear" w:color="auto" w:fill="FFFFFF"/>
          </w:tcPr>
          <w:p>
            <w:pPr>
              <w:jc w:val="center"/>
            </w:pPr>
            <w:r>
              <w:rPr>
                <w:sz w:val="20"/>
              </w:rPr>
              <w:t>92.7%</w:t>
            </w:r>
          </w:p>
        </w:tc>
        <w:tc>
          <w:tcPr>
            <w:tcW w:type="dxa" w:w="1417"/>
            <w:shd w:val="clear" w:color="auto" w:fill="FFFFFF"/>
          </w:tcPr>
          <w:p>
            <w:pPr>
              <w:jc w:val="center"/>
            </w:pPr>
            <w:r>
              <w:rPr>
                <w:sz w:val="20"/>
              </w:rPr>
              <w:t>76.8%</w:t>
            </w:r>
          </w:p>
        </w:tc>
        <w:tc>
          <w:tcPr>
            <w:tcW w:type="dxa" w:w="2835"/>
            <w:shd w:val="clear" w:color="auto" w:fill="FFFFFF"/>
          </w:tcPr>
          <w:p>
            <w:pPr>
              <w:jc w:val="center"/>
            </w:pPr>
            <w:r>
              <w:rPr>
                <w:sz w:val="20"/>
              </w:rPr>
              <w:t>grantor, agent, poa_reference, origin_country</w:t>
            </w:r>
          </w:p>
        </w:tc>
      </w:tr>
    </w:tbl>
    <w:p>
      <w:pPr>
        <w:spacing w:after="120"/>
      </w:pPr>
    </w:p>
    <w:p>
      <w:pPr>
        <w:spacing w:before="200" w:after="60"/>
      </w:pPr>
      <w:r>
        <w:rPr>
          <w:b/>
          <w:color w:val="0E7ABF"/>
          <w:sz w:val="24"/>
        </w:rPr>
        <w:t>6.4 Document Splitting Analysis</w:t>
      </w:r>
    </w:p>
    <w:p>
      <w:pPr>
        <w:spacing w:after="120"/>
        <w:ind w:firstLine="283"/>
      </w:pPr>
      <w:r>
        <w:rPr>
          <w:color w:val="0F172A"/>
          <w:sz w:val="22"/>
        </w:rPr>
        <w:t>On the test set of 500 multi-document bundles, the model achieves a Bundle Splitting IoU of 89.4%, meaning that predicted and ground-truth document boundary sets overlap by 89.4% on average. Splitting errors are almost exclusively at boundaries between consecutive pages of the same document class — for example, a two-page Packing List followed by a one-page Packing List, where the model may fail to detect the boundary between them. This accounts for 78% of all splitting errors.</w:t>
      </w:r>
    </w:p>
    <w:p>
      <w:pPr>
        <w:spacing w:after="120"/>
        <w:ind w:firstLine="283"/>
      </w:pPr>
      <w:r>
        <w:rPr>
          <w:color w:val="0F172A"/>
          <w:sz w:val="22"/>
        </w:rPr>
        <w:t>Boundaries between different document classes are detected with near-perfect accuracy (97.2%), confirming that classification accuracy is the primary driver of splitting quality.</w:t>
      </w:r>
    </w:p>
    <w:p>
      <w:pPr>
        <w:spacing w:before="320" w:after="80"/>
        <w:pBdr>
          <w:bottom w:val="single" w:sz="4" w:space="4" w:color="1E3A5F"/>
        </w:pBdr>
      </w:pPr>
      <w:r>
        <w:rPr>
          <w:b/>
          <w:color w:val="1E3A5F"/>
          <w:sz w:val="28"/>
        </w:rPr>
        <w:t>7. Inference Optimization</w:t>
      </w:r>
    </w:p>
    <w:p>
      <w:pPr>
        <w:spacing w:after="120"/>
        <w:ind w:firstLine="283"/>
      </w:pPr>
      <w:r>
        <w:rPr>
          <w:color w:val="0F172A"/>
          <w:sz w:val="22"/>
        </w:rPr>
        <w:t>Deploying the fine-tuned model in a production application requires substantially lower latency than the 20–30 seconds per page achieved with a naive inference configuration. We apply a series of complementary optimizations that collectively achieve a 3× reduction in per-page latency without any degradation in task accuracy.</w:t>
      </w:r>
    </w:p>
    <w:p>
      <w:pPr>
        <w:spacing w:before="200" w:after="60"/>
      </w:pPr>
      <w:r>
        <w:rPr>
          <w:b/>
          <w:color w:val="0E7ABF"/>
          <w:sz w:val="24"/>
        </w:rPr>
        <w:t>7.1 Precision: BFloat16 vs 4-bit Quantization</w:t>
      </w:r>
    </w:p>
    <w:p>
      <w:pPr>
        <w:spacing w:after="120"/>
        <w:ind w:firstLine="283"/>
      </w:pPr>
      <w:r>
        <w:rPr>
          <w:color w:val="0F172A"/>
          <w:sz w:val="22"/>
        </w:rPr>
        <w:t>Training used QLoRA (4-bit base model) to fit within GPU memory constraints. At inference time, these constraints no longer apply: no gradients, no optimizer states, and no training activations are stored. The 3B model in bfloat16 requires ~6.5 GB, comfortably within the 16 GB VRAM budget. Loading in bfloat16 eliminates the per-layer dequantization overhead (int4 → float16 conversion at every forward pass), yielding a 2–3× speedup on the LLM decoder.</w:t>
      </w:r>
    </w:p>
    <w:p>
      <w:pPr>
        <w:spacing w:before="200" w:after="60"/>
      </w:pPr>
      <w:r>
        <w:rPr>
          <w:b/>
          <w:color w:val="0E7ABF"/>
          <w:sz w:val="24"/>
        </w:rPr>
        <w:t>7.2 TF32 and Tensor Core Utilization</w:t>
      </w:r>
    </w:p>
    <w:p>
      <w:pPr>
        <w:spacing w:after="120"/>
        <w:ind w:firstLine="283"/>
      </w:pPr>
      <w:r>
        <w:rPr>
          <w:color w:val="0F172A"/>
          <w:sz w:val="22"/>
        </w:rPr>
        <w:t>Enabling PyTorch's TF32 flag for matrix multiplications allows the GPU's Tensor Cores to be fully utilized. TF32 retains float32's dynamic range while using float16's mantissa precision, with no measurable accuracy impact for inference tasks. This yields an additional 10–20% speedup on the attention and feed-forward layers of the LLM decoder.</w:t>
      </w:r>
    </w:p>
    <w:p>
      <w:pPr>
        <w:spacing w:before="200" w:after="60"/>
      </w:pPr>
      <w:r>
        <w:rPr>
          <w:b/>
          <w:color w:val="0E7ABF"/>
          <w:sz w:val="24"/>
        </w:rPr>
        <w:t>7.3 Visual Token Reduction</w:t>
      </w:r>
    </w:p>
    <w:p>
      <w:pPr>
        <w:spacing w:after="120"/>
        <w:ind w:firstLine="283"/>
      </w:pPr>
      <w:r>
        <w:rPr>
          <w:color w:val="0F172A"/>
          <w:sz w:val="22"/>
        </w:rPr>
        <w:t>The vision encoder's self-attention cost scales quadratically with the number of visual tokens. Reducing the maximum image resolution from 640K pixels (~816 tokens) to 384K pixels (~490 tokens) reduces self-attention operations by 64% while preserving sufficient visual fidelity for standard document font sizes. This yields a 35–40% reduction in vision encoder latency.</w:t>
      </w:r>
    </w:p>
    <w:p>
      <w:pPr>
        <w:spacing w:before="200" w:after="60"/>
      </w:pPr>
      <w:r>
        <w:rPr>
          <w:b/>
          <w:color w:val="0E7ABF"/>
          <w:sz w:val="24"/>
        </w:rPr>
        <w:t>7.4 LoRA Weight Merging</w:t>
      </w:r>
    </w:p>
    <w:p>
      <w:pPr>
        <w:spacing w:after="120"/>
        <w:ind w:firstLine="283"/>
      </w:pPr>
      <w:r>
        <w:rPr>
          <w:color w:val="0F172A"/>
          <w:sz w:val="22"/>
        </w:rPr>
        <w:t>After training, LoRA adapter weights are merged into the base model weights offline using standard PEFT merge_and_unload(). This eliminates the additional A×B matrix multiplication at each of the ~100 adapted linear layers during inference, yielding a further 10–15% per-token speedup. The merge is performed without importing Unsloth to avoid conflicts between Unsloth's custom kernel patches and the PEFT merge process.</w:t>
      </w:r>
    </w:p>
    <w:p>
      <w:pPr>
        <w:spacing w:before="200" w:after="60"/>
      </w:pPr>
      <w:r>
        <w:rPr>
          <w:b/>
          <w:color w:val="0E7ABF"/>
          <w:sz w:val="24"/>
        </w:rPr>
        <w:t>7.5 Warmup and Pre-loading</w:t>
      </w:r>
    </w:p>
    <w:p>
      <w:pPr>
        <w:spacing w:after="120"/>
        <w:ind w:firstLine="283"/>
      </w:pPr>
      <w:r>
        <w:rPr>
          <w:color w:val="0F172A"/>
          <w:sz w:val="22"/>
        </w:rPr>
        <w:t>CUDA kernel compilation (first-time JIT cost) is amortized by running a dummy forward pass at server startup before the application accepts requests. The model is also loaded into GPU memory at startup rather than on first request, eliminating a 30–60 second cold-start penalty for end users.</w:t>
      </w:r>
    </w:p>
    <w:p>
      <w:pPr>
        <w:spacing w:before="160" w:after="80"/>
        <w:jc w:val="center"/>
      </w:pPr>
      <w:r>
        <w:rPr>
          <w:b/>
          <w:color w:val="1E3A5F"/>
          <w:sz w:val="20"/>
        </w:rPr>
        <w:t>Table 7. Cumulative inference optimization results (8-page test bundle).</w:t>
      </w:r>
    </w:p>
    <w:tbl>
      <w:tblPr>
        <w:tblStyle w:val="TableGrid"/>
        <w:tblW w:type="auto" w:w="0"/>
        <w:jc w:val="center"/>
        <w:tblLook w:firstColumn="1" w:firstRow="1" w:lastColumn="0" w:lastRow="0" w:noHBand="0" w:noVBand="1" w:val="04A0"/>
      </w:tblPr>
      <w:tblGrid>
        <w:gridCol w:w="2126"/>
        <w:gridCol w:w="2126"/>
        <w:gridCol w:w="2126"/>
        <w:gridCol w:w="2126"/>
      </w:tblGrid>
      <w:tr>
        <w:tc>
          <w:tcPr>
            <w:tcW w:type="dxa" w:w="3685"/>
            <w:shd w:val="clear" w:color="auto" w:fill="1E3A5F"/>
          </w:tcPr>
          <w:p>
            <w:pPr>
              <w:jc w:val="center"/>
            </w:pPr>
            <w:r>
              <w:rPr>
                <w:b/>
                <w:color w:val="FFFFFF"/>
                <w:sz w:val="20"/>
              </w:rPr>
              <w:t>Configuration</w:t>
            </w:r>
          </w:p>
        </w:tc>
        <w:tc>
          <w:tcPr>
            <w:tcW w:type="dxa" w:w="1984"/>
            <w:shd w:val="clear" w:color="auto" w:fill="1E3A5F"/>
          </w:tcPr>
          <w:p>
            <w:pPr>
              <w:jc w:val="center"/>
            </w:pPr>
            <w:r>
              <w:rPr>
                <w:b/>
                <w:color w:val="FFFFFF"/>
                <w:sz w:val="20"/>
              </w:rPr>
              <w:t>Per-page Latency</w:t>
            </w:r>
          </w:p>
        </w:tc>
        <w:tc>
          <w:tcPr>
            <w:tcW w:type="dxa" w:w="1701"/>
            <w:shd w:val="clear" w:color="auto" w:fill="1E3A5F"/>
          </w:tcPr>
          <w:p>
            <w:pPr>
              <w:jc w:val="center"/>
            </w:pPr>
            <w:r>
              <w:rPr>
                <w:b/>
                <w:color w:val="FFFFFF"/>
                <w:sz w:val="20"/>
              </w:rPr>
              <w:t>8-page Total</w:t>
            </w:r>
          </w:p>
        </w:tc>
        <w:tc>
          <w:tcPr>
            <w:tcW w:type="dxa" w:w="1417"/>
            <w:shd w:val="clear" w:color="auto" w:fill="1E3A5F"/>
          </w:tcPr>
          <w:p>
            <w:pPr>
              <w:jc w:val="center"/>
            </w:pPr>
            <w:r>
              <w:rPr>
                <w:b/>
                <w:color w:val="FFFFFF"/>
                <w:sz w:val="20"/>
              </w:rPr>
              <w:t>vs Baseline</w:t>
            </w:r>
          </w:p>
        </w:tc>
      </w:tr>
      <w:tr>
        <w:tc>
          <w:tcPr>
            <w:tcW w:type="dxa" w:w="3685"/>
            <w:shd w:val="clear" w:color="auto" w:fill="F8FAFC"/>
          </w:tcPr>
          <w:p>
            <w:pPr>
              <w:jc w:val="center"/>
            </w:pPr>
            <w:r>
              <w:rPr>
                <w:sz w:val="20"/>
              </w:rPr>
              <w:t>Baseline (4-bit, 640K px)</w:t>
            </w:r>
          </w:p>
        </w:tc>
        <w:tc>
          <w:tcPr>
            <w:tcW w:type="dxa" w:w="1984"/>
            <w:shd w:val="clear" w:color="auto" w:fill="F8FAFC"/>
          </w:tcPr>
          <w:p>
            <w:pPr>
              <w:jc w:val="center"/>
            </w:pPr>
            <w:r>
              <w:rPr>
                <w:sz w:val="20"/>
              </w:rPr>
              <w:t>22.4 s</w:t>
            </w:r>
          </w:p>
        </w:tc>
        <w:tc>
          <w:tcPr>
            <w:tcW w:type="dxa" w:w="1701"/>
            <w:shd w:val="clear" w:color="auto" w:fill="F8FAFC"/>
          </w:tcPr>
          <w:p>
            <w:pPr>
              <w:jc w:val="center"/>
            </w:pPr>
            <w:r>
              <w:rPr>
                <w:sz w:val="20"/>
              </w:rPr>
              <w:t>179 s</w:t>
            </w:r>
          </w:p>
        </w:tc>
        <w:tc>
          <w:tcPr>
            <w:tcW w:type="dxa" w:w="1417"/>
            <w:shd w:val="clear" w:color="auto" w:fill="F8FAFC"/>
          </w:tcPr>
          <w:p>
            <w:pPr>
              <w:jc w:val="center"/>
            </w:pPr>
            <w:r>
              <w:rPr>
                <w:sz w:val="20"/>
              </w:rPr>
              <w:t>—</w:t>
            </w:r>
          </w:p>
        </w:tc>
      </w:tr>
      <w:tr>
        <w:tc>
          <w:tcPr>
            <w:tcW w:type="dxa" w:w="3685"/>
            <w:shd w:val="clear" w:color="auto" w:fill="FFFFFF"/>
          </w:tcPr>
          <w:p>
            <w:pPr>
              <w:jc w:val="center"/>
            </w:pPr>
            <w:r>
              <w:rPr>
                <w:sz w:val="20"/>
              </w:rPr>
              <w:t>+ BFloat16 precision</w:t>
            </w:r>
          </w:p>
        </w:tc>
        <w:tc>
          <w:tcPr>
            <w:tcW w:type="dxa" w:w="1984"/>
            <w:shd w:val="clear" w:color="auto" w:fill="FFFFFF"/>
          </w:tcPr>
          <w:p>
            <w:pPr>
              <w:jc w:val="center"/>
            </w:pPr>
            <w:r>
              <w:rPr>
                <w:sz w:val="20"/>
              </w:rPr>
              <w:t>9.8 s</w:t>
            </w:r>
          </w:p>
        </w:tc>
        <w:tc>
          <w:tcPr>
            <w:tcW w:type="dxa" w:w="1701"/>
            <w:shd w:val="clear" w:color="auto" w:fill="FFFFFF"/>
          </w:tcPr>
          <w:p>
            <w:pPr>
              <w:jc w:val="center"/>
            </w:pPr>
            <w:r>
              <w:rPr>
                <w:sz w:val="20"/>
              </w:rPr>
              <w:t>78 s</w:t>
            </w:r>
          </w:p>
        </w:tc>
        <w:tc>
          <w:tcPr>
            <w:tcW w:type="dxa" w:w="1417"/>
            <w:shd w:val="clear" w:color="auto" w:fill="FFFFFF"/>
          </w:tcPr>
          <w:p>
            <w:pPr>
              <w:jc w:val="center"/>
            </w:pPr>
            <w:r>
              <w:rPr>
                <w:sz w:val="20"/>
              </w:rPr>
              <w:t>2.3×</w:t>
            </w:r>
          </w:p>
        </w:tc>
      </w:tr>
      <w:tr>
        <w:tc>
          <w:tcPr>
            <w:tcW w:type="dxa" w:w="3685"/>
            <w:shd w:val="clear" w:color="auto" w:fill="F8FAFC"/>
          </w:tcPr>
          <w:p>
            <w:pPr>
              <w:jc w:val="center"/>
            </w:pPr>
            <w:r>
              <w:rPr>
                <w:sz w:val="20"/>
              </w:rPr>
              <w:t>+ TF32 enabled</w:t>
            </w:r>
          </w:p>
        </w:tc>
        <w:tc>
          <w:tcPr>
            <w:tcW w:type="dxa" w:w="1984"/>
            <w:shd w:val="clear" w:color="auto" w:fill="F8FAFC"/>
          </w:tcPr>
          <w:p>
            <w:pPr>
              <w:jc w:val="center"/>
            </w:pPr>
            <w:r>
              <w:rPr>
                <w:sz w:val="20"/>
              </w:rPr>
              <w:t>8.6 s</w:t>
            </w:r>
          </w:p>
        </w:tc>
        <w:tc>
          <w:tcPr>
            <w:tcW w:type="dxa" w:w="1701"/>
            <w:shd w:val="clear" w:color="auto" w:fill="F8FAFC"/>
          </w:tcPr>
          <w:p>
            <w:pPr>
              <w:jc w:val="center"/>
            </w:pPr>
            <w:r>
              <w:rPr>
                <w:sz w:val="20"/>
              </w:rPr>
              <w:t>69 s</w:t>
            </w:r>
          </w:p>
        </w:tc>
        <w:tc>
          <w:tcPr>
            <w:tcW w:type="dxa" w:w="1417"/>
            <w:shd w:val="clear" w:color="auto" w:fill="F8FAFC"/>
          </w:tcPr>
          <w:p>
            <w:pPr>
              <w:jc w:val="center"/>
            </w:pPr>
            <w:r>
              <w:rPr>
                <w:sz w:val="20"/>
              </w:rPr>
              <w:t>2.6×</w:t>
            </w:r>
          </w:p>
        </w:tc>
      </w:tr>
      <w:tr>
        <w:tc>
          <w:tcPr>
            <w:tcW w:type="dxa" w:w="3685"/>
            <w:shd w:val="clear" w:color="auto" w:fill="FFFFFF"/>
          </w:tcPr>
          <w:p>
            <w:pPr>
              <w:jc w:val="center"/>
            </w:pPr>
            <w:r>
              <w:rPr>
                <w:sz w:val="20"/>
              </w:rPr>
              <w:t>+ Reduced resolution (384K px)</w:t>
            </w:r>
          </w:p>
        </w:tc>
        <w:tc>
          <w:tcPr>
            <w:tcW w:type="dxa" w:w="1984"/>
            <w:shd w:val="clear" w:color="auto" w:fill="FFFFFF"/>
          </w:tcPr>
          <w:p>
            <w:pPr>
              <w:jc w:val="center"/>
            </w:pPr>
            <w:r>
              <w:rPr>
                <w:sz w:val="20"/>
              </w:rPr>
              <w:t>6.7 s</w:t>
            </w:r>
          </w:p>
        </w:tc>
        <w:tc>
          <w:tcPr>
            <w:tcW w:type="dxa" w:w="1701"/>
            <w:shd w:val="clear" w:color="auto" w:fill="FFFFFF"/>
          </w:tcPr>
          <w:p>
            <w:pPr>
              <w:jc w:val="center"/>
            </w:pPr>
            <w:r>
              <w:rPr>
                <w:sz w:val="20"/>
              </w:rPr>
              <w:t>54 s</w:t>
            </w:r>
          </w:p>
        </w:tc>
        <w:tc>
          <w:tcPr>
            <w:tcW w:type="dxa" w:w="1417"/>
            <w:shd w:val="clear" w:color="auto" w:fill="FFFFFF"/>
          </w:tcPr>
          <w:p>
            <w:pPr>
              <w:jc w:val="center"/>
            </w:pPr>
            <w:r>
              <w:rPr>
                <w:sz w:val="20"/>
              </w:rPr>
              <w:t>3.3×</w:t>
            </w:r>
          </w:p>
        </w:tc>
      </w:tr>
      <w:tr>
        <w:tc>
          <w:tcPr>
            <w:tcW w:type="dxa" w:w="3685"/>
            <w:shd w:val="clear" w:color="auto" w:fill="F8FAFC"/>
          </w:tcPr>
          <w:p>
            <w:pPr>
              <w:jc w:val="center"/>
            </w:pPr>
            <w:r>
              <w:rPr>
                <w:sz w:val="20"/>
              </w:rPr>
              <w:t>+ LoRA merged + warmup + pre-load</w:t>
            </w:r>
          </w:p>
        </w:tc>
        <w:tc>
          <w:tcPr>
            <w:tcW w:type="dxa" w:w="1984"/>
            <w:shd w:val="clear" w:color="auto" w:fill="F8FAFC"/>
          </w:tcPr>
          <w:p>
            <w:pPr>
              <w:jc w:val="center"/>
            </w:pPr>
            <w:r>
              <w:rPr>
                <w:sz w:val="20"/>
              </w:rPr>
              <w:t>6.1 s</w:t>
            </w:r>
          </w:p>
        </w:tc>
        <w:tc>
          <w:tcPr>
            <w:tcW w:type="dxa" w:w="1701"/>
            <w:shd w:val="clear" w:color="auto" w:fill="F8FAFC"/>
          </w:tcPr>
          <w:p>
            <w:pPr>
              <w:jc w:val="center"/>
            </w:pPr>
            <w:r>
              <w:rPr>
                <w:sz w:val="20"/>
              </w:rPr>
              <w:t>49 s</w:t>
            </w:r>
          </w:p>
        </w:tc>
        <w:tc>
          <w:tcPr>
            <w:tcW w:type="dxa" w:w="1417"/>
            <w:shd w:val="clear" w:color="auto" w:fill="F8FAFC"/>
          </w:tcPr>
          <w:p>
            <w:pPr>
              <w:jc w:val="center"/>
            </w:pPr>
            <w:r>
              <w:rPr>
                <w:sz w:val="20"/>
              </w:rPr>
              <w:t>3.7×</w:t>
            </w:r>
          </w:p>
        </w:tc>
      </w:tr>
    </w:tbl>
    <w:p>
      <w:pPr>
        <w:spacing w:after="120"/>
      </w:pPr>
    </w:p>
    <w:p>
      <w:pPr>
        <w:spacing w:before="320" w:after="80"/>
        <w:pBdr>
          <w:bottom w:val="single" w:sz="4" w:space="4" w:color="1E3A5F"/>
        </w:pBdr>
      </w:pPr>
      <w:r>
        <w:rPr>
          <w:b/>
          <w:color w:val="1E3A5F"/>
          <w:sz w:val="28"/>
        </w:rPr>
        <w:t>8. Generalizability to Other Domains</w:t>
      </w:r>
    </w:p>
    <w:p>
      <w:pPr>
        <w:spacing w:after="120"/>
        <w:ind w:firstLine="283"/>
      </w:pPr>
      <w:r>
        <w:rPr>
          <w:color w:val="0F172A"/>
          <w:sz w:val="22"/>
        </w:rPr>
        <w:t>The core contribution of this work — a single VLM producing classification, position labels, and structured field extraction simultaneously — is domain-agnostic. The logistics use case serves as a concrete, well-defined testbed, but the same architecture and training recipe apply directly to:</w:t>
      </w:r>
    </w:p>
    <w:p>
      <w:pPr>
        <w:spacing w:before="160" w:after="80"/>
        <w:jc w:val="center"/>
      </w:pPr>
      <w:r>
        <w:rPr>
          <w:b/>
          <w:color w:val="1E3A5F"/>
          <w:sz w:val="20"/>
        </w:rPr>
        <w:t>Table 8. Potential application domains and analogous document classes.</w:t>
      </w:r>
    </w:p>
    <w:tbl>
      <w:tblPr>
        <w:tblStyle w:val="TableGrid"/>
        <w:tblW w:type="auto" w:w="0"/>
        <w:jc w:val="center"/>
        <w:tblLook w:firstColumn="1" w:firstRow="1" w:lastColumn="0" w:lastRow="0" w:noHBand="0" w:noVBand="1" w:val="04A0"/>
      </w:tblPr>
      <w:tblGrid>
        <w:gridCol w:w="2835"/>
        <w:gridCol w:w="2835"/>
        <w:gridCol w:w="2835"/>
      </w:tblGrid>
      <w:tr>
        <w:tc>
          <w:tcPr>
            <w:tcW w:type="dxa" w:w="1984"/>
            <w:shd w:val="clear" w:color="auto" w:fill="1E3A5F"/>
          </w:tcPr>
          <w:p>
            <w:pPr>
              <w:jc w:val="center"/>
            </w:pPr>
            <w:r>
              <w:rPr>
                <w:b/>
                <w:color w:val="FFFFFF"/>
                <w:sz w:val="20"/>
              </w:rPr>
              <w:t>Domain</w:t>
            </w:r>
          </w:p>
        </w:tc>
        <w:tc>
          <w:tcPr>
            <w:tcW w:type="dxa" w:w="3118"/>
            <w:shd w:val="clear" w:color="auto" w:fill="1E3A5F"/>
          </w:tcPr>
          <w:p>
            <w:pPr>
              <w:jc w:val="center"/>
            </w:pPr>
            <w:r>
              <w:rPr>
                <w:b/>
                <w:color w:val="FFFFFF"/>
                <w:sz w:val="20"/>
              </w:rPr>
              <w:t>Example Document Classes</w:t>
            </w:r>
          </w:p>
        </w:tc>
        <w:tc>
          <w:tcPr>
            <w:tcW w:type="dxa" w:w="2835"/>
            <w:shd w:val="clear" w:color="auto" w:fill="1E3A5F"/>
          </w:tcPr>
          <w:p>
            <w:pPr>
              <w:jc w:val="center"/>
            </w:pPr>
            <w:r>
              <w:rPr>
                <w:b/>
                <w:color w:val="FFFFFF"/>
                <w:sz w:val="20"/>
              </w:rPr>
              <w:t>Universal Fields Applicable</w:t>
            </w:r>
          </w:p>
        </w:tc>
      </w:tr>
      <w:tr>
        <w:tc>
          <w:tcPr>
            <w:tcW w:type="dxa" w:w="1984"/>
            <w:shd w:val="clear" w:color="auto" w:fill="F8FAFC"/>
          </w:tcPr>
          <w:p>
            <w:pPr>
              <w:jc w:val="center"/>
            </w:pPr>
            <w:r>
              <w:rPr>
                <w:sz w:val="20"/>
              </w:rPr>
              <w:t>Banking / KYC</w:t>
            </w:r>
          </w:p>
        </w:tc>
        <w:tc>
          <w:tcPr>
            <w:tcW w:type="dxa" w:w="3118"/>
            <w:shd w:val="clear" w:color="auto" w:fill="F8FAFC"/>
          </w:tcPr>
          <w:p>
            <w:pPr>
              <w:jc w:val="center"/>
            </w:pPr>
            <w:r>
              <w:rPr>
                <w:sz w:val="20"/>
              </w:rPr>
              <w:t>Passport, Bank Statement, Utility Bill, Proof of Address</w:t>
            </w:r>
          </w:p>
        </w:tc>
        <w:tc>
          <w:tcPr>
            <w:tcW w:type="dxa" w:w="2835"/>
            <w:shd w:val="clear" w:color="auto" w:fill="F8FAFC"/>
          </w:tcPr>
          <w:p>
            <w:pPr>
              <w:jc w:val="center"/>
            </w:pPr>
            <w:r>
              <w:rPr>
                <w:sz w:val="20"/>
              </w:rPr>
              <w:t>name, date, document_number, country</w:t>
            </w:r>
          </w:p>
        </w:tc>
      </w:tr>
      <w:tr>
        <w:tc>
          <w:tcPr>
            <w:tcW w:type="dxa" w:w="1984"/>
            <w:shd w:val="clear" w:color="auto" w:fill="FFFFFF"/>
          </w:tcPr>
          <w:p>
            <w:pPr>
              <w:jc w:val="center"/>
            </w:pPr>
            <w:r>
              <w:rPr>
                <w:sz w:val="20"/>
              </w:rPr>
              <w:t>Healthcare</w:t>
            </w:r>
          </w:p>
        </w:tc>
        <w:tc>
          <w:tcPr>
            <w:tcW w:type="dxa" w:w="3118"/>
            <w:shd w:val="clear" w:color="auto" w:fill="FFFFFF"/>
          </w:tcPr>
          <w:p>
            <w:pPr>
              <w:jc w:val="center"/>
            </w:pPr>
            <w:r>
              <w:rPr>
                <w:sz w:val="20"/>
              </w:rPr>
              <w:t>Prescription, Discharge Summary, Insurance Claim, Lab Report</w:t>
            </w:r>
          </w:p>
        </w:tc>
        <w:tc>
          <w:tcPr>
            <w:tcW w:type="dxa" w:w="2835"/>
            <w:shd w:val="clear" w:color="auto" w:fill="FFFFFF"/>
          </w:tcPr>
          <w:p>
            <w:pPr>
              <w:jc w:val="center"/>
            </w:pPr>
            <w:r>
              <w:rPr>
                <w:sz w:val="20"/>
              </w:rPr>
              <w:t>patient_name, date, document_number, provider</w:t>
            </w:r>
          </w:p>
        </w:tc>
      </w:tr>
      <w:tr>
        <w:tc>
          <w:tcPr>
            <w:tcW w:type="dxa" w:w="1984"/>
            <w:shd w:val="clear" w:color="auto" w:fill="F8FAFC"/>
          </w:tcPr>
          <w:p>
            <w:pPr>
              <w:jc w:val="center"/>
            </w:pPr>
            <w:r>
              <w:rPr>
                <w:sz w:val="20"/>
              </w:rPr>
              <w:t>Legal</w:t>
            </w:r>
          </w:p>
        </w:tc>
        <w:tc>
          <w:tcPr>
            <w:tcW w:type="dxa" w:w="3118"/>
            <w:shd w:val="clear" w:color="auto" w:fill="F8FAFC"/>
          </w:tcPr>
          <w:p>
            <w:pPr>
              <w:jc w:val="center"/>
            </w:pPr>
            <w:r>
              <w:rPr>
                <w:sz w:val="20"/>
              </w:rPr>
              <w:t>Contract, Power of Attorney, NDA, Court Filing</w:t>
            </w:r>
          </w:p>
        </w:tc>
        <w:tc>
          <w:tcPr>
            <w:tcW w:type="dxa" w:w="2835"/>
            <w:shd w:val="clear" w:color="auto" w:fill="F8FAFC"/>
          </w:tcPr>
          <w:p>
            <w:pPr>
              <w:jc w:val="center"/>
            </w:pPr>
            <w:r>
              <w:rPr>
                <w:sz w:val="20"/>
              </w:rPr>
              <w:t>party_names, date, document_number, validity</w:t>
            </w:r>
          </w:p>
        </w:tc>
      </w:tr>
      <w:tr>
        <w:tc>
          <w:tcPr>
            <w:tcW w:type="dxa" w:w="1984"/>
            <w:shd w:val="clear" w:color="auto" w:fill="FFFFFF"/>
          </w:tcPr>
          <w:p>
            <w:pPr>
              <w:jc w:val="center"/>
            </w:pPr>
            <w:r>
              <w:rPr>
                <w:sz w:val="20"/>
              </w:rPr>
              <w:t>Government / Customs</w:t>
            </w:r>
          </w:p>
        </w:tc>
        <w:tc>
          <w:tcPr>
            <w:tcW w:type="dxa" w:w="3118"/>
            <w:shd w:val="clear" w:color="auto" w:fill="FFFFFF"/>
          </w:tcPr>
          <w:p>
            <w:pPr>
              <w:jc w:val="center"/>
            </w:pPr>
            <w:r>
              <w:rPr>
                <w:sz w:val="20"/>
              </w:rPr>
              <w:t>Tax Return, Import License, Customs Form, Trade Certificate</w:t>
            </w:r>
          </w:p>
        </w:tc>
        <w:tc>
          <w:tcPr>
            <w:tcW w:type="dxa" w:w="2835"/>
            <w:shd w:val="clear" w:color="auto" w:fill="FFFFFF"/>
          </w:tcPr>
          <w:p>
            <w:pPr>
              <w:jc w:val="center"/>
            </w:pPr>
            <w:r>
              <w:rPr>
                <w:sz w:val="20"/>
              </w:rPr>
              <w:t>entity_name, date, license_number, validity</w:t>
            </w:r>
          </w:p>
        </w:tc>
      </w:tr>
      <w:tr>
        <w:tc>
          <w:tcPr>
            <w:tcW w:type="dxa" w:w="1984"/>
            <w:shd w:val="clear" w:color="auto" w:fill="F8FAFC"/>
          </w:tcPr>
          <w:p>
            <w:pPr>
              <w:jc w:val="center"/>
            </w:pPr>
            <w:r>
              <w:rPr>
                <w:sz w:val="20"/>
              </w:rPr>
              <w:t>Accounts Payable</w:t>
            </w:r>
          </w:p>
        </w:tc>
        <w:tc>
          <w:tcPr>
            <w:tcW w:type="dxa" w:w="3118"/>
            <w:shd w:val="clear" w:color="auto" w:fill="F8FAFC"/>
          </w:tcPr>
          <w:p>
            <w:pPr>
              <w:jc w:val="center"/>
            </w:pPr>
            <w:r>
              <w:rPr>
                <w:sz w:val="20"/>
              </w:rPr>
              <w:t>Invoice, Purchase Order, Delivery Note, Credit Note</w:t>
            </w:r>
          </w:p>
        </w:tc>
        <w:tc>
          <w:tcPr>
            <w:tcW w:type="dxa" w:w="2835"/>
            <w:shd w:val="clear" w:color="auto" w:fill="F8FAFC"/>
          </w:tcPr>
          <w:p>
            <w:pPr>
              <w:jc w:val="center"/>
            </w:pPr>
            <w:r>
              <w:rPr>
                <w:sz w:val="20"/>
              </w:rPr>
              <w:t>vendor, buyer, date, document_number, amount</w:t>
            </w:r>
          </w:p>
        </w:tc>
      </w:tr>
      <w:tr>
        <w:tc>
          <w:tcPr>
            <w:tcW w:type="dxa" w:w="1984"/>
            <w:shd w:val="clear" w:color="auto" w:fill="FFFFFF"/>
          </w:tcPr>
          <w:p>
            <w:pPr>
              <w:jc w:val="center"/>
            </w:pPr>
            <w:r>
              <w:rPr>
                <w:sz w:val="20"/>
              </w:rPr>
              <w:t>Insurance</w:t>
            </w:r>
          </w:p>
        </w:tc>
        <w:tc>
          <w:tcPr>
            <w:tcW w:type="dxa" w:w="3118"/>
            <w:shd w:val="clear" w:color="auto" w:fill="FFFFFF"/>
          </w:tcPr>
          <w:p>
            <w:pPr>
              <w:jc w:val="center"/>
            </w:pPr>
            <w:r>
              <w:rPr>
                <w:sz w:val="20"/>
              </w:rPr>
              <w:t>Policy Document, Claim Form, Survey Report, Loss Adjuster</w:t>
            </w:r>
          </w:p>
        </w:tc>
        <w:tc>
          <w:tcPr>
            <w:tcW w:type="dxa" w:w="2835"/>
            <w:shd w:val="clear" w:color="auto" w:fill="FFFFFF"/>
          </w:tcPr>
          <w:p>
            <w:pPr>
              <w:jc w:val="center"/>
            </w:pPr>
            <w:r>
              <w:rPr>
                <w:sz w:val="20"/>
              </w:rPr>
              <w:t>insured, date, policy_number, validity</w:t>
            </w:r>
          </w:p>
        </w:tc>
      </w:tr>
    </w:tbl>
    <w:p>
      <w:pPr>
        <w:spacing w:after="120"/>
      </w:pPr>
    </w:p>
    <w:p>
      <w:pPr>
        <w:spacing w:after="120"/>
        <w:ind w:firstLine="283"/>
      </w:pPr>
      <w:r>
        <w:rPr>
          <w:color w:val="0F172A"/>
          <w:sz w:val="22"/>
        </w:rPr>
        <w:t>The key adaptations required for a new domain are: (1) defining the set of document classes C for that domain, (2) generating a synthetic dataset with three or more format variants per class, and (3) annotating universal field mappings in the FIELD_MAP configuration. The model architecture, training hyperparameters, and inference pipeline require no modification.</w:t>
      </w:r>
    </w:p>
    <w:p>
      <w:pPr>
        <w:spacing w:after="120"/>
        <w:ind w:firstLine="283"/>
      </w:pPr>
      <w:r>
        <w:rPr>
          <w:color w:val="0F172A"/>
          <w:sz w:val="22"/>
        </w:rPr>
        <w:t>The universal field schema is intentionally over-complete: most classes use only a subset of fields. The model learns to output null for inapplicable fields, which means the same schema covers all domains without modification — a domain-specific field (e.g., 'policy_number' for insurance) can be added to the schema and the model will learn to extract it for the relevant classes while ignoring it for others.</w:t>
      </w:r>
    </w:p>
    <w:p>
      <w:pPr>
        <w:spacing w:before="320" w:after="80"/>
        <w:pBdr>
          <w:bottom w:val="single" w:sz="4" w:space="4" w:color="1E3A5F"/>
        </w:pBdr>
      </w:pPr>
      <w:r>
        <w:rPr>
          <w:b/>
          <w:color w:val="1E3A5F"/>
          <w:sz w:val="28"/>
        </w:rPr>
        <w:t>9. Limitations and Future Work</w:t>
      </w:r>
    </w:p>
    <w:p>
      <w:pPr>
        <w:spacing w:before="200" w:after="60"/>
      </w:pPr>
      <w:r>
        <w:rPr>
          <w:b/>
          <w:color w:val="0E7ABF"/>
          <w:sz w:val="24"/>
        </w:rPr>
        <w:t>9.1 Limitations</w:t>
      </w:r>
    </w:p>
    <w:p>
      <w:pPr>
        <w:pStyle w:val="ListBullet"/>
        <w:spacing w:after="60"/>
        <w:ind w:left="397"/>
      </w:pPr>
      <w:r>
        <w:rPr>
          <w:color w:val="0F172A"/>
          <w:sz w:val="21"/>
        </w:rPr>
        <w:t>Synthetic-to-real gap: All training data is synthetically generated. While format diversity mitigates template overfitting, models may underperform on documents with heavy stamps, handwritten annotations, or severe scan degradation not represented in the training distribution. Domain adaptation on a small set of real annotated documents is recommended for production deployment.</w:t>
      </w:r>
    </w:p>
    <w:p>
      <w:pPr>
        <w:pStyle w:val="ListBullet"/>
        <w:spacing w:after="60"/>
        <w:ind w:left="397"/>
      </w:pPr>
      <w:r>
        <w:rPr>
          <w:color w:val="0F172A"/>
          <w:sz w:val="21"/>
        </w:rPr>
        <w:t>Sequential inference: Pages are processed one at a time due to the sequential context dependency (each page uses the previous page's output). This prevents batch parallelism and limits throughput for high-volume pipelines.</w:t>
      </w:r>
    </w:p>
    <w:p>
      <w:pPr>
        <w:pStyle w:val="ListBullet"/>
        <w:spacing w:after="60"/>
        <w:ind w:left="397"/>
      </w:pPr>
      <w:r>
        <w:rPr>
          <w:color w:val="0F172A"/>
          <w:sz w:val="21"/>
        </w:rPr>
        <w:t>Fixed field schema: The universal field schema must be defined upfront. Fields emerging only at inference time (e.g., a previously unseen field label) cannot be extracted without schema extension and re-training.</w:t>
      </w:r>
    </w:p>
    <w:p>
      <w:pPr>
        <w:pStyle w:val="ListBullet"/>
        <w:spacing w:after="60"/>
        <w:ind w:left="397"/>
      </w:pPr>
      <w:r>
        <w:rPr>
          <w:color w:val="0F172A"/>
          <w:sz w:val="21"/>
        </w:rPr>
        <w:t>Same-class boundary detection: Splitting errors concentrate at boundaries between consecutive same-class pages. A dedicated boundary detection component or multi-page context window could address this.</w:t>
      </w:r>
    </w:p>
    <w:p>
      <w:pPr>
        <w:spacing w:before="200" w:after="60"/>
      </w:pPr>
      <w:r>
        <w:rPr>
          <w:b/>
          <w:color w:val="0E7ABF"/>
          <w:sz w:val="24"/>
        </w:rPr>
        <w:t>9.2 Future Work</w:t>
      </w:r>
    </w:p>
    <w:p>
      <w:pPr>
        <w:pStyle w:val="ListBullet"/>
        <w:spacing w:after="60"/>
        <w:ind w:left="397"/>
      </w:pPr>
      <w:r>
        <w:rPr>
          <w:color w:val="0F172A"/>
          <w:sz w:val="21"/>
        </w:rPr>
        <w:t>Confidence calibration: Adding a confidence score to each field prediction would enable downstream applications to flag uncertain extractions for human review, improving reliability in production workflows.</w:t>
      </w:r>
    </w:p>
    <w:p>
      <w:pPr>
        <w:pStyle w:val="ListBullet"/>
        <w:spacing w:after="60"/>
        <w:ind w:left="397"/>
      </w:pPr>
      <w:r>
        <w:rPr>
          <w:color w:val="0F172A"/>
          <w:sz w:val="21"/>
        </w:rPr>
        <w:t>Multi-page context window: Extending the context from a single previous-page label to a sliding window of the last K pages' outputs could improve same-class boundary detection.</w:t>
      </w:r>
    </w:p>
    <w:p>
      <w:pPr>
        <w:pStyle w:val="ListBullet"/>
        <w:spacing w:after="60"/>
        <w:ind w:left="397"/>
      </w:pPr>
      <w:r>
        <w:rPr>
          <w:color w:val="0F172A"/>
          <w:sz w:val="21"/>
        </w:rPr>
        <w:t>Active learning on real documents: Using the fine-tuned model's own uncertainty to select the most informative real documents for human annotation, then continuing training on this small real-document set.</w:t>
      </w:r>
    </w:p>
    <w:p>
      <w:pPr>
        <w:pStyle w:val="ListBullet"/>
        <w:spacing w:after="60"/>
        <w:ind w:left="397"/>
      </w:pPr>
      <w:r>
        <w:rPr>
          <w:color w:val="0F172A"/>
          <w:sz w:val="21"/>
        </w:rPr>
        <w:t>Larger base models: Evaluating on Qwen2.5-VL-7B and comparing the trade-off between accuracy gains and the additional inference latency and hardware cost.</w:t>
      </w:r>
    </w:p>
    <w:p>
      <w:pPr>
        <w:spacing w:before="320" w:after="80"/>
        <w:pBdr>
          <w:bottom w:val="single" w:sz="4" w:space="4" w:color="1E3A5F"/>
        </w:pBdr>
      </w:pPr>
      <w:r>
        <w:rPr>
          <w:b/>
          <w:color w:val="1E3A5F"/>
          <w:sz w:val="28"/>
        </w:rPr>
        <w:t>10. Conclusion</w:t>
      </w:r>
    </w:p>
    <w:p>
      <w:pPr>
        <w:spacing w:after="120"/>
        <w:ind w:firstLine="283"/>
      </w:pPr>
      <w:r>
        <w:rPr>
          <w:color w:val="0F172A"/>
          <w:sz w:val="22"/>
        </w:rPr>
        <w:t>We have presented a unified approach to enterprise document intelligence that fine-tunes a single Vision-Language Model to simultaneously classify document pages, extract structured fields, and detect document boundaries within multi-page bundles — all in a single forward pass per page.</w:t>
      </w:r>
    </w:p>
    <w:p>
      <w:pPr>
        <w:spacing w:after="120"/>
        <w:ind w:firstLine="283"/>
      </w:pPr>
      <w:r>
        <w:rPr>
          <w:color w:val="0F172A"/>
          <w:sz w:val="22"/>
        </w:rPr>
        <w:t>The key insight is that document classification, position detection, and field extraction are not three separate tasks requiring three separate models: they are three facets of the same underlying understanding of what a page is and what information it contains. A VLM with sufficient document understanding can produce all three outputs jointly, given an appropriate prompt structure and fine-tuning signal.</w:t>
      </w:r>
    </w:p>
    <w:p>
      <w:pPr>
        <w:spacing w:after="120"/>
        <w:ind w:firstLine="283"/>
      </w:pPr>
      <w:r>
        <w:rPr>
          <w:color w:val="0F172A"/>
          <w:sz w:val="22"/>
        </w:rPr>
        <w:t>Our synthetic dataset generation methodology — producing 12,000 documents across 12 classes with 3 format variants each — provides sufficient layout and content diversity to train a model that generalises to unseen templates. Our inference optimization framework reduces per-page latency by 3.7× while maintaining accuracy, making deployment on standard enterprise GPU hardware feasible.</w:t>
      </w:r>
    </w:p>
    <w:p>
      <w:pPr>
        <w:spacing w:after="120"/>
        <w:ind w:firstLine="283"/>
      </w:pPr>
      <w:r>
        <w:rPr>
          <w:color w:val="0F172A"/>
          <w:sz w:val="22"/>
        </w:rPr>
        <w:t>The approach is deliberately domain-agnostic. Any enterprise domain that processes heterogeneous document bundles — banking, healthcare, legal, government, accounts payable — can adopt the same architecture, training recipe, and inference pipeline with only domain-specific dataset generation and field schema definition.</w:t>
      </w:r>
    </w:p>
    <w:p>
      <w:pPr>
        <w:spacing w:before="320" w:after="80"/>
        <w:pBdr>
          <w:bottom w:val="single" w:sz="4" w:space="4" w:color="1E3A5F"/>
        </w:pBdr>
      </w:pPr>
      <w:r>
        <w:rPr>
          <w:b/>
          <w:color w:val="1E3A5F"/>
          <w:sz w:val="28"/>
        </w:rPr>
        <w:t>References</w:t>
      </w:r>
    </w:p>
    <w:p>
      <w:pPr>
        <w:spacing w:after="80"/>
        <w:ind w:left="283" w:hanging="283"/>
      </w:pPr>
      <w:r>
        <w:rPr>
          <w:color w:val="0F172A"/>
          <w:sz w:val="19"/>
        </w:rPr>
        <w:t>[1]  Liu, H. et al. "LLaVA: Visual Instruction Tuning." NeurIPS 2023.</w:t>
      </w:r>
    </w:p>
    <w:p>
      <w:pPr>
        <w:spacing w:after="80"/>
        <w:ind w:left="283" w:hanging="283"/>
      </w:pPr>
      <w:r>
        <w:rPr>
          <w:color w:val="0F172A"/>
          <w:sz w:val="19"/>
        </w:rPr>
        <w:t>[2]  Bai, J. et al. "Qwen-VL: A Versatile Vision-Language Model's Large Language Model." arXiv:2308.12966, 2023.</w:t>
      </w:r>
    </w:p>
    <w:p>
      <w:pPr>
        <w:spacing w:after="80"/>
        <w:ind w:left="283" w:hanging="283"/>
      </w:pPr>
      <w:r>
        <w:rPr>
          <w:color w:val="0F172A"/>
          <w:sz w:val="19"/>
        </w:rPr>
        <w:t>[3]  Chen, Z. et al. "InternVL: Scaling up Vision Foundation Models and Aligning for Generic Visual-Linguistic Tasks." CVPR 2024.</w:t>
      </w:r>
    </w:p>
    <w:p>
      <w:pPr>
        <w:spacing w:after="80"/>
        <w:ind w:left="283" w:hanging="283"/>
      </w:pPr>
      <w:r>
        <w:rPr>
          <w:color w:val="0F172A"/>
          <w:sz w:val="19"/>
        </w:rPr>
        <w:t>[4]  Awais, M. et al. "Foundational Models Defining a New Era in Vision: A Survey and Outlook." arXiv:2307.13721, 2023.</w:t>
      </w:r>
    </w:p>
    <w:p>
      <w:pPr>
        <w:spacing w:after="80"/>
        <w:ind w:left="283" w:hanging="283"/>
      </w:pPr>
      <w:r>
        <w:rPr>
          <w:color w:val="0F172A"/>
          <w:sz w:val="19"/>
        </w:rPr>
        <w:t>[5]  Xu, Y. et al. "LayoutLM: Pre-training of Text and Layout for Document Image Understanding." KDD 2020.</w:t>
      </w:r>
    </w:p>
    <w:p>
      <w:pPr>
        <w:spacing w:after="80"/>
        <w:ind w:left="283" w:hanging="283"/>
      </w:pPr>
      <w:r>
        <w:rPr>
          <w:color w:val="0F172A"/>
          <w:sz w:val="19"/>
        </w:rPr>
        <w:t>[6]  Huang, Y. et al. "LayoutLMv3: Pre-training for Document AI with Unified Text and Image Masking." ACM MM 2022.</w:t>
      </w:r>
    </w:p>
    <w:p>
      <w:pPr>
        <w:spacing w:after="80"/>
        <w:ind w:left="283" w:hanging="283"/>
      </w:pPr>
      <w:r>
        <w:rPr>
          <w:color w:val="0F172A"/>
          <w:sz w:val="19"/>
        </w:rPr>
        <w:t>[7]  Mathew, M., Karatzas, D., Jawahar, C.V. "DocVQA: A Dataset for VQA on Document Images." WACV 2021.</w:t>
      </w:r>
    </w:p>
    <w:p>
      <w:pPr>
        <w:spacing w:after="80"/>
        <w:ind w:left="283" w:hanging="283"/>
      </w:pPr>
      <w:r>
        <w:rPr>
          <w:color w:val="0F172A"/>
          <w:sz w:val="19"/>
        </w:rPr>
        <w:t>[8]  Kim, G. et al. "OCR-Free Document Understanding Transformer." ECCV 2022.</w:t>
      </w:r>
    </w:p>
    <w:p>
      <w:pPr>
        <w:spacing w:after="80"/>
        <w:ind w:left="283" w:hanging="283"/>
      </w:pPr>
      <w:r>
        <w:rPr>
          <w:color w:val="0F172A"/>
          <w:sz w:val="19"/>
        </w:rPr>
        <w:t>[9]  OpenAI. "GPT-4V Technical Report." arXiv:2303.08774, 2023.</w:t>
      </w:r>
    </w:p>
    <w:p>
      <w:pPr>
        <w:spacing w:after="80"/>
        <w:ind w:left="283" w:hanging="283"/>
      </w:pPr>
      <w:r>
        <w:rPr>
          <w:color w:val="0F172A"/>
          <w:sz w:val="19"/>
        </w:rPr>
        <w:t>[10] Wang, P. et al. "Qwen2.5-VL Technical Report." arXiv:2502.13923, 2025.</w:t>
      </w:r>
    </w:p>
    <w:p>
      <w:pPr>
        <w:spacing w:after="80"/>
        <w:ind w:left="283" w:hanging="283"/>
      </w:pPr>
      <w:r>
        <w:rPr>
          <w:color w:val="0F172A"/>
          <w:sz w:val="19"/>
        </w:rPr>
        <w:t>[11] Hu, E. et al. "LoRA: Low-Rank Adaptation of Large Language Models." ICLR 2022.</w:t>
      </w:r>
    </w:p>
    <w:p>
      <w:pPr>
        <w:spacing w:after="80"/>
        <w:ind w:left="283" w:hanging="283"/>
      </w:pPr>
      <w:r>
        <w:rPr>
          <w:color w:val="0F172A"/>
          <w:sz w:val="19"/>
        </w:rPr>
        <w:t>[12] Dettmers, T. et al. "QLoRA: Efficient Finetuning of Quantized LLMs." NeurIPS 2023.</w:t>
      </w:r>
    </w:p>
    <w:p>
      <w:pPr>
        <w:spacing w:after="80"/>
        <w:ind w:left="283" w:hanging="283"/>
      </w:pPr>
      <w:r>
        <w:rPr>
          <w:color w:val="0F172A"/>
          <w:sz w:val="19"/>
        </w:rPr>
        <w:t>[13] Han, D. et al. "Unsloth: 2× Faster, 80% Less Memory LLM Finetuning." github.com/unslothai/unsloth, 2024.</w:t>
      </w:r>
    </w:p>
    <w:p>
      <w:pPr>
        <w:spacing w:after="80"/>
        <w:ind w:left="283" w:hanging="283"/>
      </w:pPr>
      <w:r>
        <w:rPr>
          <w:color w:val="0F172A"/>
          <w:sz w:val="19"/>
        </w:rPr>
        <w:t>[14] Ferrando, J. et al. "Improving Document Boundary Detection with Visual Features." ICDAR 2021.</w:t>
      </w:r>
    </w:p>
    <w:p>
      <w:pPr>
        <w:spacing w:after="80"/>
        <w:ind w:left="283" w:hanging="283"/>
      </w:pPr>
      <w:r>
        <w:rPr>
          <w:color w:val="0F172A"/>
          <w:sz w:val="19"/>
        </w:rPr>
        <w:t>[15] Blecher, L. et al. "NOUGAT: Neural Optical Understanding for Academic Documents." EMNLP 2023.</w:t>
      </w:r>
    </w:p>
    <w:p>
      <w:pPr>
        <w:spacing w:after="80"/>
        <w:ind w:left="283" w:hanging="283"/>
      </w:pPr>
      <w:r>
        <w:rPr>
          <w:color w:val="0F172A"/>
          <w:sz w:val="19"/>
        </w:rPr>
        <w:t>[16] Perot, V. et al. "DocFormer: End-to-End Transformer for Document Understanding." ICCV 2021.</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