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Calibri" w:hAnsi="Calibri"/>
          <w:b/>
          <w:color w:val="003A70"/>
          <w:sz w:val="36"/>
        </w:rPr>
        <w:t>Unified Freight Document Intelligence via Fine-Tuned</w:t>
        <w:br/>
        <w:t>Vision-Language Models: Simultaneous Classification,</w:t>
        <w:br/>
        <w:t>Bundle Splitting, and Structured Field Extraction</w:t>
      </w:r>
    </w:p>
    <w:p/>
    <w:p>
      <w:pPr>
        <w:jc w:val="center"/>
      </w:pPr>
      <w:r>
        <w:rPr>
          <w:rFonts w:ascii="Calibri" w:hAnsi="Calibri"/>
          <w:i/>
          <w:color w:val="505050"/>
          <w:sz w:val="22"/>
        </w:rPr>
        <w:t>Capgemini  |  Document Intelligence Research</w:t>
        <w:br/>
        <w:t>AI &amp; Data Practice, Enterprise Solutions Division</w:t>
      </w:r>
    </w:p>
    <w:p>
      <w:pPr>
        <w:jc w:val="center"/>
      </w:pPr>
      <w:r>
        <w:rPr>
          <w:rFonts w:ascii="Calibri" w:hAnsi="Calibri"/>
          <w:color w:val="646464"/>
          <w:sz w:val="21"/>
        </w:rPr>
        <w:t>June 2026</w:t>
      </w:r>
    </w:p>
    <w:p>
      <w:r>
        <w:br w:type="page"/>
      </w:r>
    </w:p>
    <w:p>
      <w:pPr>
        <w:spacing w:before="320" w:after="80"/>
        <w:pBdr>
          <w:bottom w:val="single" w:sz="6" w:space="1" w:color="003A70"/>
        </w:pBdr>
      </w:pPr>
      <w:r>
        <w:rPr>
          <w:rFonts w:ascii="Calibri" w:hAnsi="Calibri"/>
          <w:b/>
          <w:color w:val="003A70"/>
          <w:sz w:val="24"/>
        </w:rPr>
        <w:t>ABSTRACT</w:t>
      </w:r>
    </w:p>
    <w:p>
      <w:pPr>
        <w:spacing w:before="0" w:after="100"/>
        <w:jc w:val="both"/>
      </w:pPr>
      <w:r>
        <w:rPr>
          <w:rFonts w:ascii="Calibri" w:hAnsi="Calibri"/>
          <w:color w:val="1E1E1E"/>
          <w:sz w:val="21"/>
        </w:rPr>
        <w:t>Enterprise logistics operations generate large volumes of heterogeneous multi-page document bundles — mixed sequences of commercial invoices, bills of lading, certificates of origin, dangerous goods declarations, and other freight documents that arrive without explicit separators and require manual identification, separation, and data entry. This paper presents a unified vision-language model (VLM) approach that fine-tunes Qwen2.5-VL-3B-Instruct using Quantized Low-Rank Adaptation (QLoRA) to simultaneously perform three tasks in a single inference pass: (1) document classification across 12 freight document classes, (2) multi-page bundle splitting to detect document boundaries, and (3) structured extraction of 11 universal fields per document — all directly from document page images without OCR preprocessing.</w:t>
      </w:r>
    </w:p>
    <w:p>
      <w:pPr>
        <w:spacing w:before="0" w:after="100"/>
        <w:jc w:val="both"/>
      </w:pPr>
      <w:r>
        <w:rPr>
          <w:rFonts w:ascii="Calibri" w:hAnsi="Calibri"/>
          <w:color w:val="1E1E1E"/>
          <w:sz w:val="21"/>
        </w:rPr>
        <w:t>We introduce a synthetic data generation pipeline producing approximately 11,700 annotated document pages with realistic multi-page bundle structure, and document the iterative data quality challenges — annotation key mismatches, field presence calibration, format diversity gaps, and SME validation cycles — that required multiple experimental iterations before yielding production-quality training data. Evaluated on 2,371 held-out pages across 466 complete packets, our fine-tuned model achieves 98.4% document classification accuracy, 100.0% bundle splitting accuracy (Split IoU), and 97.7% token-level field extraction F1, compared to 80.6%, 29.8%, and 51.9% respectively for the zero-shot baseline. We further present an inference optimisation framework that reduces end-to-end per-page latency by 72% — from approximately 19s to 5.4s on a consumer GPU — through model merging, visual token budget reduction, and hardware-level precision optimisations.</w:t>
      </w:r>
    </w:p>
    <w:p>
      <w:pPr>
        <w:spacing w:after="80"/>
      </w:pPr>
      <w:r>
        <w:rPr>
          <w:rFonts w:ascii="Calibri" w:hAnsi="Calibri"/>
          <w:b/>
          <w:sz w:val="21"/>
        </w:rPr>
        <w:t xml:space="preserve">Keywords: </w:t>
      </w:r>
      <w:r>
        <w:rPr>
          <w:rFonts w:ascii="Calibri" w:hAnsi="Calibri"/>
          <w:i/>
          <w:sz w:val="21"/>
        </w:rPr>
        <w:t>Vision-Language Models, Document Understanding, Information Extraction, Document Classification, Parameter-Efficient Fine-Tuning, QLoRA, Synthetic Data Generation, Logistics Automation, Bundle Splitting</w:t>
      </w:r>
    </w:p>
    <w:p>
      <w:pPr>
        <w:spacing w:before="320" w:after="80"/>
        <w:pBdr>
          <w:bottom w:val="single" w:sz="6" w:space="1" w:color="003A70"/>
        </w:pBdr>
      </w:pPr>
      <w:r>
        <w:rPr>
          <w:rFonts w:ascii="Calibri" w:hAnsi="Calibri"/>
          <w:b/>
          <w:color w:val="003A70"/>
          <w:sz w:val="24"/>
        </w:rPr>
        <w:t>1.  INTRODUCTION</w:t>
      </w:r>
    </w:p>
    <w:p>
      <w:pPr>
        <w:spacing w:before="0" w:after="100"/>
        <w:jc w:val="both"/>
      </w:pPr>
      <w:r>
        <w:rPr>
          <w:rFonts w:ascii="Calibri" w:hAnsi="Calibri"/>
          <w:color w:val="1E1E1E"/>
          <w:sz w:val="21"/>
        </w:rPr>
        <w:t>Large enterprises process millions of documents annually. In logistics alone, a single international shipment may involve a Commercial Invoice, Bill of Lading, Certificate of Origin, Packing List, Dangerous Goods Declaration, and Airway Bill — all arriving as a single multi-page scanned bundle in arbitrary order. The same challenge appears in banking (KYC bundles, loan applications), healthcare (patient records, insurance forms), legal (contracts, regulatory filings), and government processing (import/export licensing). The core problem is identical across all these domains: given a mixed bundle, identify what each page is, extract its key fields, and group consecutive pages belonging to the same document.</w:t>
      </w:r>
    </w:p>
    <w:p>
      <w:pPr>
        <w:spacing w:before="0" w:after="100"/>
        <w:jc w:val="both"/>
      </w:pPr>
      <w:r>
        <w:rPr>
          <w:rFonts w:ascii="Calibri" w:hAnsi="Calibri"/>
          <w:color w:val="1E1E1E"/>
          <w:sz w:val="21"/>
        </w:rPr>
        <w:t>Traditional automated document processing relies on separate specialist components: an OCR engine extracts text, a rule-based or shallow-ML classifier assigns document types, and hand-crafted field extractors (regular expressions or template matchers) pull out values. This pipeline approach has three fundamental weaknesses. First, each component fails independently and does not share information with the others — an OCR error propagates silently into both classification and extraction. Second, adding a new document type requires updating all three components separately. Third, scanned or photographed documents with layout variation, rubber stamps, handwritten annotations, or non-standard fonts defeat rule-based extractors entirely.</w:t>
      </w:r>
    </w:p>
    <w:p>
      <w:pPr>
        <w:spacing w:before="0" w:after="100"/>
        <w:jc w:val="both"/>
      </w:pPr>
      <w:r>
        <w:rPr>
          <w:rFonts w:ascii="Calibri" w:hAnsi="Calibri"/>
          <w:color w:val="1E1E1E"/>
          <w:sz w:val="21"/>
        </w:rPr>
        <w:t>Recent Vision-Language Models (VLMs) such as LLaVA [1], Qwen2.5-VL [2], and InternVL2 [3] have demonstrated strong zero-shot document understanding by jointly processing image pixels and text tokens, eliminating the OCR prerequisite. However, zero-shot performance on structured field extraction from enterprise documents remains insufficient for production use: our evaluation shows the zero-shot baseline achieves only 51.9% field extraction F1 and 29.8% bundle splitting accuracy. Fine-tuned models consistently outperform zero-shot baselines on narrow, well-defined tasks [4]. The challenge is to fine-tune efficiently enough to run on enterprise hardware, with a dataset representative enough to generalise to real-world document variation.</w:t>
      </w:r>
    </w:p>
    <w:p>
      <w:pPr>
        <w:spacing w:before="0" w:after="100"/>
        <w:jc w:val="both"/>
      </w:pPr>
      <w:r>
        <w:rPr>
          <w:rFonts w:ascii="Calibri" w:hAnsi="Calibri"/>
          <w:color w:val="1E1E1E"/>
          <w:sz w:val="21"/>
        </w:rPr>
        <w:t>This paper makes the following contributions:</w:t>
      </w:r>
    </w:p>
    <w:p>
      <w:pPr>
        <w:pStyle w:val="ListBullet"/>
        <w:spacing w:after="40" w:before="0"/>
      </w:pPr>
      <w:r>
        <w:rPr>
          <w:rFonts w:ascii="Calibri" w:hAnsi="Calibri"/>
          <w:color w:val="1E1E1E"/>
          <w:sz w:val="21"/>
        </w:rPr>
        <w:t>A unified multi-task formulation combining document classification, page-position detection (bundle splitting), and structured field extraction into a single model forward pass expressed as a structured JSON generation task.</w:t>
      </w:r>
    </w:p>
    <w:p>
      <w:pPr>
        <w:pStyle w:val="ListBullet"/>
        <w:spacing w:after="40" w:before="0"/>
      </w:pPr>
      <w:r>
        <w:rPr>
          <w:rFonts w:ascii="Calibri" w:hAnsi="Calibri"/>
          <w:color w:val="1E1E1E"/>
          <w:sz w:val="21"/>
        </w:rPr>
        <w:t>A synthetic dataset generation methodology producing 11,700 diverse document pages across 12 freight classes, with controlled layout variation, realistic domain content, and ground-truth field annotations — and a detailed account of the iterative quality challenges that required multiple correction cycles.</w:t>
      </w:r>
    </w:p>
    <w:p>
      <w:pPr>
        <w:pStyle w:val="ListBullet"/>
        <w:spacing w:after="40" w:before="0"/>
      </w:pPr>
      <w:r>
        <w:rPr>
          <w:rFonts w:ascii="Calibri" w:hAnsi="Calibri"/>
          <w:color w:val="1E1E1E"/>
          <w:sz w:val="21"/>
        </w:rPr>
        <w:t>A QLoRA fine-tuning protocol for Qwen2.5-VL-3B-Instruct on consumer hardware (16 GB GPU) achieving 98.4% classification, 100.0% Split IoU, and 97.7% field F1 — substantially outperforming the zero-shot baseline on all tasks.</w:t>
      </w:r>
    </w:p>
    <w:p>
      <w:pPr>
        <w:pStyle w:val="ListBullet"/>
        <w:spacing w:after="40" w:before="0"/>
      </w:pPr>
      <w:r>
        <w:rPr>
          <w:rFonts w:ascii="Calibri" w:hAnsi="Calibri"/>
          <w:color w:val="1E1E1E"/>
          <w:sz w:val="21"/>
        </w:rPr>
        <w:t>An inference optimisation framework covering LoRA weight merging, visual token budget reduction, attention kernel selection, and hardware precision settings, reducing per-page latency by 72% with no accuracy degradation.</w:t>
      </w:r>
    </w:p>
    <w:p>
      <w:pPr>
        <w:pStyle w:val="ListBullet"/>
        <w:spacing w:after="40" w:before="0"/>
      </w:pPr>
      <w:r>
        <w:rPr>
          <w:rFonts w:ascii="Calibri" w:hAnsi="Calibri"/>
          <w:color w:val="1E1E1E"/>
          <w:sz w:val="21"/>
        </w:rPr>
        <w:t>A comprehensive account of real engineering challenges encountered during VLM fine-tuning for document intelligence, representing reusable lessons for practitioners in this domain.</w:t>
      </w:r>
    </w:p>
    <w:p>
      <w:pPr>
        <w:spacing w:before="320" w:after="80"/>
        <w:pBdr>
          <w:bottom w:val="single" w:sz="6" w:space="1" w:color="003A70"/>
        </w:pBdr>
      </w:pPr>
      <w:r>
        <w:rPr>
          <w:rFonts w:ascii="Calibri" w:hAnsi="Calibri"/>
          <w:b/>
          <w:color w:val="003A70"/>
          <w:sz w:val="24"/>
        </w:rPr>
        <w:t>2.  RELATED WORK</w:t>
      </w:r>
    </w:p>
    <w:p>
      <w:pPr>
        <w:spacing w:before="200" w:after="60"/>
      </w:pPr>
      <w:r>
        <w:rPr>
          <w:rFonts w:ascii="Calibri" w:hAnsi="Calibri"/>
          <w:b/>
          <w:color w:val="0060A9"/>
          <w:sz w:val="22"/>
        </w:rPr>
        <w:t>2.1  OCR-Dependent Document Understanding</w:t>
      </w:r>
    </w:p>
    <w:p>
      <w:pPr>
        <w:spacing w:before="0" w:after="100"/>
        <w:jc w:val="both"/>
      </w:pPr>
      <w:r>
        <w:rPr>
          <w:rFonts w:ascii="Calibri" w:hAnsi="Calibri"/>
          <w:color w:val="1E1E1E"/>
          <w:sz w:val="21"/>
        </w:rPr>
        <w:t>Early document AI research combined OCR output with language models to achieve layout-aware understanding. LayoutLM [5] introduced position-aware token embeddings, jointly encoding word text and 2D bounding box coordinates extracted by an OCR engine. LayoutLMv2 and LayoutLMv3 [6] extended this with multi-modal pre-training, jointly encoding OCR-derived text tokens, their spatial layout, and image patch features. These models achieve strong performance on standard benchmarks including FUNSD (form understanding), CORD (receipt extraction), and DocVQA [7], but have a critical dependency: they require a reliable OCR engine as preprocessing. OCR quality directly caps their performance ceiling — degraded scans, mixed-language content, handwritten text, or unusual fonts produce OCR errors that propagate into all downstream tasks. Furthermore, adding a new document class requires curating OCR-annotated training examples with spatial coordinate ground truth, which is labour-intensive at scale.</w:t>
      </w:r>
    </w:p>
    <w:p>
      <w:pPr>
        <w:spacing w:before="200" w:after="60"/>
      </w:pPr>
      <w:r>
        <w:rPr>
          <w:rFonts w:ascii="Calibri" w:hAnsi="Calibri"/>
          <w:b/>
          <w:color w:val="0060A9"/>
          <w:sz w:val="22"/>
        </w:rPr>
        <w:t>2.2  OCR-Free End-to-End Document Understanding</w:t>
      </w:r>
    </w:p>
    <w:p>
      <w:pPr>
        <w:spacing w:before="0" w:after="100"/>
        <w:jc w:val="both"/>
      </w:pPr>
      <w:r>
        <w:rPr>
          <w:rFonts w:ascii="Calibri" w:hAnsi="Calibri"/>
          <w:color w:val="1E1E1E"/>
          <w:sz w:val="21"/>
        </w:rPr>
        <w:t>Donut [8] (Document Understanding Transformer) eliminated the OCR dependency by training an encoder-decoder directly on document image pixels. The model learns to read document images end-to-end, producing structured JSON outputs without any explicit text recognition stage. Donut demonstrated competitive performance on DocVQA and RVL-CDIP classification, validating that direct pixel-to-structure learning is viable for documents. However, Donut was designed as a task-specific model: each downstream task (classification, VQA, key-value extraction) requires separate fine-tuning, and the encoder-decoder architecture constrains output to single structured sequences rather than enabling open-ended reasoning about document content.</w:t>
      </w:r>
    </w:p>
    <w:p>
      <w:pPr>
        <w:spacing w:before="0" w:after="100"/>
        <w:jc w:val="both"/>
      </w:pPr>
      <w:r>
        <w:rPr>
          <w:rFonts w:ascii="Calibri" w:hAnsi="Calibri"/>
          <w:color w:val="1E1E1E"/>
          <w:sz w:val="21"/>
        </w:rPr>
        <w:t>Our approach is philosophically aligned with Donut — no OCR, direct pixel-to-structure learning — but leverages a much larger instruction-tuned VLM base that brings broad world knowledge and stronger zero-shot reasoning as the starting point for domain adaptation.</w:t>
      </w:r>
    </w:p>
    <w:p>
      <w:pPr>
        <w:spacing w:before="200" w:after="60"/>
      </w:pPr>
      <w:r>
        <w:rPr>
          <w:rFonts w:ascii="Calibri" w:hAnsi="Calibri"/>
          <w:b/>
          <w:color w:val="0060A9"/>
          <w:sz w:val="22"/>
        </w:rPr>
        <w:t>2.3  Vision-Language Models for Documents</w:t>
      </w:r>
    </w:p>
    <w:p>
      <w:pPr>
        <w:spacing w:before="0" w:after="100"/>
        <w:jc w:val="both"/>
      </w:pPr>
      <w:r>
        <w:rPr>
          <w:rFonts w:ascii="Calibri" w:hAnsi="Calibri"/>
          <w:color w:val="1E1E1E"/>
          <w:sz w:val="21"/>
        </w:rPr>
        <w:t>The emergence of large VLMs — GPT-4V [9], LLaVA [1], Qwen2.5-VL [2], and InternVL2 [3] — established that a single model trained on billion-scale image-text pairs can perform diverse visual understanding tasks at zero-shot. Qwen2.5-VL [2] specifically demonstrates strong performance on document-oriented benchmarks, achieving a DocVQA score of 94.9 with the 7B variant. Its Naive Dynamic Resolution mechanism adaptively adjusts the number of visual tokens based on image content, avoiding fixed-resolution preprocessing and making it well-suited to documents where text density and layout vary widely across pages and document classes.</w:t>
      </w:r>
    </w:p>
    <w:p>
      <w:pPr>
        <w:spacing w:before="0" w:after="100"/>
        <w:jc w:val="both"/>
      </w:pPr>
      <w:r>
        <w:rPr>
          <w:rFonts w:ascii="Calibri" w:hAnsi="Calibri"/>
          <w:color w:val="1E1E1E"/>
          <w:sz w:val="21"/>
        </w:rPr>
        <w:t>Despite strong zero-shot capabilities, our evaluation demonstrates that domain-specific fine-tuning produces very large gains for structured extraction tasks: Field F1 improves from 51.9% to 97.7%, and bundle splitting accuracy (Split IoU) from 29.8% to 100.0%. This gap is consistent with findings across domain-specific NLP [4] that pre-trained models require task-specific fine-tuning for production-grade structured output.</w:t>
      </w:r>
    </w:p>
    <w:p>
      <w:pPr>
        <w:spacing w:before="200" w:after="60"/>
      </w:pPr>
      <w:r>
        <w:rPr>
          <w:rFonts w:ascii="Calibri" w:hAnsi="Calibri"/>
          <w:b/>
          <w:color w:val="0060A9"/>
          <w:sz w:val="22"/>
        </w:rPr>
        <w:t>2.4  Parameter-Efficient Fine-Tuning</w:t>
      </w:r>
    </w:p>
    <w:p>
      <w:pPr>
        <w:spacing w:before="0" w:after="100"/>
        <w:jc w:val="both"/>
      </w:pPr>
      <w:r>
        <w:rPr>
          <w:rFonts w:ascii="Calibri" w:hAnsi="Calibri"/>
          <w:color w:val="1E1E1E"/>
          <w:sz w:val="21"/>
        </w:rPr>
        <w:t>Full fine-tuning of billion-parameter models is prohibitively expensive for most enterprise teams. LoRA [11] (Low-Rank Adaptation) trains only small low-rank adapter matrices inserted into the model's linear projection layers, reducing trainable parameters by over 99% while preserving model quality. QLoRA [12] extends LoRA by loading the base model in 4-bit NormalFloat (NF4) quantised format, further reducing GPU memory requirements and enabling fine-tuning of 7B+ models on a single 24 GB GPU. Unsloth [13] implements highly optimised LoRA and QLoRA kernels, achieving approximately 2x training throughput over standard HuggingFace implementations through fused attention operations and custom CUDA kernels. We use QLoRA with Unsloth for training on a single 16 GB consumer GPU.</w:t>
      </w:r>
    </w:p>
    <w:p>
      <w:pPr>
        <w:spacing w:before="200" w:after="60"/>
      </w:pPr>
      <w:r>
        <w:rPr>
          <w:rFonts w:ascii="Calibri" w:hAnsi="Calibri"/>
          <w:b/>
          <w:color w:val="0060A9"/>
          <w:sz w:val="22"/>
        </w:rPr>
        <w:t>2.5  Document Bundle Splitting</w:t>
      </w:r>
    </w:p>
    <w:p>
      <w:pPr>
        <w:spacing w:before="0" w:after="100"/>
        <w:jc w:val="both"/>
      </w:pPr>
      <w:r>
        <w:rPr>
          <w:rFonts w:ascii="Calibri" w:hAnsi="Calibri"/>
          <w:color w:val="1E1E1E"/>
          <w:sz w:val="21"/>
        </w:rPr>
        <w:t>The problem of detecting document boundaries within a scanned bundle has received limited attention compared to single-document understanding. Ferrando et al. [14] frame it as a sequence labelling task over OCR-extracted tokens, requiring OCR as a prerequisite. Commercial systems handle splitting via explicit page separator sheets or barcode-based cover page detection — approaches that require operational workflow changes to insert separator pages. Our approach is architecturally different: boundary detection emerges as a by-product of the classification task. Any page predicted as START of a known document class implicitly defines a bundle boundary, requiring no separate model, training objective, or operational workflow changes.</w:t>
      </w:r>
    </w:p>
    <w:p>
      <w:pPr>
        <w:spacing w:before="200" w:after="60"/>
      </w:pPr>
      <w:r>
        <w:rPr>
          <w:rFonts w:ascii="Calibri" w:hAnsi="Calibri"/>
          <w:b/>
          <w:color w:val="0060A9"/>
          <w:sz w:val="22"/>
        </w:rPr>
        <w:t>2.6  Synthetic Data for Document AI</w:t>
      </w:r>
    </w:p>
    <w:p>
      <w:pPr>
        <w:spacing w:before="0" w:after="100"/>
        <w:jc w:val="both"/>
      </w:pPr>
      <w:r>
        <w:rPr>
          <w:rFonts w:ascii="Calibri" w:hAnsi="Calibri"/>
          <w:color w:val="1E1E1E"/>
          <w:sz w:val="21"/>
        </w:rPr>
        <w:t>Annotating real enterprise documents at scale is expensive and often infeasible due to confidentiality constraints. Synthetic document generation has been validated as an effective substitute: SynthDoG [8] demonstrates that models trained on procedurally generated documents transfer well to real scanned documents when generation captures realistic layout and content variation. DocSynth [15] further shows that domain-specific value distributions — rather than generic placeholder content — are critical for production transfer. Our dataset generation pipeline follows this paradigm, using domain-specific field distributions, multiple format variants per class, and a page-bundle assembly stage that mirrors real-world document packaging. We extend prior work by documenting the iterative quality correction process in detail (Section 6.6).</w:t>
      </w:r>
    </w:p>
    <w:p>
      <w:pPr>
        <w:spacing w:before="320" w:after="80"/>
        <w:pBdr>
          <w:bottom w:val="single" w:sz="6" w:space="1" w:color="003A70"/>
        </w:pBdr>
      </w:pPr>
      <w:r>
        <w:rPr>
          <w:rFonts w:ascii="Calibri" w:hAnsi="Calibri"/>
          <w:b/>
          <w:color w:val="003A70"/>
          <w:sz w:val="24"/>
        </w:rPr>
        <w:t>3.  PROBLEM FORMULATION</w:t>
      </w:r>
    </w:p>
    <w:p>
      <w:pPr>
        <w:spacing w:before="0" w:after="100"/>
        <w:jc w:val="both"/>
      </w:pPr>
      <w:r>
        <w:rPr>
          <w:rFonts w:ascii="Calibri" w:hAnsi="Calibri"/>
          <w:color w:val="1E1E1E"/>
          <w:sz w:val="21"/>
        </w:rPr>
        <w:t>Let P = {p₁, p₂, ..., pₙ} be a sequence of document page images comprising a multi-page bundle. For each page pᵢ, the system receives the image and a textual summary of the preceding page's output as context. It must produce a structured output yᵢ encoding three sub-tasks:</w:t>
      </w:r>
    </w:p>
    <w:p>
      <w:pPr>
        <w:pStyle w:val="ListBullet"/>
        <w:spacing w:after="40" w:before="0"/>
      </w:pPr>
      <w:r>
        <w:rPr>
          <w:rFonts w:ascii="Calibri" w:hAnsi="Calibri"/>
          <w:color w:val="1E1E1E"/>
          <w:sz w:val="21"/>
        </w:rPr>
        <w:t>Classification: assign pᵢ to one of C = 12 predefined freight document classes.</w:t>
      </w:r>
    </w:p>
    <w:p>
      <w:pPr>
        <w:pStyle w:val="ListBullet"/>
        <w:spacing w:after="40" w:before="0"/>
      </w:pPr>
      <w:r>
        <w:rPr>
          <w:rFonts w:ascii="Calibri" w:hAnsi="Calibri"/>
          <w:color w:val="1E1E1E"/>
          <w:sz w:val="21"/>
        </w:rPr>
        <w:t>Bundle Splitting: determine whether pᵢ is the first page (START) of a new document or a continuation (CONTINUATION) of the document begun on pᵢ₋₁.</w:t>
      </w:r>
    </w:p>
    <w:p>
      <w:pPr>
        <w:pStyle w:val="ListBullet"/>
        <w:spacing w:after="40" w:before="0"/>
      </w:pPr>
      <w:r>
        <w:rPr>
          <w:rFonts w:ascii="Calibri" w:hAnsi="Calibri"/>
          <w:color w:val="1E1E1E"/>
          <w:sz w:val="21"/>
        </w:rPr>
        <w:t>Field Extraction: if pᵢ is a START page, extract values for each of F = 11 universal fields from the visible text, or output null if absent or illegible.</w:t>
      </w:r>
    </w:p>
    <w:p>
      <w:pPr>
        <w:spacing w:before="0" w:after="100"/>
        <w:jc w:val="both"/>
      </w:pPr>
      <w:r>
        <w:rPr>
          <w:rFonts w:ascii="Calibri" w:hAnsi="Calibri"/>
          <w:color w:val="1E1E1E"/>
          <w:sz w:val="21"/>
        </w:rPr>
        <w:t>These sub-tasks are unified into a single inference call by encoding yᵢ as a JSON object. For CONTINUATION pages the output is {class, position}. For START pages it extends to {class, position, f₁, f₂, ..., f₁₁}. This formulation exploits VLM instruction-following to produce structured outputs without post-processing beyond JSON parsing, and leverages inter-page context for boundary detection without explicit document state tracking.</w:t>
      </w:r>
    </w:p>
    <w:p>
      <w:pPr>
        <w:spacing w:before="320" w:after="80"/>
        <w:pBdr>
          <w:bottom w:val="single" w:sz="6" w:space="1" w:color="003A70"/>
        </w:pBdr>
      </w:pPr>
      <w:r>
        <w:rPr>
          <w:rFonts w:ascii="Calibri" w:hAnsi="Calibri"/>
          <w:b/>
          <w:color w:val="003A70"/>
          <w:sz w:val="24"/>
        </w:rPr>
        <w:t>4.  UNIVERSAL FIELD SCHEMA</w:t>
      </w:r>
    </w:p>
    <w:p>
      <w:pPr>
        <w:spacing w:before="0" w:after="100"/>
        <w:jc w:val="both"/>
      </w:pPr>
      <w:r>
        <w:rPr>
          <w:rFonts w:ascii="Calibri" w:hAnsi="Calibri"/>
          <w:color w:val="1E1E1E"/>
          <w:sz w:val="21"/>
        </w:rPr>
        <w:t>A central design decision is defining 11 universal fields applicable across all 12 document classes. Rather than maintaining class-specific extraction templates, a single schema covers all classes — fields not semantically applicable to a class return null. Weight fields (gross weight, net weight, total weight) were explicitly excluded after multiple training iterations revealed fundamental schema-level inconsistency: the same field name maps to structurally different data across classes (per-item weight on a Packing List vs. total shipment weight on a Commercial Invoice vs. verified container mass with regulatory significance on a VGM). Their exclusion improved overall field F1 and eliminated a class of extraction errors that no prompt engineering could resolve.</w:t>
      </w:r>
    </w:p>
    <w:tbl>
      <w:tblPr>
        <w:tblStyle w:val="TableGrid"/>
        <w:tblW w:type="auto" w:w="0"/>
        <w:jc w:val="center"/>
        <w:tblLook w:firstColumn="1" w:firstRow="1" w:lastColumn="0" w:lastRow="0" w:noHBand="0" w:noVBand="1" w:val="04A0"/>
      </w:tblPr>
      <w:tblGrid>
        <w:gridCol w:w="2928"/>
        <w:gridCol w:w="2928"/>
        <w:gridCol w:w="2928"/>
      </w:tblGrid>
      <w:tr>
        <w:tc>
          <w:tcPr>
            <w:tcW w:type="dxa" w:w="2592"/>
            <w:shd w:fill="003A70" w:val="clear"/>
          </w:tcPr>
          <w:p>
            <w:pPr>
              <w:jc w:val="center"/>
            </w:pPr>
            <w:r>
              <w:rPr>
                <w:rFonts w:ascii="Calibri" w:hAnsi="Calibri"/>
                <w:b/>
                <w:color w:val="FFFFFF"/>
                <w:sz w:val="19"/>
              </w:rPr>
              <w:t>Field</w:t>
            </w:r>
          </w:p>
        </w:tc>
        <w:tc>
          <w:tcPr>
            <w:tcW w:type="dxa" w:w="4032"/>
            <w:shd w:fill="003A70" w:val="clear"/>
          </w:tcPr>
          <w:p>
            <w:pPr>
              <w:jc w:val="center"/>
            </w:pPr>
            <w:r>
              <w:rPr>
                <w:rFonts w:ascii="Calibri" w:hAnsi="Calibri"/>
                <w:b/>
                <w:color w:val="FFFFFF"/>
                <w:sz w:val="19"/>
              </w:rPr>
              <w:t>Semantic Description</w:t>
            </w:r>
          </w:p>
        </w:tc>
        <w:tc>
          <w:tcPr>
            <w:tcW w:type="dxa" w:w="2592"/>
            <w:shd w:fill="003A70" w:val="clear"/>
          </w:tcPr>
          <w:p>
            <w:pPr>
              <w:jc w:val="center"/>
            </w:pPr>
            <w:r>
              <w:rPr>
                <w:rFonts w:ascii="Calibri" w:hAnsi="Calibri"/>
                <w:b/>
                <w:color w:val="FFFFFF"/>
                <w:sz w:val="19"/>
              </w:rPr>
              <w:t>Representative Classes</w:t>
            </w:r>
          </w:p>
        </w:tc>
      </w:tr>
      <w:tr>
        <w:tc>
          <w:tcPr>
            <w:tcW w:type="dxa" w:w="2592"/>
            <w:shd w:fill="EAF2FB" w:val="clear"/>
          </w:tcPr>
          <w:p>
            <w:pPr>
              <w:jc w:val="left"/>
            </w:pPr>
            <w:r>
              <w:rPr>
                <w:rFonts w:ascii="Calibri" w:hAnsi="Calibri"/>
                <w:sz w:val="19"/>
              </w:rPr>
              <w:t>shipper_name</w:t>
            </w:r>
          </w:p>
        </w:tc>
        <w:tc>
          <w:tcPr>
            <w:tcW w:type="dxa" w:w="4032"/>
            <w:shd w:fill="EAF2FB" w:val="clear"/>
          </w:tcPr>
          <w:p>
            <w:pPr>
              <w:jc w:val="center"/>
            </w:pPr>
            <w:r>
              <w:rPr>
                <w:rFonts w:ascii="Calibri" w:hAnsi="Calibri"/>
                <w:sz w:val="19"/>
              </w:rPr>
              <w:t>Legal name of the exporting/shipping entity</w:t>
            </w:r>
          </w:p>
        </w:tc>
        <w:tc>
          <w:tcPr>
            <w:tcW w:type="dxa" w:w="2592"/>
            <w:shd w:fill="EAF2FB" w:val="clear"/>
          </w:tcPr>
          <w:p>
            <w:pPr>
              <w:jc w:val="center"/>
            </w:pPr>
            <w:r>
              <w:rPr>
                <w:rFonts w:ascii="Calibri" w:hAnsi="Calibri"/>
                <w:sz w:val="19"/>
              </w:rPr>
              <w:t>All 12 classes</w:t>
            </w:r>
          </w:p>
        </w:tc>
      </w:tr>
      <w:tr>
        <w:tc>
          <w:tcPr>
            <w:tcW w:type="dxa" w:w="2592"/>
            <w:shd w:fill="FFFFFF" w:val="clear"/>
          </w:tcPr>
          <w:p>
            <w:pPr>
              <w:jc w:val="left"/>
            </w:pPr>
            <w:r>
              <w:rPr>
                <w:rFonts w:ascii="Calibri" w:hAnsi="Calibri"/>
                <w:sz w:val="19"/>
              </w:rPr>
              <w:t>consignee_name</w:t>
            </w:r>
          </w:p>
        </w:tc>
        <w:tc>
          <w:tcPr>
            <w:tcW w:type="dxa" w:w="4032"/>
            <w:shd w:fill="FFFFFF" w:val="clear"/>
          </w:tcPr>
          <w:p>
            <w:pPr>
              <w:jc w:val="center"/>
            </w:pPr>
            <w:r>
              <w:rPr>
                <w:rFonts w:ascii="Calibri" w:hAnsi="Calibri"/>
                <w:sz w:val="19"/>
              </w:rPr>
              <w:t>Legal name of the importing/receiving entity</w:t>
            </w:r>
          </w:p>
        </w:tc>
        <w:tc>
          <w:tcPr>
            <w:tcW w:type="dxa" w:w="2592"/>
            <w:shd w:fill="FFFFFF" w:val="clear"/>
          </w:tcPr>
          <w:p>
            <w:pPr>
              <w:jc w:val="center"/>
            </w:pPr>
            <w:r>
              <w:rPr>
                <w:rFonts w:ascii="Calibri" w:hAnsi="Calibri"/>
                <w:sz w:val="19"/>
              </w:rPr>
              <w:t>All 12 classes</w:t>
            </w:r>
          </w:p>
        </w:tc>
      </w:tr>
      <w:tr>
        <w:tc>
          <w:tcPr>
            <w:tcW w:type="dxa" w:w="2592"/>
            <w:shd w:fill="EAF2FB" w:val="clear"/>
          </w:tcPr>
          <w:p>
            <w:pPr>
              <w:jc w:val="left"/>
            </w:pPr>
            <w:r>
              <w:rPr>
                <w:rFonts w:ascii="Calibri" w:hAnsi="Calibri"/>
                <w:sz w:val="19"/>
              </w:rPr>
              <w:t>document_date</w:t>
            </w:r>
          </w:p>
        </w:tc>
        <w:tc>
          <w:tcPr>
            <w:tcW w:type="dxa" w:w="4032"/>
            <w:shd w:fill="EAF2FB" w:val="clear"/>
          </w:tcPr>
          <w:p>
            <w:pPr>
              <w:jc w:val="center"/>
            </w:pPr>
            <w:r>
              <w:rPr>
                <w:rFonts w:ascii="Calibri" w:hAnsi="Calibri"/>
                <w:sz w:val="19"/>
              </w:rPr>
              <w:t>Date of document issuance or execution</w:t>
            </w:r>
          </w:p>
        </w:tc>
        <w:tc>
          <w:tcPr>
            <w:tcW w:type="dxa" w:w="2592"/>
            <w:shd w:fill="EAF2FB" w:val="clear"/>
          </w:tcPr>
          <w:p>
            <w:pPr>
              <w:jc w:val="center"/>
            </w:pPr>
            <w:r>
              <w:rPr>
                <w:rFonts w:ascii="Calibri" w:hAnsi="Calibri"/>
                <w:sz w:val="19"/>
              </w:rPr>
              <w:t>All 12 classes</w:t>
            </w:r>
          </w:p>
        </w:tc>
      </w:tr>
      <w:tr>
        <w:tc>
          <w:tcPr>
            <w:tcW w:type="dxa" w:w="2592"/>
            <w:shd w:fill="FFFFFF" w:val="clear"/>
          </w:tcPr>
          <w:p>
            <w:pPr>
              <w:jc w:val="left"/>
            </w:pPr>
            <w:r>
              <w:rPr>
                <w:rFonts w:ascii="Calibri" w:hAnsi="Calibri"/>
                <w:sz w:val="19"/>
              </w:rPr>
              <w:t>document_number</w:t>
            </w:r>
          </w:p>
        </w:tc>
        <w:tc>
          <w:tcPr>
            <w:tcW w:type="dxa" w:w="4032"/>
            <w:shd w:fill="FFFFFF" w:val="clear"/>
          </w:tcPr>
          <w:p>
            <w:pPr>
              <w:jc w:val="center"/>
            </w:pPr>
            <w:r>
              <w:rPr>
                <w:rFonts w:ascii="Calibri" w:hAnsi="Calibri"/>
                <w:sz w:val="19"/>
              </w:rPr>
              <w:t>Unique document reference or serial number</w:t>
            </w:r>
          </w:p>
        </w:tc>
        <w:tc>
          <w:tcPr>
            <w:tcW w:type="dxa" w:w="2592"/>
            <w:shd w:fill="FFFFFF" w:val="clear"/>
          </w:tcPr>
          <w:p>
            <w:pPr>
              <w:jc w:val="center"/>
            </w:pPr>
            <w:r>
              <w:rPr>
                <w:rFonts w:ascii="Calibri" w:hAnsi="Calibri"/>
                <w:sz w:val="19"/>
              </w:rPr>
              <w:t>All 12 classes</w:t>
            </w:r>
          </w:p>
        </w:tc>
      </w:tr>
      <w:tr>
        <w:tc>
          <w:tcPr>
            <w:tcW w:type="dxa" w:w="2592"/>
            <w:shd w:fill="EAF2FB" w:val="clear"/>
          </w:tcPr>
          <w:p>
            <w:pPr>
              <w:jc w:val="left"/>
            </w:pPr>
            <w:r>
              <w:rPr>
                <w:rFonts w:ascii="Calibri" w:hAnsi="Calibri"/>
                <w:sz w:val="19"/>
              </w:rPr>
              <w:t>country_of_origin</w:t>
            </w:r>
          </w:p>
        </w:tc>
        <w:tc>
          <w:tcPr>
            <w:tcW w:type="dxa" w:w="4032"/>
            <w:shd w:fill="EAF2FB" w:val="clear"/>
          </w:tcPr>
          <w:p>
            <w:pPr>
              <w:jc w:val="center"/>
            </w:pPr>
            <w:r>
              <w:rPr>
                <w:rFonts w:ascii="Calibri" w:hAnsi="Calibri"/>
                <w:sz w:val="19"/>
              </w:rPr>
              <w:t>Origin country or departure airport/port code</w:t>
            </w:r>
          </w:p>
        </w:tc>
        <w:tc>
          <w:tcPr>
            <w:tcW w:type="dxa" w:w="2592"/>
            <w:shd w:fill="EAF2FB" w:val="clear"/>
          </w:tcPr>
          <w:p>
            <w:pPr>
              <w:jc w:val="center"/>
            </w:pPr>
            <w:r>
              <w:rPr>
                <w:rFonts w:ascii="Calibri" w:hAnsi="Calibri"/>
                <w:sz w:val="19"/>
              </w:rPr>
              <w:t>All 12 classes</w:t>
            </w:r>
          </w:p>
        </w:tc>
      </w:tr>
      <w:tr>
        <w:tc>
          <w:tcPr>
            <w:tcW w:type="dxa" w:w="2592"/>
            <w:shd w:fill="FFFFFF" w:val="clear"/>
          </w:tcPr>
          <w:p>
            <w:pPr>
              <w:jc w:val="left"/>
            </w:pPr>
            <w:r>
              <w:rPr>
                <w:rFonts w:ascii="Calibri" w:hAnsi="Calibri"/>
                <w:sz w:val="19"/>
              </w:rPr>
              <w:t>country_of_destination</w:t>
            </w:r>
          </w:p>
        </w:tc>
        <w:tc>
          <w:tcPr>
            <w:tcW w:type="dxa" w:w="4032"/>
            <w:shd w:fill="FFFFFF" w:val="clear"/>
          </w:tcPr>
          <w:p>
            <w:pPr>
              <w:jc w:val="center"/>
            </w:pPr>
            <w:r>
              <w:rPr>
                <w:rFonts w:ascii="Calibri" w:hAnsi="Calibri"/>
                <w:sz w:val="19"/>
              </w:rPr>
              <w:t>Destination country or arrival airport/port</w:t>
            </w:r>
          </w:p>
        </w:tc>
        <w:tc>
          <w:tcPr>
            <w:tcW w:type="dxa" w:w="2592"/>
            <w:shd w:fill="FFFFFF" w:val="clear"/>
          </w:tcPr>
          <w:p>
            <w:pPr>
              <w:jc w:val="center"/>
            </w:pPr>
            <w:r>
              <w:rPr>
                <w:rFonts w:ascii="Calibri" w:hAnsi="Calibri"/>
                <w:sz w:val="19"/>
              </w:rPr>
              <w:t>All 12 classes</w:t>
            </w:r>
          </w:p>
        </w:tc>
      </w:tr>
      <w:tr>
        <w:tc>
          <w:tcPr>
            <w:tcW w:type="dxa" w:w="2592"/>
            <w:shd w:fill="EAF2FB" w:val="clear"/>
          </w:tcPr>
          <w:p>
            <w:pPr>
              <w:jc w:val="left"/>
            </w:pPr>
            <w:r>
              <w:rPr>
                <w:rFonts w:ascii="Calibri" w:hAnsi="Calibri"/>
                <w:sz w:val="19"/>
              </w:rPr>
              <w:t>description_of_goods</w:t>
            </w:r>
          </w:p>
        </w:tc>
        <w:tc>
          <w:tcPr>
            <w:tcW w:type="dxa" w:w="4032"/>
            <w:shd w:fill="EAF2FB" w:val="clear"/>
          </w:tcPr>
          <w:p>
            <w:pPr>
              <w:jc w:val="center"/>
            </w:pPr>
            <w:r>
              <w:rPr>
                <w:rFonts w:ascii="Calibri" w:hAnsi="Calibri"/>
                <w:sz w:val="19"/>
              </w:rPr>
              <w:t>Nature and description of shipped commodities</w:t>
            </w:r>
          </w:p>
        </w:tc>
        <w:tc>
          <w:tcPr>
            <w:tcW w:type="dxa" w:w="2592"/>
            <w:shd w:fill="EAF2FB" w:val="clear"/>
          </w:tcPr>
          <w:p>
            <w:pPr>
              <w:jc w:val="center"/>
            </w:pPr>
            <w:r>
              <w:rPr>
                <w:rFonts w:ascii="Calibri" w:hAnsi="Calibri"/>
                <w:sz w:val="19"/>
              </w:rPr>
              <w:t>All 12 classes</w:t>
            </w:r>
          </w:p>
        </w:tc>
      </w:tr>
      <w:tr>
        <w:tc>
          <w:tcPr>
            <w:tcW w:type="dxa" w:w="2592"/>
            <w:shd w:fill="FFFFFF" w:val="clear"/>
          </w:tcPr>
          <w:p>
            <w:pPr>
              <w:jc w:val="left"/>
            </w:pPr>
            <w:r>
              <w:rPr>
                <w:rFonts w:ascii="Calibri" w:hAnsi="Calibri"/>
                <w:sz w:val="19"/>
              </w:rPr>
              <w:t>license_number</w:t>
            </w:r>
          </w:p>
        </w:tc>
        <w:tc>
          <w:tcPr>
            <w:tcW w:type="dxa" w:w="4032"/>
            <w:shd w:fill="FFFFFF" w:val="clear"/>
          </w:tcPr>
          <w:p>
            <w:pPr>
              <w:jc w:val="center"/>
            </w:pPr>
            <w:r>
              <w:rPr>
                <w:rFonts w:ascii="Calibri" w:hAnsi="Calibri"/>
                <w:sz w:val="19"/>
              </w:rPr>
              <w:t>Export/import license or ITN reference</w:t>
            </w:r>
          </w:p>
        </w:tc>
        <w:tc>
          <w:tcPr>
            <w:tcW w:type="dxa" w:w="2592"/>
            <w:shd w:fill="FFFFFF" w:val="clear"/>
          </w:tcPr>
          <w:p>
            <w:pPr>
              <w:jc w:val="center"/>
            </w:pPr>
            <w:r>
              <w:rPr>
                <w:rFonts w:ascii="Calibri" w:hAnsi="Calibri"/>
                <w:sz w:val="19"/>
              </w:rPr>
              <w:t>IEL, SLI, POA</w:t>
            </w:r>
          </w:p>
        </w:tc>
      </w:tr>
      <w:tr>
        <w:tc>
          <w:tcPr>
            <w:tcW w:type="dxa" w:w="2592"/>
            <w:shd w:fill="EAF2FB" w:val="clear"/>
          </w:tcPr>
          <w:p>
            <w:pPr>
              <w:jc w:val="left"/>
            </w:pPr>
            <w:r>
              <w:rPr>
                <w:rFonts w:ascii="Calibri" w:hAnsi="Calibri"/>
                <w:sz w:val="19"/>
              </w:rPr>
              <w:t>validity_start</w:t>
            </w:r>
          </w:p>
        </w:tc>
        <w:tc>
          <w:tcPr>
            <w:tcW w:type="dxa" w:w="4032"/>
            <w:shd w:fill="EAF2FB" w:val="clear"/>
          </w:tcPr>
          <w:p>
            <w:pPr>
              <w:jc w:val="center"/>
            </w:pPr>
            <w:r>
              <w:rPr>
                <w:rFonts w:ascii="Calibri" w:hAnsi="Calibri"/>
                <w:sz w:val="19"/>
              </w:rPr>
              <w:t>Start date of license or authority validity</w:t>
            </w:r>
          </w:p>
        </w:tc>
        <w:tc>
          <w:tcPr>
            <w:tcW w:type="dxa" w:w="2592"/>
            <w:shd w:fill="EAF2FB" w:val="clear"/>
          </w:tcPr>
          <w:p>
            <w:pPr>
              <w:jc w:val="center"/>
            </w:pPr>
            <w:r>
              <w:rPr>
                <w:rFonts w:ascii="Calibri" w:hAnsi="Calibri"/>
                <w:sz w:val="19"/>
              </w:rPr>
              <w:t>IEL, COO, POA</w:t>
            </w:r>
          </w:p>
        </w:tc>
      </w:tr>
      <w:tr>
        <w:tc>
          <w:tcPr>
            <w:tcW w:type="dxa" w:w="2592"/>
            <w:shd w:fill="FFFFFF" w:val="clear"/>
          </w:tcPr>
          <w:p>
            <w:pPr>
              <w:jc w:val="left"/>
            </w:pPr>
            <w:r>
              <w:rPr>
                <w:rFonts w:ascii="Calibri" w:hAnsi="Calibri"/>
                <w:sz w:val="19"/>
              </w:rPr>
              <w:t>validity_end</w:t>
            </w:r>
          </w:p>
        </w:tc>
        <w:tc>
          <w:tcPr>
            <w:tcW w:type="dxa" w:w="4032"/>
            <w:shd w:fill="FFFFFF" w:val="clear"/>
          </w:tcPr>
          <w:p>
            <w:pPr>
              <w:jc w:val="center"/>
            </w:pPr>
            <w:r>
              <w:rPr>
                <w:rFonts w:ascii="Calibri" w:hAnsi="Calibri"/>
                <w:sz w:val="19"/>
              </w:rPr>
              <w:t>End date of license or authority validity</w:t>
            </w:r>
          </w:p>
        </w:tc>
        <w:tc>
          <w:tcPr>
            <w:tcW w:type="dxa" w:w="2592"/>
            <w:shd w:fill="FFFFFF" w:val="clear"/>
          </w:tcPr>
          <w:p>
            <w:pPr>
              <w:jc w:val="center"/>
            </w:pPr>
            <w:r>
              <w:rPr>
                <w:rFonts w:ascii="Calibri" w:hAnsi="Calibri"/>
                <w:sz w:val="19"/>
              </w:rPr>
              <w:t>IEL, COO, POA</w:t>
            </w:r>
          </w:p>
        </w:tc>
      </w:tr>
      <w:tr>
        <w:tc>
          <w:tcPr>
            <w:tcW w:type="dxa" w:w="2592"/>
            <w:shd w:fill="EAF2FB" w:val="clear"/>
          </w:tcPr>
          <w:p>
            <w:pPr>
              <w:jc w:val="left"/>
            </w:pPr>
            <w:r>
              <w:rPr>
                <w:rFonts w:ascii="Calibri" w:hAnsi="Calibri"/>
                <w:sz w:val="19"/>
              </w:rPr>
              <w:t>licensee_name</w:t>
            </w:r>
          </w:p>
        </w:tc>
        <w:tc>
          <w:tcPr>
            <w:tcW w:type="dxa" w:w="4032"/>
            <w:shd w:fill="EAF2FB" w:val="clear"/>
          </w:tcPr>
          <w:p>
            <w:pPr>
              <w:jc w:val="center"/>
            </w:pPr>
            <w:r>
              <w:rPr>
                <w:rFonts w:ascii="Calibri" w:hAnsi="Calibri"/>
                <w:sz w:val="19"/>
              </w:rPr>
              <w:t>Name of the license holder or authorised agent</w:t>
            </w:r>
          </w:p>
        </w:tc>
        <w:tc>
          <w:tcPr>
            <w:tcW w:type="dxa" w:w="2592"/>
            <w:shd w:fill="EAF2FB" w:val="clear"/>
          </w:tcPr>
          <w:p>
            <w:pPr>
              <w:jc w:val="center"/>
            </w:pPr>
            <w:r>
              <w:rPr>
                <w:rFonts w:ascii="Calibri" w:hAnsi="Calibri"/>
                <w:sz w:val="19"/>
              </w:rPr>
              <w:t>IEL, POA</w:t>
            </w:r>
          </w:p>
        </w:tc>
      </w:tr>
    </w:tbl>
    <w:p>
      <w:pPr>
        <w:spacing w:before="60" w:after="200"/>
        <w:jc w:val="center"/>
      </w:pPr>
      <w:r>
        <w:rPr>
          <w:rFonts w:ascii="Calibri" w:hAnsi="Calibri"/>
          <w:i/>
          <w:color w:val="505050"/>
          <w:sz w:val="19"/>
        </w:rPr>
        <w:t>Table 1. Universal field schema. IEL = Import/Export License, SLI = Shipper's Letter of Instruction, POA = Power of Attorney, COO = Certificate of Origin.</w:t>
      </w:r>
    </w:p>
    <w:p>
      <w:pPr>
        <w:spacing w:before="320" w:after="80"/>
        <w:pBdr>
          <w:bottom w:val="single" w:sz="6" w:space="1" w:color="003A70"/>
        </w:pBdr>
      </w:pPr>
      <w:r>
        <w:rPr>
          <w:rFonts w:ascii="Calibri" w:hAnsi="Calibri"/>
          <w:b/>
          <w:color w:val="003A70"/>
          <w:sz w:val="24"/>
        </w:rPr>
        <w:t>5.  SUPPORTED DOCUMENT CLASSES</w:t>
      </w:r>
    </w:p>
    <w:tbl>
      <w:tblPr>
        <w:tblStyle w:val="TableGrid"/>
        <w:tblW w:type="auto" w:w="0"/>
        <w:jc w:val="center"/>
        <w:tblLook w:firstColumn="1" w:firstRow="1" w:lastColumn="0" w:lastRow="0" w:noHBand="0" w:noVBand="1" w:val="04A0"/>
      </w:tblPr>
      <w:tblGrid>
        <w:gridCol w:w="2928"/>
        <w:gridCol w:w="2928"/>
        <w:gridCol w:w="2928"/>
      </w:tblGrid>
      <w:tr>
        <w:tc>
          <w:tcPr>
            <w:tcW w:type="dxa" w:w="576"/>
            <w:shd w:fill="003A70" w:val="clear"/>
          </w:tcPr>
          <w:p>
            <w:pPr>
              <w:jc w:val="center"/>
            </w:pPr>
            <w:r>
              <w:rPr>
                <w:rFonts w:ascii="Calibri" w:hAnsi="Calibri"/>
                <w:b/>
                <w:color w:val="FFFFFF"/>
                <w:sz w:val="19"/>
              </w:rPr>
              <w:t>ID</w:t>
            </w:r>
          </w:p>
        </w:tc>
        <w:tc>
          <w:tcPr>
            <w:tcW w:type="dxa" w:w="3312"/>
            <w:shd w:fill="003A70" w:val="clear"/>
          </w:tcPr>
          <w:p>
            <w:pPr>
              <w:jc w:val="center"/>
            </w:pPr>
            <w:r>
              <w:rPr>
                <w:rFonts w:ascii="Calibri" w:hAnsi="Calibri"/>
                <w:b/>
                <w:color w:val="FFFFFF"/>
                <w:sz w:val="19"/>
              </w:rPr>
              <w:t>Document Class</w:t>
            </w:r>
          </w:p>
        </w:tc>
        <w:tc>
          <w:tcPr>
            <w:tcW w:type="dxa" w:w="5328"/>
            <w:shd w:fill="003A70" w:val="clear"/>
          </w:tcPr>
          <w:p>
            <w:pPr>
              <w:jc w:val="center"/>
            </w:pPr>
            <w:r>
              <w:rPr>
                <w:rFonts w:ascii="Calibri" w:hAnsi="Calibri"/>
                <w:b/>
                <w:color w:val="FFFFFF"/>
                <w:sz w:val="19"/>
              </w:rPr>
              <w:t>Description</w:t>
            </w:r>
          </w:p>
        </w:tc>
      </w:tr>
      <w:tr>
        <w:tc>
          <w:tcPr>
            <w:tcW w:type="dxa" w:w="576"/>
            <w:shd w:fill="EAF2FB" w:val="clear"/>
          </w:tcPr>
          <w:p>
            <w:pPr>
              <w:jc w:val="left"/>
            </w:pPr>
            <w:r>
              <w:rPr>
                <w:rFonts w:ascii="Calibri" w:hAnsi="Calibri"/>
                <w:sz w:val="19"/>
              </w:rPr>
              <w:t>01</w:t>
            </w:r>
          </w:p>
        </w:tc>
        <w:tc>
          <w:tcPr>
            <w:tcW w:type="dxa" w:w="3312"/>
            <w:shd w:fill="EAF2FB" w:val="clear"/>
          </w:tcPr>
          <w:p>
            <w:pPr>
              <w:jc w:val="center"/>
            </w:pPr>
            <w:r>
              <w:rPr>
                <w:rFonts w:ascii="Calibri" w:hAnsi="Calibri"/>
                <w:sz w:val="19"/>
              </w:rPr>
              <w:t>Commercial Invoice</w:t>
            </w:r>
          </w:p>
        </w:tc>
        <w:tc>
          <w:tcPr>
            <w:tcW w:type="dxa" w:w="5328"/>
            <w:shd w:fill="EAF2FB" w:val="clear"/>
          </w:tcPr>
          <w:p>
            <w:pPr>
              <w:jc w:val="center"/>
            </w:pPr>
            <w:r>
              <w:rPr>
                <w:rFonts w:ascii="Calibri" w:hAnsi="Calibri"/>
                <w:sz w:val="19"/>
              </w:rPr>
              <w:t>Itemised value declaration for international shipments</w:t>
            </w:r>
          </w:p>
        </w:tc>
      </w:tr>
      <w:tr>
        <w:tc>
          <w:tcPr>
            <w:tcW w:type="dxa" w:w="576"/>
            <w:shd w:fill="FFFFFF" w:val="clear"/>
          </w:tcPr>
          <w:p>
            <w:pPr>
              <w:jc w:val="left"/>
            </w:pPr>
            <w:r>
              <w:rPr>
                <w:rFonts w:ascii="Calibri" w:hAnsi="Calibri"/>
                <w:sz w:val="19"/>
              </w:rPr>
              <w:t>02</w:t>
            </w:r>
          </w:p>
        </w:tc>
        <w:tc>
          <w:tcPr>
            <w:tcW w:type="dxa" w:w="3312"/>
            <w:shd w:fill="FFFFFF" w:val="clear"/>
          </w:tcPr>
          <w:p>
            <w:pPr>
              <w:jc w:val="center"/>
            </w:pPr>
            <w:r>
              <w:rPr>
                <w:rFonts w:ascii="Calibri" w:hAnsi="Calibri"/>
                <w:sz w:val="19"/>
              </w:rPr>
              <w:t>House Bill of Lading</w:t>
            </w:r>
          </w:p>
        </w:tc>
        <w:tc>
          <w:tcPr>
            <w:tcW w:type="dxa" w:w="5328"/>
            <w:shd w:fill="FFFFFF" w:val="clear"/>
          </w:tcPr>
          <w:p>
            <w:pPr>
              <w:jc w:val="center"/>
            </w:pPr>
            <w:r>
              <w:rPr>
                <w:rFonts w:ascii="Calibri" w:hAnsi="Calibri"/>
                <w:sz w:val="19"/>
              </w:rPr>
              <w:t>Freight forwarder-issued ocean/multimodal transport document</w:t>
            </w:r>
          </w:p>
        </w:tc>
      </w:tr>
      <w:tr>
        <w:tc>
          <w:tcPr>
            <w:tcW w:type="dxa" w:w="576"/>
            <w:shd w:fill="EAF2FB" w:val="clear"/>
          </w:tcPr>
          <w:p>
            <w:pPr>
              <w:jc w:val="left"/>
            </w:pPr>
            <w:r>
              <w:rPr>
                <w:rFonts w:ascii="Calibri" w:hAnsi="Calibri"/>
                <w:sz w:val="19"/>
              </w:rPr>
              <w:t>03</w:t>
            </w:r>
          </w:p>
        </w:tc>
        <w:tc>
          <w:tcPr>
            <w:tcW w:type="dxa" w:w="3312"/>
            <w:shd w:fill="EAF2FB" w:val="clear"/>
          </w:tcPr>
          <w:p>
            <w:pPr>
              <w:jc w:val="center"/>
            </w:pPr>
            <w:r>
              <w:rPr>
                <w:rFonts w:ascii="Calibri" w:hAnsi="Calibri"/>
                <w:sz w:val="19"/>
              </w:rPr>
              <w:t>Certificate of Origin</w:t>
            </w:r>
          </w:p>
        </w:tc>
        <w:tc>
          <w:tcPr>
            <w:tcW w:type="dxa" w:w="5328"/>
            <w:shd w:fill="EAF2FB" w:val="clear"/>
          </w:tcPr>
          <w:p>
            <w:pPr>
              <w:jc w:val="center"/>
            </w:pPr>
            <w:r>
              <w:rPr>
                <w:rFonts w:ascii="Calibri" w:hAnsi="Calibri"/>
                <w:sz w:val="19"/>
              </w:rPr>
              <w:t>Certifies manufacturing country for customs duty purposes</w:t>
            </w:r>
          </w:p>
        </w:tc>
      </w:tr>
      <w:tr>
        <w:tc>
          <w:tcPr>
            <w:tcW w:type="dxa" w:w="576"/>
            <w:shd w:fill="FFFFFF" w:val="clear"/>
          </w:tcPr>
          <w:p>
            <w:pPr>
              <w:jc w:val="left"/>
            </w:pPr>
            <w:r>
              <w:rPr>
                <w:rFonts w:ascii="Calibri" w:hAnsi="Calibri"/>
                <w:sz w:val="19"/>
              </w:rPr>
              <w:t>04</w:t>
            </w:r>
          </w:p>
        </w:tc>
        <w:tc>
          <w:tcPr>
            <w:tcW w:type="dxa" w:w="3312"/>
            <w:shd w:fill="FFFFFF" w:val="clear"/>
          </w:tcPr>
          <w:p>
            <w:pPr>
              <w:jc w:val="center"/>
            </w:pPr>
            <w:r>
              <w:rPr>
                <w:rFonts w:ascii="Calibri" w:hAnsi="Calibri"/>
                <w:sz w:val="19"/>
              </w:rPr>
              <w:t>Shipper's Letter of Instruction</w:t>
            </w:r>
          </w:p>
        </w:tc>
        <w:tc>
          <w:tcPr>
            <w:tcW w:type="dxa" w:w="5328"/>
            <w:shd w:fill="FFFFFF" w:val="clear"/>
          </w:tcPr>
          <w:p>
            <w:pPr>
              <w:jc w:val="center"/>
            </w:pPr>
            <w:r>
              <w:rPr>
                <w:rFonts w:ascii="Calibri" w:hAnsi="Calibri"/>
                <w:sz w:val="19"/>
              </w:rPr>
              <w:t>Exporter's export filing and routing instructions</w:t>
            </w:r>
          </w:p>
        </w:tc>
      </w:tr>
      <w:tr>
        <w:tc>
          <w:tcPr>
            <w:tcW w:type="dxa" w:w="576"/>
            <w:shd w:fill="EAF2FB" w:val="clear"/>
          </w:tcPr>
          <w:p>
            <w:pPr>
              <w:jc w:val="left"/>
            </w:pPr>
            <w:r>
              <w:rPr>
                <w:rFonts w:ascii="Calibri" w:hAnsi="Calibri"/>
                <w:sz w:val="19"/>
              </w:rPr>
              <w:t>05</w:t>
            </w:r>
          </w:p>
        </w:tc>
        <w:tc>
          <w:tcPr>
            <w:tcW w:type="dxa" w:w="3312"/>
            <w:shd w:fill="EAF2FB" w:val="clear"/>
          </w:tcPr>
          <w:p>
            <w:pPr>
              <w:jc w:val="center"/>
            </w:pPr>
            <w:r>
              <w:rPr>
                <w:rFonts w:ascii="Calibri" w:hAnsi="Calibri"/>
                <w:sz w:val="19"/>
              </w:rPr>
              <w:t>Dangerous Goods Declaration</w:t>
            </w:r>
          </w:p>
        </w:tc>
        <w:tc>
          <w:tcPr>
            <w:tcW w:type="dxa" w:w="5328"/>
            <w:shd w:fill="EAF2FB" w:val="clear"/>
          </w:tcPr>
          <w:p>
            <w:pPr>
              <w:jc w:val="center"/>
            </w:pPr>
            <w:r>
              <w:rPr>
                <w:rFonts w:ascii="Calibri" w:hAnsi="Calibri"/>
                <w:sz w:val="19"/>
              </w:rPr>
              <w:t>IATA/IMDG declaration for hazardous materials</w:t>
            </w:r>
          </w:p>
        </w:tc>
      </w:tr>
      <w:tr>
        <w:tc>
          <w:tcPr>
            <w:tcW w:type="dxa" w:w="576"/>
            <w:shd w:fill="FFFFFF" w:val="clear"/>
          </w:tcPr>
          <w:p>
            <w:pPr>
              <w:jc w:val="left"/>
            </w:pPr>
            <w:r>
              <w:rPr>
                <w:rFonts w:ascii="Calibri" w:hAnsi="Calibri"/>
                <w:sz w:val="19"/>
              </w:rPr>
              <w:t>06</w:t>
            </w:r>
          </w:p>
        </w:tc>
        <w:tc>
          <w:tcPr>
            <w:tcW w:type="dxa" w:w="3312"/>
            <w:shd w:fill="FFFFFF" w:val="clear"/>
          </w:tcPr>
          <w:p>
            <w:pPr>
              <w:jc w:val="center"/>
            </w:pPr>
            <w:r>
              <w:rPr>
                <w:rFonts w:ascii="Calibri" w:hAnsi="Calibri"/>
                <w:sz w:val="19"/>
              </w:rPr>
              <w:t>Verified Gross Mass</w:t>
            </w:r>
          </w:p>
        </w:tc>
        <w:tc>
          <w:tcPr>
            <w:tcW w:type="dxa" w:w="5328"/>
            <w:shd w:fill="FFFFFF" w:val="clear"/>
          </w:tcPr>
          <w:p>
            <w:pPr>
              <w:jc w:val="center"/>
            </w:pPr>
            <w:r>
              <w:rPr>
                <w:rFonts w:ascii="Calibri" w:hAnsi="Calibri"/>
                <w:sz w:val="19"/>
              </w:rPr>
              <w:t>IMO SOLAS-required container weight declaration</w:t>
            </w:r>
          </w:p>
        </w:tc>
      </w:tr>
      <w:tr>
        <w:tc>
          <w:tcPr>
            <w:tcW w:type="dxa" w:w="576"/>
            <w:shd w:fill="EAF2FB" w:val="clear"/>
          </w:tcPr>
          <w:p>
            <w:pPr>
              <w:jc w:val="left"/>
            </w:pPr>
            <w:r>
              <w:rPr>
                <w:rFonts w:ascii="Calibri" w:hAnsi="Calibri"/>
                <w:sz w:val="19"/>
              </w:rPr>
              <w:t>07</w:t>
            </w:r>
          </w:p>
        </w:tc>
        <w:tc>
          <w:tcPr>
            <w:tcW w:type="dxa" w:w="3312"/>
            <w:shd w:fill="EAF2FB" w:val="clear"/>
          </w:tcPr>
          <w:p>
            <w:pPr>
              <w:jc w:val="center"/>
            </w:pPr>
            <w:r>
              <w:rPr>
                <w:rFonts w:ascii="Calibri" w:hAnsi="Calibri"/>
                <w:sz w:val="19"/>
              </w:rPr>
              <w:t>House Airway Bill</w:t>
            </w:r>
          </w:p>
        </w:tc>
        <w:tc>
          <w:tcPr>
            <w:tcW w:type="dxa" w:w="5328"/>
            <w:shd w:fill="EAF2FB" w:val="clear"/>
          </w:tcPr>
          <w:p>
            <w:pPr>
              <w:jc w:val="center"/>
            </w:pPr>
            <w:r>
              <w:rPr>
                <w:rFonts w:ascii="Calibri" w:hAnsi="Calibri"/>
                <w:sz w:val="19"/>
              </w:rPr>
              <w:t>Freight forwarder-issued air transport consignment document</w:t>
            </w:r>
          </w:p>
        </w:tc>
      </w:tr>
      <w:tr>
        <w:tc>
          <w:tcPr>
            <w:tcW w:type="dxa" w:w="576"/>
            <w:shd w:fill="FFFFFF" w:val="clear"/>
          </w:tcPr>
          <w:p>
            <w:pPr>
              <w:jc w:val="left"/>
            </w:pPr>
            <w:r>
              <w:rPr>
                <w:rFonts w:ascii="Calibri" w:hAnsi="Calibri"/>
                <w:sz w:val="19"/>
              </w:rPr>
              <w:t>08</w:t>
            </w:r>
          </w:p>
        </w:tc>
        <w:tc>
          <w:tcPr>
            <w:tcW w:type="dxa" w:w="3312"/>
            <w:shd w:fill="FFFFFF" w:val="clear"/>
          </w:tcPr>
          <w:p>
            <w:pPr>
              <w:jc w:val="center"/>
            </w:pPr>
            <w:r>
              <w:rPr>
                <w:rFonts w:ascii="Calibri" w:hAnsi="Calibri"/>
                <w:sz w:val="19"/>
              </w:rPr>
              <w:t>Packing List</w:t>
            </w:r>
          </w:p>
        </w:tc>
        <w:tc>
          <w:tcPr>
            <w:tcW w:type="dxa" w:w="5328"/>
            <w:shd w:fill="FFFFFF" w:val="clear"/>
          </w:tcPr>
          <w:p>
            <w:pPr>
              <w:jc w:val="center"/>
            </w:pPr>
            <w:r>
              <w:rPr>
                <w:rFonts w:ascii="Calibri" w:hAnsi="Calibri"/>
                <w:sz w:val="19"/>
              </w:rPr>
              <w:t>Per-package contents list accompanying a shipment</w:t>
            </w:r>
          </w:p>
        </w:tc>
      </w:tr>
      <w:tr>
        <w:tc>
          <w:tcPr>
            <w:tcW w:type="dxa" w:w="576"/>
            <w:shd w:fill="EAF2FB" w:val="clear"/>
          </w:tcPr>
          <w:p>
            <w:pPr>
              <w:jc w:val="left"/>
            </w:pPr>
            <w:r>
              <w:rPr>
                <w:rFonts w:ascii="Calibri" w:hAnsi="Calibri"/>
                <w:sz w:val="19"/>
              </w:rPr>
              <w:t>09</w:t>
            </w:r>
          </w:p>
        </w:tc>
        <w:tc>
          <w:tcPr>
            <w:tcW w:type="dxa" w:w="3312"/>
            <w:shd w:fill="EAF2FB" w:val="clear"/>
          </w:tcPr>
          <w:p>
            <w:pPr>
              <w:jc w:val="center"/>
            </w:pPr>
            <w:r>
              <w:rPr>
                <w:rFonts w:ascii="Calibri" w:hAnsi="Calibri"/>
                <w:sz w:val="19"/>
              </w:rPr>
              <w:t>Customs Declaration</w:t>
            </w:r>
          </w:p>
        </w:tc>
        <w:tc>
          <w:tcPr>
            <w:tcW w:type="dxa" w:w="5328"/>
            <w:shd w:fill="EAF2FB" w:val="clear"/>
          </w:tcPr>
          <w:p>
            <w:pPr>
              <w:jc w:val="center"/>
            </w:pPr>
            <w:r>
              <w:rPr>
                <w:rFonts w:ascii="Calibri" w:hAnsi="Calibri"/>
                <w:sz w:val="19"/>
              </w:rPr>
              <w:t>Customs clearance form (CN23, CBP 7501, AES)</w:t>
            </w:r>
          </w:p>
        </w:tc>
      </w:tr>
      <w:tr>
        <w:tc>
          <w:tcPr>
            <w:tcW w:type="dxa" w:w="576"/>
            <w:shd w:fill="FFFFFF" w:val="clear"/>
          </w:tcPr>
          <w:p>
            <w:pPr>
              <w:jc w:val="left"/>
            </w:pPr>
            <w:r>
              <w:rPr>
                <w:rFonts w:ascii="Calibri" w:hAnsi="Calibri"/>
                <w:sz w:val="19"/>
              </w:rPr>
              <w:t>10</w:t>
            </w:r>
          </w:p>
        </w:tc>
        <w:tc>
          <w:tcPr>
            <w:tcW w:type="dxa" w:w="3312"/>
            <w:shd w:fill="FFFFFF" w:val="clear"/>
          </w:tcPr>
          <w:p>
            <w:pPr>
              <w:jc w:val="center"/>
            </w:pPr>
            <w:r>
              <w:rPr>
                <w:rFonts w:ascii="Calibri" w:hAnsi="Calibri"/>
                <w:sz w:val="19"/>
              </w:rPr>
              <w:t>Cargo Manifest</w:t>
            </w:r>
          </w:p>
        </w:tc>
        <w:tc>
          <w:tcPr>
            <w:tcW w:type="dxa" w:w="5328"/>
            <w:shd w:fill="FFFFFF" w:val="clear"/>
          </w:tcPr>
          <w:p>
            <w:pPr>
              <w:jc w:val="center"/>
            </w:pPr>
            <w:r>
              <w:rPr>
                <w:rFonts w:ascii="Calibri" w:hAnsi="Calibri"/>
                <w:sz w:val="19"/>
              </w:rPr>
              <w:t>Carrier-level consolidated cargo list for vessel/aircraft</w:t>
            </w:r>
          </w:p>
        </w:tc>
      </w:tr>
      <w:tr>
        <w:tc>
          <w:tcPr>
            <w:tcW w:type="dxa" w:w="576"/>
            <w:shd w:fill="EAF2FB" w:val="clear"/>
          </w:tcPr>
          <w:p>
            <w:pPr>
              <w:jc w:val="left"/>
            </w:pPr>
            <w:r>
              <w:rPr>
                <w:rFonts w:ascii="Calibri" w:hAnsi="Calibri"/>
                <w:sz w:val="19"/>
              </w:rPr>
              <w:t>11</w:t>
            </w:r>
          </w:p>
        </w:tc>
        <w:tc>
          <w:tcPr>
            <w:tcW w:type="dxa" w:w="3312"/>
            <w:shd w:fill="EAF2FB" w:val="clear"/>
          </w:tcPr>
          <w:p>
            <w:pPr>
              <w:jc w:val="center"/>
            </w:pPr>
            <w:r>
              <w:rPr>
                <w:rFonts w:ascii="Calibri" w:hAnsi="Calibri"/>
                <w:sz w:val="19"/>
              </w:rPr>
              <w:t>Import/Export License</w:t>
            </w:r>
          </w:p>
        </w:tc>
        <w:tc>
          <w:tcPr>
            <w:tcW w:type="dxa" w:w="5328"/>
            <w:shd w:fill="EAF2FB" w:val="clear"/>
          </w:tcPr>
          <w:p>
            <w:pPr>
              <w:jc w:val="center"/>
            </w:pPr>
            <w:r>
              <w:rPr>
                <w:rFonts w:ascii="Calibri" w:hAnsi="Calibri"/>
                <w:sz w:val="19"/>
              </w:rPr>
              <w:t>Government authorisation for controlled or regulated goods</w:t>
            </w:r>
          </w:p>
        </w:tc>
      </w:tr>
      <w:tr>
        <w:tc>
          <w:tcPr>
            <w:tcW w:type="dxa" w:w="576"/>
            <w:shd w:fill="FFFFFF" w:val="clear"/>
          </w:tcPr>
          <w:p>
            <w:pPr>
              <w:jc w:val="left"/>
            </w:pPr>
            <w:r>
              <w:rPr>
                <w:rFonts w:ascii="Calibri" w:hAnsi="Calibri"/>
                <w:sz w:val="19"/>
              </w:rPr>
              <w:t>12</w:t>
            </w:r>
          </w:p>
        </w:tc>
        <w:tc>
          <w:tcPr>
            <w:tcW w:type="dxa" w:w="3312"/>
            <w:shd w:fill="FFFFFF" w:val="clear"/>
          </w:tcPr>
          <w:p>
            <w:pPr>
              <w:jc w:val="center"/>
            </w:pPr>
            <w:r>
              <w:rPr>
                <w:rFonts w:ascii="Calibri" w:hAnsi="Calibri"/>
                <w:sz w:val="19"/>
              </w:rPr>
              <w:t>Power of Attorney</w:t>
            </w:r>
          </w:p>
        </w:tc>
        <w:tc>
          <w:tcPr>
            <w:tcW w:type="dxa" w:w="5328"/>
            <w:shd w:fill="FFFFFF" w:val="clear"/>
          </w:tcPr>
          <w:p>
            <w:pPr>
              <w:jc w:val="center"/>
            </w:pPr>
            <w:r>
              <w:rPr>
                <w:rFonts w:ascii="Calibri" w:hAnsi="Calibri"/>
                <w:sz w:val="19"/>
              </w:rPr>
              <w:t>Legal instrument authorising customs broker to act on behalf</w:t>
            </w:r>
          </w:p>
        </w:tc>
      </w:tr>
    </w:tbl>
    <w:p>
      <w:pPr>
        <w:spacing w:before="60" w:after="200"/>
        <w:jc w:val="center"/>
      </w:pPr>
      <w:r>
        <w:rPr>
          <w:rFonts w:ascii="Calibri" w:hAnsi="Calibri"/>
          <w:i/>
          <w:color w:val="505050"/>
          <w:sz w:val="19"/>
        </w:rPr>
        <w:t>Table 2. Twelve supported freight document classes spanning ocean, air, road, and regulatory categories.</w:t>
      </w:r>
    </w:p>
    <w:p>
      <w:pPr>
        <w:spacing w:before="320" w:after="80"/>
        <w:pBdr>
          <w:bottom w:val="single" w:sz="6" w:space="1" w:color="003A70"/>
        </w:pBdr>
      </w:pPr>
      <w:r>
        <w:rPr>
          <w:rFonts w:ascii="Calibri" w:hAnsi="Calibri"/>
          <w:b/>
          <w:color w:val="003A70"/>
          <w:sz w:val="24"/>
        </w:rPr>
        <w:t>6.  DATASET AND SYNTHETIC DATA GENERATION</w:t>
      </w:r>
    </w:p>
    <w:p>
      <w:pPr>
        <w:spacing w:before="200" w:after="60"/>
      </w:pPr>
      <w:r>
        <w:rPr>
          <w:rFonts w:ascii="Calibri" w:hAnsi="Calibri"/>
          <w:b/>
          <w:color w:val="0060A9"/>
          <w:sz w:val="22"/>
        </w:rPr>
        <w:t>6.1  Motivation for Synthetic Generation</w:t>
      </w:r>
    </w:p>
    <w:p>
      <w:pPr>
        <w:spacing w:before="0" w:after="100"/>
        <w:jc w:val="both"/>
      </w:pPr>
      <w:r>
        <w:rPr>
          <w:rFonts w:ascii="Calibri" w:hAnsi="Calibri"/>
          <w:color w:val="1E1E1E"/>
          <w:sz w:val="21"/>
        </w:rPr>
        <w:t>Acquiring large-scale annotated freight document datasets is impractical: real shipping documents contain commercially sensitive information and PII, annotations must capture both document-level labels and field-level values with precise key mappings, and manually annotating multi-page bundles with correct START/CONTINUATION boundaries is prohibitively expensive. Synthetic generation provides exact, noise-free ground truth and unlimited scale, at the cost of requiring careful calibration to ensure the synthetic distribution reflects operational reality.</w:t>
      </w:r>
    </w:p>
    <w:p>
      <w:pPr>
        <w:spacing w:before="200" w:after="60"/>
      </w:pPr>
      <w:r>
        <w:rPr>
          <w:rFonts w:ascii="Calibri" w:hAnsi="Calibri"/>
          <w:b/>
          <w:color w:val="0060A9"/>
          <w:sz w:val="22"/>
        </w:rPr>
        <w:t>6.2  Generation Pipeline</w:t>
      </w:r>
    </w:p>
    <w:p>
      <w:pPr>
        <w:spacing w:before="0" w:after="100"/>
        <w:jc w:val="both"/>
      </w:pPr>
      <w:r>
        <w:rPr>
          <w:rFonts w:ascii="Calibri" w:hAnsi="Calibri"/>
          <w:color w:val="1E1E1E"/>
          <w:sz w:val="21"/>
        </w:rPr>
        <w:t>For each of the 12 document classes, a dedicated generator module uses ReportLab to programmatically render document layouts populated with domain-appropriate synthetic field values. Field values are drawn from logistics-domain distributions using the Faker library extended with freight-specific generators: company names from 5,000 synthetic logistics entities, port codes from the full UN/LOCODE registry, Harmonised System (HS) codes from a curated set of 200 commodity categories, and country/currency codes weighted by real global trade flow distributions. Each generator produces documents with natural variation in layout structure, typography, field presence, and value format — capturing the diversity encountered across different issuing countries and template sources.</w:t>
      </w:r>
    </w:p>
    <w:p>
      <w:pPr>
        <w:spacing w:before="200" w:after="60"/>
      </w:pPr>
      <w:r>
        <w:rPr>
          <w:rFonts w:ascii="Calibri" w:hAnsi="Calibri"/>
          <w:b/>
          <w:color w:val="0060A9"/>
          <w:sz w:val="22"/>
        </w:rPr>
        <w:t>6.3  Multi-Page Bundle Structure</w:t>
      </w:r>
    </w:p>
    <w:p>
      <w:pPr>
        <w:spacing w:before="0" w:after="100"/>
        <w:jc w:val="both"/>
      </w:pPr>
      <w:r>
        <w:rPr>
          <w:rFonts w:ascii="Calibri" w:hAnsi="Calibri"/>
          <w:color w:val="1E1E1E"/>
          <w:sz w:val="21"/>
        </w:rPr>
        <w:t>Documents are not stored as isolated pages but assembled into multi-page packets simulating realistic bundle scenarios: 4-12 documents of different classes are combined sequentially, reflecting operational freight bundle compositions (e.g. Commercial Invoice + Packing List + Bill of Lading for a standard shipment, augmented with Certificate of Origin, DGD, and License documents for controlled goods). Each page is labelled with its document class and position (START/CONTINUATION), and the preceding page's label is stored as inference context.</w:t>
      </w:r>
    </w:p>
    <w:p>
      <w:pPr>
        <w:spacing w:before="200" w:after="60"/>
      </w:pPr>
      <w:r>
        <w:rPr>
          <w:rFonts w:ascii="Calibri" w:hAnsi="Calibri"/>
          <w:b/>
          <w:color w:val="0060A9"/>
          <w:sz w:val="22"/>
        </w:rPr>
        <w:t>6.4  Blank-Form Training Examples</w:t>
      </w:r>
    </w:p>
    <w:p>
      <w:pPr>
        <w:spacing w:before="0" w:after="100"/>
        <w:jc w:val="both"/>
      </w:pPr>
      <w:r>
        <w:rPr>
          <w:rFonts w:ascii="Calibri" w:hAnsi="Calibri"/>
          <w:color w:val="1E1E1E"/>
          <w:sz w:val="21"/>
        </w:rPr>
        <w:t>An initial training version contained only filled documents. Evaluation revealed the model hallucinated plausible-but-fabricated values on blank or minimally-filled templates — a production-critical failure. The v3 dataset adds 960 synthetic blank forms (80 per class) generated with form structure visible but no field content, plus 64 real blank template pages, all labelled with all-null field outputs. This eliminated hallucination entirely on blank test documents (0.0% hallucination rate).</w:t>
      </w:r>
    </w:p>
    <w:p>
      <w:pPr>
        <w:spacing w:before="200" w:after="60"/>
      </w:pPr>
      <w:r>
        <w:rPr>
          <w:rFonts w:ascii="Calibri" w:hAnsi="Calibri"/>
          <w:b/>
          <w:color w:val="0060A9"/>
          <w:sz w:val="22"/>
        </w:rPr>
        <w:t>6.5  Dataset Statistics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2592"/>
            <w:shd w:fill="003A70" w:val="clear"/>
          </w:tcPr>
          <w:p>
            <w:pPr>
              <w:jc w:val="center"/>
            </w:pPr>
            <w:r>
              <w:rPr>
                <w:rFonts w:ascii="Calibri" w:hAnsi="Calibri"/>
                <w:b/>
                <w:color w:val="FFFFFF"/>
                <w:sz w:val="19"/>
              </w:rPr>
              <w:t>Split</w:t>
            </w:r>
          </w:p>
        </w:tc>
        <w:tc>
          <w:tcPr>
            <w:tcW w:type="dxa" w:w="1728"/>
            <w:shd w:fill="003A70" w:val="clear"/>
          </w:tcPr>
          <w:p>
            <w:pPr>
              <w:jc w:val="center"/>
            </w:pPr>
            <w:r>
              <w:rPr>
                <w:rFonts w:ascii="Calibri" w:hAnsi="Calibri"/>
                <w:b/>
                <w:color w:val="FFFFFF"/>
                <w:sz w:val="19"/>
              </w:rPr>
              <w:t>Pages</w:t>
            </w:r>
          </w:p>
        </w:tc>
        <w:tc>
          <w:tcPr>
            <w:tcW w:type="dxa" w:w="1728"/>
            <w:shd w:fill="003A70" w:val="clear"/>
          </w:tcPr>
          <w:p>
            <w:pPr>
              <w:jc w:val="center"/>
            </w:pPr>
            <w:r>
              <w:rPr>
                <w:rFonts w:ascii="Calibri" w:hAnsi="Calibri"/>
                <w:b/>
                <w:color w:val="FFFFFF"/>
                <w:sz w:val="19"/>
              </w:rPr>
              <w:t>Packets</w:t>
            </w:r>
          </w:p>
        </w:tc>
        <w:tc>
          <w:tcPr>
            <w:tcW w:type="dxa" w:w="1728"/>
            <w:shd w:fill="003A70" w:val="clear"/>
          </w:tcPr>
          <w:p>
            <w:pPr>
              <w:jc w:val="center"/>
            </w:pPr>
            <w:r>
              <w:rPr>
                <w:rFonts w:ascii="Calibri" w:hAnsi="Calibri"/>
                <w:b/>
                <w:color w:val="FFFFFF"/>
                <w:sz w:val="19"/>
              </w:rPr>
              <w:t>Classes</w:t>
            </w:r>
          </w:p>
        </w:tc>
        <w:tc>
          <w:tcPr>
            <w:tcW w:type="dxa" w:w="2160"/>
            <w:shd w:fill="003A70" w:val="clear"/>
          </w:tcPr>
          <w:p>
            <w:pPr>
              <w:jc w:val="center"/>
            </w:pPr>
            <w:r>
              <w:rPr>
                <w:rFonts w:ascii="Calibri" w:hAnsi="Calibri"/>
                <w:b/>
                <w:color w:val="FFFFFF"/>
                <w:sz w:val="19"/>
              </w:rPr>
              <w:t>Blank Pages</w:t>
            </w:r>
          </w:p>
        </w:tc>
      </w:tr>
      <w:tr>
        <w:tc>
          <w:tcPr>
            <w:tcW w:type="dxa" w:w="2592"/>
            <w:shd w:fill="EAF2FB" w:val="clear"/>
          </w:tcPr>
          <w:p>
            <w:pPr>
              <w:jc w:val="left"/>
            </w:pPr>
            <w:r>
              <w:rPr>
                <w:rFonts w:ascii="Calibri" w:hAnsi="Calibri"/>
                <w:sz w:val="19"/>
              </w:rPr>
              <w:t>Training</w:t>
            </w:r>
          </w:p>
        </w:tc>
        <w:tc>
          <w:tcPr>
            <w:tcW w:type="dxa" w:w="1728"/>
            <w:shd w:fill="EAF2FB" w:val="clear"/>
          </w:tcPr>
          <w:p>
            <w:pPr>
              <w:jc w:val="center"/>
            </w:pPr>
            <w:r>
              <w:rPr>
                <w:rFonts w:ascii="Calibri" w:hAnsi="Calibri"/>
                <w:sz w:val="19"/>
              </w:rPr>
              <w:t>~8,400</w:t>
            </w:r>
          </w:p>
        </w:tc>
        <w:tc>
          <w:tcPr>
            <w:tcW w:type="dxa" w:w="1728"/>
            <w:shd w:fill="EAF2FB" w:val="clear"/>
          </w:tcPr>
          <w:p>
            <w:pPr>
              <w:jc w:val="center"/>
            </w:pPr>
            <w:r>
              <w:rPr>
                <w:rFonts w:ascii="Calibri" w:hAnsi="Calibri"/>
                <w:sz w:val="19"/>
              </w:rPr>
              <w:t>~1,050</w:t>
            </w:r>
          </w:p>
        </w:tc>
        <w:tc>
          <w:tcPr>
            <w:tcW w:type="dxa" w:w="1728"/>
            <w:shd w:fill="EAF2FB" w:val="clear"/>
          </w:tcPr>
          <w:p>
            <w:pPr>
              <w:jc w:val="center"/>
            </w:pPr>
            <w:r>
              <w:rPr>
                <w:rFonts w:ascii="Calibri" w:hAnsi="Calibri"/>
                <w:sz w:val="19"/>
              </w:rPr>
              <w:t>All 12</w:t>
            </w:r>
          </w:p>
        </w:tc>
        <w:tc>
          <w:tcPr>
            <w:tcW w:type="dxa" w:w="2160"/>
            <w:shd w:fill="EAF2FB" w:val="clear"/>
          </w:tcPr>
          <w:p>
            <w:pPr>
              <w:jc w:val="center"/>
            </w:pPr>
            <w:r>
              <w:rPr>
                <w:rFonts w:ascii="Calibri" w:hAnsi="Calibri"/>
                <w:sz w:val="19"/>
              </w:rPr>
              <w:t>~800</w:t>
            </w:r>
          </w:p>
        </w:tc>
      </w:tr>
      <w:tr>
        <w:tc>
          <w:tcPr>
            <w:tcW w:type="dxa" w:w="2592"/>
            <w:shd w:fill="FFFFFF" w:val="clear"/>
          </w:tcPr>
          <w:p>
            <w:pPr>
              <w:jc w:val="left"/>
            </w:pPr>
            <w:r>
              <w:rPr>
                <w:rFonts w:ascii="Calibri" w:hAnsi="Calibri"/>
                <w:sz w:val="19"/>
              </w:rPr>
              <w:t>Validation</w:t>
            </w:r>
          </w:p>
        </w:tc>
        <w:tc>
          <w:tcPr>
            <w:tcW w:type="dxa" w:w="1728"/>
            <w:shd w:fill="FFFFFF" w:val="clear"/>
          </w:tcPr>
          <w:p>
            <w:pPr>
              <w:jc w:val="center"/>
            </w:pPr>
            <w:r>
              <w:rPr>
                <w:rFonts w:ascii="Calibri" w:hAnsi="Calibri"/>
                <w:sz w:val="19"/>
              </w:rPr>
              <w:t>~1,680</w:t>
            </w:r>
          </w:p>
        </w:tc>
        <w:tc>
          <w:tcPr>
            <w:tcW w:type="dxa" w:w="1728"/>
            <w:shd w:fill="FFFFFF" w:val="clear"/>
          </w:tcPr>
          <w:p>
            <w:pPr>
              <w:jc w:val="center"/>
            </w:pPr>
            <w:r>
              <w:rPr>
                <w:rFonts w:ascii="Calibri" w:hAnsi="Calibri"/>
                <w:sz w:val="19"/>
              </w:rPr>
              <w:t>~210</w:t>
            </w:r>
          </w:p>
        </w:tc>
        <w:tc>
          <w:tcPr>
            <w:tcW w:type="dxa" w:w="1728"/>
            <w:shd w:fill="FFFFFF" w:val="clear"/>
          </w:tcPr>
          <w:p>
            <w:pPr>
              <w:jc w:val="center"/>
            </w:pPr>
            <w:r>
              <w:rPr>
                <w:rFonts w:ascii="Calibri" w:hAnsi="Calibri"/>
                <w:sz w:val="19"/>
              </w:rPr>
              <w:t>All 12</w:t>
            </w:r>
          </w:p>
        </w:tc>
        <w:tc>
          <w:tcPr>
            <w:tcW w:type="dxa" w:w="2160"/>
            <w:shd w:fill="FFFFFF" w:val="clear"/>
          </w:tcPr>
          <w:p>
            <w:pPr>
              <w:jc w:val="center"/>
            </w:pPr>
            <w:r>
              <w:rPr>
                <w:rFonts w:ascii="Calibri" w:hAnsi="Calibri"/>
                <w:sz w:val="19"/>
              </w:rPr>
              <w:t>~160</w:t>
            </w:r>
          </w:p>
        </w:tc>
      </w:tr>
      <w:tr>
        <w:tc>
          <w:tcPr>
            <w:tcW w:type="dxa" w:w="2592"/>
            <w:shd w:fill="EAF2FB" w:val="clear"/>
          </w:tcPr>
          <w:p>
            <w:pPr>
              <w:jc w:val="left"/>
            </w:pPr>
            <w:r>
              <w:rPr>
                <w:rFonts w:ascii="Calibri" w:hAnsi="Calibri"/>
                <w:sz w:val="19"/>
              </w:rPr>
              <w:t>Test (curated)</w:t>
            </w:r>
          </w:p>
        </w:tc>
        <w:tc>
          <w:tcPr>
            <w:tcW w:type="dxa" w:w="1728"/>
            <w:shd w:fill="EAF2FB" w:val="clear"/>
          </w:tcPr>
          <w:p>
            <w:pPr>
              <w:jc w:val="center"/>
            </w:pPr>
            <w:r>
              <w:rPr>
                <w:rFonts w:ascii="Calibri" w:hAnsi="Calibri"/>
                <w:sz w:val="19"/>
              </w:rPr>
              <w:t>2,371</w:t>
            </w:r>
          </w:p>
        </w:tc>
        <w:tc>
          <w:tcPr>
            <w:tcW w:type="dxa" w:w="1728"/>
            <w:shd w:fill="EAF2FB" w:val="clear"/>
          </w:tcPr>
          <w:p>
            <w:pPr>
              <w:jc w:val="center"/>
            </w:pPr>
            <w:r>
              <w:rPr>
                <w:rFonts w:ascii="Calibri" w:hAnsi="Calibri"/>
                <w:sz w:val="19"/>
              </w:rPr>
              <w:t>466</w:t>
            </w:r>
          </w:p>
        </w:tc>
        <w:tc>
          <w:tcPr>
            <w:tcW w:type="dxa" w:w="1728"/>
            <w:shd w:fill="EAF2FB" w:val="clear"/>
          </w:tcPr>
          <w:p>
            <w:pPr>
              <w:jc w:val="center"/>
            </w:pPr>
            <w:r>
              <w:rPr>
                <w:rFonts w:ascii="Calibri" w:hAnsi="Calibri"/>
                <w:sz w:val="19"/>
              </w:rPr>
              <w:t>All 12</w:t>
            </w:r>
          </w:p>
        </w:tc>
        <w:tc>
          <w:tcPr>
            <w:tcW w:type="dxa" w:w="2160"/>
            <w:shd w:fill="EAF2FB" w:val="clear"/>
          </w:tcPr>
          <w:p>
            <w:pPr>
              <w:jc w:val="center"/>
            </w:pPr>
            <w:r>
              <w:rPr>
                <w:rFonts w:ascii="Calibri" w:hAnsi="Calibri"/>
                <w:sz w:val="19"/>
              </w:rPr>
              <w:t>64</w:t>
            </w:r>
          </w:p>
        </w:tc>
      </w:tr>
    </w:tbl>
    <w:p>
      <w:pPr>
        <w:spacing w:before="60" w:after="200"/>
        <w:jc w:val="center"/>
      </w:pPr>
      <w:r>
        <w:rPr>
          <w:rFonts w:ascii="Calibri" w:hAnsi="Calibri"/>
          <w:i/>
          <w:color w:val="505050"/>
          <w:sz w:val="19"/>
        </w:rPr>
        <w:t>Table 3. Dataset statistics. Test set curated for complete-packet coverage (see §6.7).</w:t>
      </w:r>
    </w:p>
    <w:p>
      <w:pPr>
        <w:spacing w:before="200" w:after="60"/>
      </w:pPr>
      <w:r>
        <w:rPr>
          <w:rFonts w:ascii="Calibri" w:hAnsi="Calibri"/>
          <w:b/>
          <w:color w:val="0060A9"/>
          <w:sz w:val="22"/>
        </w:rPr>
        <w:t>6.6  Iterative Data Quality: Challenges and Corrections</w:t>
      </w:r>
    </w:p>
    <w:p>
      <w:pPr>
        <w:spacing w:before="0" w:after="100"/>
        <w:jc w:val="both"/>
      </w:pPr>
      <w:r>
        <w:rPr>
          <w:rFonts w:ascii="Calibri" w:hAnsi="Calibri"/>
          <w:color w:val="1E1E1E"/>
          <w:sz w:val="21"/>
        </w:rPr>
        <w:t>Producing synthetic data that trains a reliable model is substantially harder than producing data that appears visually correct. Our dataset underwent multiple major iterations, each driven by a concrete failure mode in model evaluation. We document these iterations as reusable lessons for practitioners building domain-specific document datasets.</w:t>
      </w:r>
    </w:p>
    <w:p>
      <w:pPr>
        <w:spacing w:before="160" w:after="40"/>
      </w:pPr>
      <w:r>
        <w:rPr>
          <w:rFonts w:ascii="Calibri" w:hAnsi="Calibri"/>
          <w:b/>
          <w:i/>
          <w:color w:val="323232"/>
          <w:sz w:val="22"/>
        </w:rPr>
        <w:t>Annotation Key Mismatches (FIELD_MAP Errors)</w:t>
      </w:r>
    </w:p>
    <w:p>
      <w:pPr>
        <w:spacing w:before="0" w:after="100"/>
        <w:jc w:val="both"/>
      </w:pPr>
      <w:r>
        <w:rPr>
          <w:rFonts w:ascii="Calibri" w:hAnsi="Calibri"/>
          <w:color w:val="1E1E1E"/>
          <w:sz w:val="21"/>
        </w:rPr>
        <w:t>The most consequential quality issue was the mapping between universal field names and the JSON keys used in annotation files. Initial mappings were constructed from document class documentation, not from auditing actual annotation files, under the assumption that field naming was consistent. In practice, the same semantic field appeared under different keys depending on document subtype and template source: the port of destination appeared as 'pod', 'port_of_discharge', 'destination_airport', or 'airport_destination' across different classes; validity dates were mapped to None for several classes that clearly contained them. Model evaluation showed near-zero F1 on fields that were visually prominent in documents — diagnosis revealed the training labels for those fields were null throughout due to wrong key lookups. A complete field-by-field audit of all 12 document classes against actual annotation files discovered 15+ incorrect mappings. Correcting these produced the largest single improvement across all iterations, with validity field F1 jumping from 26% to 100%.</w:t>
      </w:r>
    </w:p>
    <w:p>
      <w:pPr>
        <w:spacing w:before="160" w:after="40"/>
      </w:pPr>
      <w:r>
        <w:rPr>
          <w:rFonts w:ascii="Calibri" w:hAnsi="Calibri"/>
          <w:b/>
          <w:i/>
          <w:color w:val="323232"/>
          <w:sz w:val="22"/>
        </w:rPr>
        <w:t>Field Presence Rate Calibration</w:t>
      </w:r>
    </w:p>
    <w:p>
      <w:pPr>
        <w:spacing w:before="0" w:after="100"/>
        <w:jc w:val="both"/>
      </w:pPr>
      <w:r>
        <w:rPr>
          <w:rFonts w:ascii="Calibri" w:hAnsi="Calibri"/>
          <w:color w:val="1E1E1E"/>
          <w:sz w:val="21"/>
        </w:rPr>
        <w:t>Initial generators set all 11 fields as always-present to maximise training signal. In real freight documents, many fields are optional or class-conditional: a Cargo Manifest rarely carries a shipper name at the top level; a Certificate of Origin does not have a document number in the conventional sense; a Power of Attorney has no consignee. The model trained on always-present data defaulted to hallucinating values for absent fields rather than outputting null. Multiple rounds of annotation analysis were required to calibrate field presence rates per class, introducing null labels proportional to their actual absence frequency in real documents.</w:t>
      </w:r>
    </w:p>
    <w:p>
      <w:pPr>
        <w:spacing w:before="160" w:after="40"/>
      </w:pPr>
      <w:r>
        <w:rPr>
          <w:rFonts w:ascii="Calibri" w:hAnsi="Calibri"/>
          <w:b/>
          <w:i/>
          <w:color w:val="323232"/>
          <w:sz w:val="22"/>
        </w:rPr>
        <w:t>Weight Field Exclusion via Schema Iteration</w:t>
      </w:r>
    </w:p>
    <w:p>
      <w:pPr>
        <w:spacing w:before="0" w:after="100"/>
        <w:jc w:val="both"/>
      </w:pPr>
      <w:r>
        <w:rPr>
          <w:rFonts w:ascii="Calibri" w:hAnsi="Calibri"/>
          <w:color w:val="1E1E1E"/>
          <w:sz w:val="21"/>
        </w:rPr>
        <w:t>An initial schema included three weight fields: gross weight, net weight, and total weight. Multiple training cycles showed consistently poor extraction quality despite the fields being visually prominent: the model would extract values with wrong units (kg vs. lbs vs. MT), wrong granularity (per-item vs. total), and wrong document location (line-item weight vs. summary weight). Root cause analysis revealed a schema design flaw: the same field name 'gross weight' maps to structurally different data across classes — per-package weight on a Packing List, total shipment weight on a Commercial Invoice, and container gross mass with regulatory IMO significance on a VGM. No single extraction instruction could handle all variants correctly. The schema was revised to exclude weight fields, and extraction quality on the remaining 11 fields improved immediately.</w:t>
      </w:r>
    </w:p>
    <w:p>
      <w:pPr>
        <w:spacing w:before="160" w:after="40"/>
      </w:pPr>
      <w:r>
        <w:rPr>
          <w:rFonts w:ascii="Calibri" w:hAnsi="Calibri"/>
          <w:b/>
          <w:i/>
          <w:color w:val="323232"/>
          <w:sz w:val="22"/>
        </w:rPr>
        <w:t>Date Format Diversity</w:t>
      </w:r>
    </w:p>
    <w:p>
      <w:pPr>
        <w:spacing w:before="0" w:after="100"/>
        <w:jc w:val="both"/>
      </w:pPr>
      <w:r>
        <w:rPr>
          <w:rFonts w:ascii="Calibri" w:hAnsi="Calibri"/>
          <w:color w:val="1E1E1E"/>
          <w:sz w:val="21"/>
        </w:rPr>
        <w:t>Date fields showed the most severe zero-shot failure (F1: 0.2%) and the largest fine-tuning gain (F1: 99.2%). Initial generators produced dates in a single ISO format per class. Real freight documents use at least six distinct date formats depending on origin country and document type: DD/MM/YYYY (European), MM/DD/YYYY (North American), DD-MMM-YYYY ('15-APR-2024'), written months ('April 15, 2024'), Julian dates, and two-digit years. The model trained on uniform formats failed to extract dates in any other format. Fixing required adding format diversity to every date-generating class, proportional to the frequency of each format in real document samples.</w:t>
      </w:r>
    </w:p>
    <w:p>
      <w:pPr>
        <w:spacing w:before="160" w:after="40"/>
      </w:pPr>
      <w:r>
        <w:rPr>
          <w:rFonts w:ascii="Calibri" w:hAnsi="Calibri"/>
          <w:b/>
          <w:i/>
          <w:color w:val="323232"/>
          <w:sz w:val="22"/>
        </w:rPr>
        <w:t>Multi-Page Bundle Composition and START/CONTINUATION Balance</w:t>
      </w:r>
    </w:p>
    <w:p>
      <w:pPr>
        <w:spacing w:before="0" w:after="100"/>
        <w:jc w:val="both"/>
      </w:pPr>
      <w:r>
        <w:rPr>
          <w:rFonts w:ascii="Calibri" w:hAnsi="Calibri"/>
          <w:color w:val="1E1E1E"/>
          <w:sz w:val="21"/>
        </w:rPr>
        <w:t>Early packet generation produced unrealistically uniform bundles with random class combinations and mostly 2-3 documents per packet. In real freight forwarding, document combinations are systematically co-occurring: commercial shipments bundle Commercial Invoice + Packing List + Bill of Lading; controlled goods shipments add Import/Export License and Certificate of Origin. Analysis of the initial dataset revealed a START/CONTINUATION ratio of 72%/28% — reflecting short bundles with few multi-page documents. Training on this imbalanced distribution caused the model to strongly prefer START predictions, yielding superficially acceptable Position Accuracy but near-random bundle splitting (Split IoU). Corrections required both longer bundle generation (8-12 documents per packet) and explicit CONTINUATION oversampling (2x) during training. Only after this correction did Split IoU converge to meaningful values during training.</w:t>
      </w:r>
    </w:p>
    <w:p>
      <w:pPr>
        <w:spacing w:before="160" w:after="40"/>
      </w:pPr>
      <w:r>
        <w:rPr>
          <w:rFonts w:ascii="Calibri" w:hAnsi="Calibri"/>
          <w:b/>
          <w:i/>
          <w:color w:val="323232"/>
          <w:sz w:val="22"/>
        </w:rPr>
        <w:t>SME Validation and Semantic Correctness</w:t>
      </w:r>
    </w:p>
    <w:p>
      <w:pPr>
        <w:spacing w:before="0" w:after="100"/>
        <w:jc w:val="both"/>
      </w:pPr>
      <w:r>
        <w:rPr>
          <w:rFonts w:ascii="Calibri" w:hAnsi="Calibri"/>
          <w:color w:val="1E1E1E"/>
          <w:sz w:val="21"/>
        </w:rPr>
        <w:t>Several quality issues were invisible to automated metrics but identified through subject matter expert review: certificate of origin issuing bodies that did not match the declaring country; airway bill routing codes that were syntactically valid IATA codes but geographically inconsistent with origin/destination fields; license numbers following wrong formats for the stated issuing authority; commodity descriptions generic enough to be plausible but not realistic under the stated HS codes. Each issue required a cycle of SME identification, generator correction, dataset regeneration, model retraining, and evaluation confirmation. The key lesson: for domain-specific datasets, automated quality metrics are necessary but not sufficient. Domain expert review of both generated documents and annotation labels is essential, particularly for fields with constrained value domains where a model can learn syntactically valid but semantically incorrect patterns.</w:t>
      </w:r>
    </w:p>
    <w:p>
      <w:pPr>
        <w:spacing w:before="200" w:after="60"/>
      </w:pPr>
      <w:r>
        <w:rPr>
          <w:rFonts w:ascii="Calibri" w:hAnsi="Calibri"/>
          <w:b/>
          <w:color w:val="0060A9"/>
          <w:sz w:val="22"/>
        </w:rPr>
        <w:t>6.7  Test Set Curation</w:t>
      </w:r>
    </w:p>
    <w:p>
      <w:pPr>
        <w:spacing w:before="0" w:after="100"/>
        <w:jc w:val="both"/>
      </w:pPr>
      <w:r>
        <w:rPr>
          <w:rFonts w:ascii="Calibri" w:hAnsi="Calibri"/>
          <w:color w:val="1E1E1E"/>
          <w:sz w:val="21"/>
        </w:rPr>
        <w:t>The evaluation test set was curated from the full held-out test.jsonl to ensure evaluation validity. Standard random page sampling produces incomplete packet coverage, making Split IoU unreliable — a packet sampled at 30% completion cannot yield a meaningful boundary Jaccard score. Curation procedure: (1) complete packets preserved; (2) 6+ page packets weighted 4x to ensure challenging splitting cases dominate evaluation; (3) minimum 15 complete packets per class; (4) all 41 blank template packets included. Final test set: 2,371 pages across 466 packets (163 single-page, 2,144 multi-page bundle, 64 blank).</w:t>
      </w:r>
    </w:p>
    <w:p>
      <w:pPr>
        <w:spacing w:before="320" w:after="80"/>
        <w:pBdr>
          <w:bottom w:val="single" w:sz="6" w:space="1" w:color="003A70"/>
        </w:pBdr>
      </w:pPr>
      <w:r>
        <w:rPr>
          <w:rFonts w:ascii="Calibri" w:hAnsi="Calibri"/>
          <w:b/>
          <w:color w:val="003A70"/>
          <w:sz w:val="24"/>
        </w:rPr>
        <w:t>7.  METHODOLOGY</w:t>
      </w:r>
    </w:p>
    <w:p>
      <w:pPr>
        <w:spacing w:before="200" w:after="60"/>
      </w:pPr>
      <w:r>
        <w:rPr>
          <w:rFonts w:ascii="Calibri" w:hAnsi="Calibri"/>
          <w:b/>
          <w:color w:val="0060A9"/>
          <w:sz w:val="22"/>
        </w:rPr>
        <w:t>7.1  Base Model: Qwen2.5-VL-3B-Instruct</w:t>
      </w:r>
    </w:p>
    <w:p>
      <w:pPr>
        <w:spacing w:before="0" w:after="100"/>
        <w:jc w:val="both"/>
      </w:pPr>
      <w:r>
        <w:rPr>
          <w:rFonts w:ascii="Calibri" w:hAnsi="Calibri"/>
          <w:color w:val="1E1E1E"/>
          <w:sz w:val="21"/>
        </w:rPr>
        <w:t>We select Qwen2.5-VL-3B-Instruct as our base model for three reasons: (1) the 3B parameter count fits within 16 GB VRAM enabling training on a consumer GPU; (2) it achieves 80.6% zero-shot classification accuracy on our domain, providing a strong initialisation; (3) its Naive Dynamic Resolution mechanism and Multi-modal Rotary Position Embedding (MRoPE) enable accurate spatial reasoning over variable-resolution document layouts without fixed-size preprocessing.</w:t>
      </w:r>
    </w:p>
    <w:p>
      <w:pPr>
        <w:spacing w:before="0" w:after="100"/>
        <w:jc w:val="both"/>
      </w:pPr>
      <w:r>
        <w:rPr>
          <w:rFonts w:ascii="Calibri" w:hAnsi="Calibri"/>
          <w:color w:val="1E1E1E"/>
          <w:sz w:val="21"/>
        </w:rPr>
        <w:t>Architecturally, Qwen2.5-VL couples a ViT vision encoder (14x14 pixel patches merged 2x2 into effective 28x28 patch stride) with a Qwen language model decoder. The vision encoder produces (H/28)x(W/28) visual tokens, concatenated with text tokens and processed by the language model. This design means image dimensions must be exact multiples of 28 — a constraint with non-obvious training consequences (see Section 9.1).</w:t>
      </w:r>
    </w:p>
    <w:p>
      <w:pPr>
        <w:spacing w:before="200" w:after="60"/>
      </w:pPr>
      <w:r>
        <w:rPr>
          <w:rFonts w:ascii="Calibri" w:hAnsi="Calibri"/>
          <w:b/>
          <w:color w:val="0060A9"/>
          <w:sz w:val="22"/>
        </w:rPr>
        <w:t>7.2  QLoRA Fine-Tuning</w:t>
      </w:r>
    </w:p>
    <w:p>
      <w:pPr>
        <w:spacing w:before="0" w:after="100"/>
        <w:jc w:val="both"/>
      </w:pPr>
      <w:r>
        <w:rPr>
          <w:rFonts w:ascii="Calibri" w:hAnsi="Calibri"/>
          <w:color w:val="1E1E1E"/>
          <w:sz w:val="21"/>
        </w:rPr>
        <w:t>We apply QLoRA [12] with the base model loaded in 4-bit NF4 quantisation. LoRA adapter matrices are inserted into seven projection layers: {q_proj, k_proj, v_proj, o_proj} (attention) and {gate_proj, up_proj, down_proj} (feed-forward network). Configuration: rank r=32, alpha=32 (scale=1.0), dropout=0.0 (required for Unsloth kernel compatibility). This yields approximately 24M trainable parameters — ~0.6% of the 3.8B total.</w:t>
      </w:r>
    </w:p>
    <w:p>
      <w:pPr>
        <w:spacing w:before="200" w:after="60"/>
      </w:pPr>
      <w:r>
        <w:rPr>
          <w:rFonts w:ascii="Calibri" w:hAnsi="Calibri"/>
          <w:b/>
          <w:color w:val="0060A9"/>
          <w:sz w:val="22"/>
        </w:rPr>
        <w:t>7.3  Training Configuration</w:t>
      </w:r>
    </w:p>
    <w:tbl>
      <w:tblPr>
        <w:tblStyle w:val="TableGrid"/>
        <w:tblW w:type="auto" w:w="0"/>
        <w:jc w:val="center"/>
        <w:tblLook w:firstColumn="1" w:firstRow="1" w:lastColumn="0" w:lastRow="0" w:noHBand="0" w:noVBand="1" w:val="04A0"/>
      </w:tblPr>
      <w:tblGrid>
        <w:gridCol w:w="2928"/>
        <w:gridCol w:w="2928"/>
        <w:gridCol w:w="2928"/>
      </w:tblGrid>
      <w:tr>
        <w:tc>
          <w:tcPr>
            <w:tcW w:type="dxa" w:w="3168"/>
            <w:shd w:fill="003A70" w:val="clear"/>
          </w:tcPr>
          <w:p>
            <w:pPr>
              <w:jc w:val="center"/>
            </w:pPr>
            <w:r>
              <w:rPr>
                <w:rFonts w:ascii="Calibri" w:hAnsi="Calibri"/>
                <w:b/>
                <w:color w:val="FFFFFF"/>
                <w:sz w:val="19"/>
              </w:rPr>
              <w:t>Hyperparameter</w:t>
            </w:r>
          </w:p>
        </w:tc>
        <w:tc>
          <w:tcPr>
            <w:tcW w:type="dxa" w:w="2880"/>
            <w:shd w:fill="003A70" w:val="clear"/>
          </w:tcPr>
          <w:p>
            <w:pPr>
              <w:jc w:val="center"/>
            </w:pPr>
            <w:r>
              <w:rPr>
                <w:rFonts w:ascii="Calibri" w:hAnsi="Calibri"/>
                <w:b/>
                <w:color w:val="FFFFFF"/>
                <w:sz w:val="19"/>
              </w:rPr>
              <w:t>Value</w:t>
            </w:r>
          </w:p>
        </w:tc>
        <w:tc>
          <w:tcPr>
            <w:tcW w:type="dxa" w:w="3168"/>
            <w:shd w:fill="003A70" w:val="clear"/>
          </w:tcPr>
          <w:p>
            <w:pPr>
              <w:jc w:val="center"/>
            </w:pPr>
            <w:r>
              <w:rPr>
                <w:rFonts w:ascii="Calibri" w:hAnsi="Calibri"/>
                <w:b/>
                <w:color w:val="FFFFFF"/>
                <w:sz w:val="19"/>
              </w:rPr>
              <w:t>Rationale</w:t>
            </w:r>
          </w:p>
        </w:tc>
      </w:tr>
      <w:tr>
        <w:tc>
          <w:tcPr>
            <w:tcW w:type="dxa" w:w="3168"/>
            <w:shd w:fill="EAF2FB" w:val="clear"/>
          </w:tcPr>
          <w:p>
            <w:pPr>
              <w:jc w:val="left"/>
            </w:pPr>
            <w:r>
              <w:rPr>
                <w:rFonts w:ascii="Calibri" w:hAnsi="Calibri"/>
                <w:sz w:val="19"/>
              </w:rPr>
              <w:t>Effective batch size</w:t>
            </w:r>
          </w:p>
        </w:tc>
        <w:tc>
          <w:tcPr>
            <w:tcW w:type="dxa" w:w="2880"/>
            <w:shd w:fill="EAF2FB" w:val="clear"/>
          </w:tcPr>
          <w:p>
            <w:pPr>
              <w:jc w:val="center"/>
            </w:pPr>
            <w:r>
              <w:rPr>
                <w:rFonts w:ascii="Calibri" w:hAnsi="Calibri"/>
                <w:sz w:val="19"/>
              </w:rPr>
              <w:t>18 (1 x 18 accum)</w:t>
            </w:r>
          </w:p>
        </w:tc>
        <w:tc>
          <w:tcPr>
            <w:tcW w:type="dxa" w:w="3168"/>
            <w:shd w:fill="EAF2FB" w:val="clear"/>
          </w:tcPr>
          <w:p>
            <w:pPr>
              <w:jc w:val="center"/>
            </w:pPr>
            <w:r>
              <w:rPr>
                <w:rFonts w:ascii="Calibri" w:hAnsi="Calibri"/>
                <w:sz w:val="19"/>
              </w:rPr>
              <w:t>batch=1 eliminates image-token mismatch crashes</w:t>
            </w:r>
          </w:p>
        </w:tc>
      </w:tr>
      <w:tr>
        <w:tc>
          <w:tcPr>
            <w:tcW w:type="dxa" w:w="3168"/>
            <w:shd w:fill="FFFFFF" w:val="clear"/>
          </w:tcPr>
          <w:p>
            <w:pPr>
              <w:jc w:val="left"/>
            </w:pPr>
            <w:r>
              <w:rPr>
                <w:rFonts w:ascii="Calibri" w:hAnsi="Calibri"/>
                <w:sz w:val="19"/>
              </w:rPr>
              <w:t>Learning rate</w:t>
            </w:r>
          </w:p>
        </w:tc>
        <w:tc>
          <w:tcPr>
            <w:tcW w:type="dxa" w:w="2880"/>
            <w:shd w:fill="FFFFFF" w:val="clear"/>
          </w:tcPr>
          <w:p>
            <w:pPr>
              <w:jc w:val="center"/>
            </w:pPr>
            <w:r>
              <w:rPr>
                <w:rFonts w:ascii="Calibri" w:hAnsi="Calibri"/>
                <w:sz w:val="19"/>
              </w:rPr>
              <w:t>2e-4, cosine decay</w:t>
            </w:r>
          </w:p>
        </w:tc>
        <w:tc>
          <w:tcPr>
            <w:tcW w:type="dxa" w:w="3168"/>
            <w:shd w:fill="FFFFFF" w:val="clear"/>
          </w:tcPr>
          <w:p>
            <w:pPr>
              <w:jc w:val="center"/>
            </w:pPr>
            <w:r>
              <w:rPr>
                <w:rFonts w:ascii="Calibri" w:hAnsi="Calibri"/>
                <w:sz w:val="19"/>
              </w:rPr>
              <w:t>Standard QLoRA LR; warmup_ratio=0.03</w:t>
            </w:r>
          </w:p>
        </w:tc>
      </w:tr>
      <w:tr>
        <w:tc>
          <w:tcPr>
            <w:tcW w:type="dxa" w:w="3168"/>
            <w:shd w:fill="EAF2FB" w:val="clear"/>
          </w:tcPr>
          <w:p>
            <w:pPr>
              <w:jc w:val="left"/>
            </w:pPr>
            <w:r>
              <w:rPr>
                <w:rFonts w:ascii="Calibri" w:hAnsi="Calibri"/>
                <w:sz w:val="19"/>
              </w:rPr>
              <w:t>Max sequence length</w:t>
            </w:r>
          </w:p>
        </w:tc>
        <w:tc>
          <w:tcPr>
            <w:tcW w:type="dxa" w:w="2880"/>
            <w:shd w:fill="EAF2FB" w:val="clear"/>
          </w:tcPr>
          <w:p>
            <w:pPr>
              <w:jc w:val="center"/>
            </w:pPr>
            <w:r>
              <w:rPr>
                <w:rFonts w:ascii="Calibri" w:hAnsi="Calibri"/>
                <w:sz w:val="19"/>
              </w:rPr>
              <w:t>2,048 tokens</w:t>
            </w:r>
          </w:p>
        </w:tc>
        <w:tc>
          <w:tcPr>
            <w:tcW w:type="dxa" w:w="3168"/>
            <w:shd w:fill="EAF2FB" w:val="clear"/>
          </w:tcPr>
          <w:p>
            <w:pPr>
              <w:jc w:val="center"/>
            </w:pPr>
            <w:r>
              <w:rPr>
                <w:rFonts w:ascii="Calibri" w:hAnsi="Calibri"/>
                <w:sz w:val="19"/>
              </w:rPr>
              <w:t>~1,300 image + ~250 prompt + ~150 answer tokens</w:t>
            </w:r>
          </w:p>
        </w:tc>
      </w:tr>
      <w:tr>
        <w:tc>
          <w:tcPr>
            <w:tcW w:type="dxa" w:w="3168"/>
            <w:shd w:fill="FFFFFF" w:val="clear"/>
          </w:tcPr>
          <w:p>
            <w:pPr>
              <w:jc w:val="left"/>
            </w:pPr>
            <w:r>
              <w:rPr>
                <w:rFonts w:ascii="Calibri" w:hAnsi="Calibri"/>
                <w:sz w:val="19"/>
              </w:rPr>
              <w:t>Max image resolution</w:t>
            </w:r>
          </w:p>
        </w:tc>
        <w:tc>
          <w:tcPr>
            <w:tcW w:type="dxa" w:w="2880"/>
            <w:shd w:fill="FFFFFF" w:val="clear"/>
          </w:tcPr>
          <w:p>
            <w:pPr>
              <w:jc w:val="center"/>
            </w:pPr>
            <w:r>
              <w:rPr>
                <w:rFonts w:ascii="Calibri" w:hAnsi="Calibri"/>
                <w:sz w:val="19"/>
              </w:rPr>
              <w:t>614,656 px (28-aligned)</w:t>
            </w:r>
          </w:p>
        </w:tc>
        <w:tc>
          <w:tcPr>
            <w:tcW w:type="dxa" w:w="3168"/>
            <w:shd w:fill="FFFFFF" w:val="clear"/>
          </w:tcPr>
          <w:p>
            <w:pPr>
              <w:jc w:val="center"/>
            </w:pPr>
            <w:r>
              <w:rPr>
                <w:rFonts w:ascii="Calibri" w:hAnsi="Calibri"/>
                <w:sz w:val="19"/>
              </w:rPr>
              <w:t>Strict 28-pixel grid; 784 visual tokens max</w:t>
            </w:r>
          </w:p>
        </w:tc>
      </w:tr>
      <w:tr>
        <w:tc>
          <w:tcPr>
            <w:tcW w:type="dxa" w:w="3168"/>
            <w:shd w:fill="EAF2FB" w:val="clear"/>
          </w:tcPr>
          <w:p>
            <w:pPr>
              <w:jc w:val="left"/>
            </w:pPr>
            <w:r>
              <w:rPr>
                <w:rFonts w:ascii="Calibri" w:hAnsi="Calibri"/>
                <w:sz w:val="19"/>
              </w:rPr>
              <w:t>Training epochs</w:t>
            </w:r>
          </w:p>
        </w:tc>
        <w:tc>
          <w:tcPr>
            <w:tcW w:type="dxa" w:w="2880"/>
            <w:shd w:fill="EAF2FB" w:val="clear"/>
          </w:tcPr>
          <w:p>
            <w:pPr>
              <w:jc w:val="center"/>
            </w:pPr>
            <w:r>
              <w:rPr>
                <w:rFonts w:ascii="Calibri" w:hAnsi="Calibri"/>
                <w:sz w:val="19"/>
              </w:rPr>
              <w:t>1</w:t>
            </w:r>
          </w:p>
        </w:tc>
        <w:tc>
          <w:tcPr>
            <w:tcW w:type="dxa" w:w="3168"/>
            <w:shd w:fill="EAF2FB" w:val="clear"/>
          </w:tcPr>
          <w:p>
            <w:pPr>
              <w:jc w:val="center"/>
            </w:pPr>
            <w:r>
              <w:rPr>
                <w:rFonts w:ascii="Calibri" w:hAnsi="Calibri"/>
                <w:sz w:val="19"/>
              </w:rPr>
              <w:t>Full convergence within one epoch</w:t>
            </w:r>
          </w:p>
        </w:tc>
      </w:tr>
      <w:tr>
        <w:tc>
          <w:tcPr>
            <w:tcW w:type="dxa" w:w="3168"/>
            <w:shd w:fill="FFFFFF" w:val="clear"/>
          </w:tcPr>
          <w:p>
            <w:pPr>
              <w:jc w:val="left"/>
            </w:pPr>
            <w:r>
              <w:rPr>
                <w:rFonts w:ascii="Calibri" w:hAnsi="Calibri"/>
                <w:sz w:val="19"/>
              </w:rPr>
              <w:t>Checkpoint interval</w:t>
            </w:r>
          </w:p>
        </w:tc>
        <w:tc>
          <w:tcPr>
            <w:tcW w:type="dxa" w:w="2880"/>
            <w:shd w:fill="FFFFFF" w:val="clear"/>
          </w:tcPr>
          <w:p>
            <w:pPr>
              <w:jc w:val="center"/>
            </w:pPr>
            <w:r>
              <w:rPr>
                <w:rFonts w:ascii="Calibri" w:hAnsi="Calibri"/>
                <w:sz w:val="19"/>
              </w:rPr>
              <w:t>Every 250 steps</w:t>
            </w:r>
          </w:p>
        </w:tc>
        <w:tc>
          <w:tcPr>
            <w:tcW w:type="dxa" w:w="3168"/>
            <w:shd w:fill="FFFFFF" w:val="clear"/>
          </w:tcPr>
          <w:p>
            <w:pPr>
              <w:jc w:val="center"/>
            </w:pPr>
            <w:r>
              <w:rPr>
                <w:rFonts w:ascii="Calibri" w:hAnsi="Calibri"/>
                <w:sz w:val="19"/>
              </w:rPr>
              <w:t>Enables comparison across training trajectory</w:t>
            </w:r>
          </w:p>
        </w:tc>
      </w:tr>
      <w:tr>
        <w:tc>
          <w:tcPr>
            <w:tcW w:type="dxa" w:w="3168"/>
            <w:shd w:fill="EAF2FB" w:val="clear"/>
          </w:tcPr>
          <w:p>
            <w:pPr>
              <w:jc w:val="left"/>
            </w:pPr>
            <w:r>
              <w:rPr>
                <w:rFonts w:ascii="Calibri" w:hAnsi="Calibri"/>
                <w:sz w:val="19"/>
              </w:rPr>
              <w:t>Hardware</w:t>
            </w:r>
          </w:p>
        </w:tc>
        <w:tc>
          <w:tcPr>
            <w:tcW w:type="dxa" w:w="2880"/>
            <w:shd w:fill="EAF2FB" w:val="clear"/>
          </w:tcPr>
          <w:p>
            <w:pPr>
              <w:jc w:val="center"/>
            </w:pPr>
            <w:r>
              <w:rPr>
                <w:rFonts w:ascii="Calibri" w:hAnsi="Calibri"/>
                <w:sz w:val="19"/>
              </w:rPr>
              <w:t>NVIDIA RTX 5080 16 GB</w:t>
            </w:r>
          </w:p>
        </w:tc>
        <w:tc>
          <w:tcPr>
            <w:tcW w:type="dxa" w:w="3168"/>
            <w:shd w:fill="EAF2FB" w:val="clear"/>
          </w:tcPr>
          <w:p>
            <w:pPr>
              <w:jc w:val="center"/>
            </w:pPr>
            <w:r>
              <w:rPr>
                <w:rFonts w:ascii="Calibri" w:hAnsi="Calibri"/>
                <w:sz w:val="19"/>
              </w:rPr>
              <w:t>Consumer GPU; validates accessibility</w:t>
            </w:r>
          </w:p>
        </w:tc>
      </w:tr>
      <w:tr>
        <w:tc>
          <w:tcPr>
            <w:tcW w:type="dxa" w:w="3168"/>
            <w:shd w:fill="FFFFFF" w:val="clear"/>
          </w:tcPr>
          <w:p>
            <w:pPr>
              <w:jc w:val="left"/>
            </w:pPr>
            <w:r>
              <w:rPr>
                <w:rFonts w:ascii="Calibri" w:hAnsi="Calibri"/>
                <w:sz w:val="19"/>
              </w:rPr>
              <w:t>Framework</w:t>
            </w:r>
          </w:p>
        </w:tc>
        <w:tc>
          <w:tcPr>
            <w:tcW w:type="dxa" w:w="2880"/>
            <w:shd w:fill="FFFFFF" w:val="clear"/>
          </w:tcPr>
          <w:p>
            <w:pPr>
              <w:jc w:val="center"/>
            </w:pPr>
            <w:r>
              <w:rPr>
                <w:rFonts w:ascii="Calibri" w:hAnsi="Calibri"/>
                <w:sz w:val="19"/>
              </w:rPr>
              <w:t>Unsloth + SFTTrainer</w:t>
            </w:r>
          </w:p>
        </w:tc>
        <w:tc>
          <w:tcPr>
            <w:tcW w:type="dxa" w:w="3168"/>
            <w:shd w:fill="FFFFFF" w:val="clear"/>
          </w:tcPr>
          <w:p>
            <w:pPr>
              <w:jc w:val="center"/>
            </w:pPr>
            <w:r>
              <w:rPr>
                <w:rFonts w:ascii="Calibri" w:hAnsi="Calibri"/>
                <w:sz w:val="19"/>
              </w:rPr>
              <w:t>~2x faster than standard HuggingFace training</w:t>
            </w:r>
          </w:p>
        </w:tc>
      </w:tr>
    </w:tbl>
    <w:p>
      <w:pPr>
        <w:spacing w:before="60" w:after="200"/>
        <w:jc w:val="center"/>
      </w:pPr>
      <w:r>
        <w:rPr>
          <w:rFonts w:ascii="Calibri" w:hAnsi="Calibri"/>
          <w:i/>
          <w:color w:val="505050"/>
          <w:sz w:val="19"/>
        </w:rPr>
        <w:t>Table 4. Training hyperparameters and design rationale.</w:t>
      </w:r>
    </w:p>
    <w:p>
      <w:pPr>
        <w:spacing w:before="200" w:after="60"/>
      </w:pPr>
      <w:r>
        <w:rPr>
          <w:rFonts w:ascii="Calibri" w:hAnsi="Calibri"/>
          <w:b/>
          <w:color w:val="0060A9"/>
          <w:sz w:val="22"/>
        </w:rPr>
        <w:t>7.4  Unified Inference Prompt</w:t>
      </w:r>
    </w:p>
    <w:p>
      <w:pPr>
        <w:spacing w:before="0" w:after="100"/>
        <w:jc w:val="both"/>
      </w:pPr>
      <w:r>
        <w:rPr>
          <w:rFonts w:ascii="Calibri" w:hAnsi="Calibri"/>
          <w:color w:val="1E1E1E"/>
          <w:sz w:val="21"/>
        </w:rPr>
        <w:t>A single prompt template handles all 12 document classes, both page positions, and all 11 fields. It encodes: (1) the previous page's classification as context for boundary detection; (2) conditional JSON schema for START vs. CONTINUATION outputs; (3) the full list of 12 valid class names; (4) explicit anti-hallucination rules requiring null output for any field not clearly visible on the page. The anti-hallucination instructions are necessary but not sufficient alone — blank-form training examples (Section 6.4) are required in conjunction for 0% hallucination rate.</w:t>
      </w:r>
    </w:p>
    <w:p>
      <w:pPr>
        <w:spacing w:before="200" w:after="60"/>
      </w:pPr>
      <w:r>
        <w:rPr>
          <w:rFonts w:ascii="Calibri" w:hAnsi="Calibri"/>
          <w:b/>
          <w:color w:val="0060A9"/>
          <w:sz w:val="22"/>
        </w:rPr>
        <w:t>7.5  Post-Training Weight Merging</w:t>
      </w:r>
    </w:p>
    <w:p>
      <w:pPr>
        <w:spacing w:before="0" w:after="100"/>
        <w:jc w:val="both"/>
      </w:pPr>
      <w:r>
        <w:rPr>
          <w:rFonts w:ascii="Calibri" w:hAnsi="Calibri"/>
          <w:color w:val="1E1E1E"/>
          <w:sz w:val="21"/>
        </w:rPr>
        <w:t>After training, LoRA adapter weights are merged into the base model weights via PEFT's merge_and_unload() to produce a standalone bfloat16 model (~6.5 GB). The merged model eliminates all adapter runtime overhead and loads as a standard HuggingFace model with no PEFT dependency. Merging is performed using plain PEFT + transformers without Unsloth to avoid a known Unsloth save bug when the base model originates from a local directory path.</w:t>
      </w:r>
    </w:p>
    <w:p>
      <w:pPr>
        <w:spacing w:before="200" w:after="60"/>
      </w:pPr>
      <w:r>
        <w:rPr>
          <w:rFonts w:ascii="Calibri" w:hAnsi="Calibri"/>
          <w:b/>
          <w:color w:val="0060A9"/>
          <w:sz w:val="22"/>
        </w:rPr>
        <w:t>7.6  Inference Pipeline Optimisation</w:t>
      </w:r>
    </w:p>
    <w:p>
      <w:pPr>
        <w:spacing w:before="0" w:after="100"/>
        <w:jc w:val="both"/>
      </w:pPr>
      <w:r>
        <w:rPr>
          <w:rFonts w:ascii="Calibri" w:hAnsi="Calibri"/>
          <w:color w:val="1E1E1E"/>
          <w:sz w:val="21"/>
        </w:rPr>
        <w:t>Deploying a VLM in document processing requires latency far below what naive inference delivers. We identify and address five distinct latency sources.</w:t>
      </w:r>
    </w:p>
    <w:p>
      <w:pPr>
        <w:spacing w:before="160" w:after="40"/>
      </w:pPr>
      <w:r>
        <w:rPr>
          <w:rFonts w:ascii="Calibri" w:hAnsi="Calibri"/>
          <w:b/>
          <w:i/>
          <w:color w:val="323232"/>
          <w:sz w:val="22"/>
        </w:rPr>
        <w:t>Model Persistence Across Requests</w:t>
      </w:r>
    </w:p>
    <w:p>
      <w:pPr>
        <w:spacing w:before="0" w:after="100"/>
        <w:jc w:val="both"/>
      </w:pPr>
      <w:r>
        <w:rPr>
          <w:rFonts w:ascii="Calibri" w:hAnsi="Calibri"/>
          <w:color w:val="1E1E1E"/>
          <w:sz w:val="21"/>
        </w:rPr>
        <w:t>The most impactful optimisation is architectural: loading the model once at application startup and serving all requests from the resident GPU model, rather than loading per document. Model loading for a 6.5 GB VLM requires reading weights from disk, initialising CUDA allocations, and constructing the model graph — approximately 30-40 seconds on NVMe storage. At ~5.4s per page, a 10-page document incurs 85% loading overhead if loaded per request. Persistent serving eliminates this entirely.</w:t>
      </w:r>
    </w:p>
    <w:p>
      <w:pPr>
        <w:spacing w:before="160" w:after="40"/>
      </w:pPr>
      <w:r>
        <w:rPr>
          <w:rFonts w:ascii="Calibri" w:hAnsi="Calibri"/>
          <w:b/>
          <w:i/>
          <w:color w:val="323232"/>
          <w:sz w:val="22"/>
        </w:rPr>
        <w:t>LoRA Merging for Zero Adapter Overhead</w:t>
      </w:r>
    </w:p>
    <w:p>
      <w:pPr>
        <w:spacing w:before="0" w:after="100"/>
        <w:jc w:val="both"/>
      </w:pPr>
      <w:r>
        <w:rPr>
          <w:rFonts w:ascii="Calibri" w:hAnsi="Calibri"/>
          <w:color w:val="1E1E1E"/>
          <w:sz w:val="21"/>
        </w:rPr>
        <w:t>Before merging, inference must apply LoRA adapter matrices at each of the 7 target projection layers per forward pass, plus PEFT framework dispatch overhead. Merging permanently bakes adapter weights into base model weights, reducing inference to a standard matrix multiplication with no adapter dispatch overhead. Combined with eliminating PEFT library loading (~2s), this reduces per-page latency by approximately 7-9%.</w:t>
      </w:r>
    </w:p>
    <w:p>
      <w:pPr>
        <w:spacing w:before="160" w:after="40"/>
      </w:pPr>
      <w:r>
        <w:rPr>
          <w:rFonts w:ascii="Calibri" w:hAnsi="Calibri"/>
          <w:b/>
          <w:i/>
          <w:color w:val="323232"/>
          <w:sz w:val="22"/>
        </w:rPr>
        <w:t>Visual Token Budget Reduction</w:t>
      </w:r>
    </w:p>
    <w:p>
      <w:pPr>
        <w:spacing w:before="0" w:after="100"/>
        <w:jc w:val="both"/>
      </w:pPr>
      <w:r>
        <w:rPr>
          <w:rFonts w:ascii="Calibri" w:hAnsi="Calibri"/>
          <w:color w:val="1E1E1E"/>
          <w:sz w:val="21"/>
        </w:rPr>
        <w:t>Visual tokens dominate sequence length in VLM inference: at unconstrained resolution, a 1024x1024 document image produces ~1,344 visual tokens representing 68% of total sequence length. Since attention complexity scales quadratically with sequence length, reducing visual tokens has an outsized impact. We constrain the maximum pixel budget to 384,000 pixels (equivalent to approximately 620x620 resolution), producing ~490 visual tokens — a 64% reduction. At this resolution, freight document text remains fully legible: the smallest standard field text (8pt printed fonts) maps to approximately 14 pixels at this scale, well above OCR-quality thresholds. This single change reduces per-page inference time by approximately 38%.</w:t>
      </w:r>
    </w:p>
    <w:p>
      <w:pPr>
        <w:spacing w:before="160" w:after="40"/>
      </w:pPr>
      <w:r>
        <w:rPr>
          <w:rFonts w:ascii="Calibri" w:hAnsi="Calibri"/>
          <w:b/>
          <w:i/>
          <w:color w:val="323232"/>
          <w:sz w:val="22"/>
        </w:rPr>
        <w:t>Attention Implementation and Hardware Precision</w:t>
      </w:r>
    </w:p>
    <w:p>
      <w:pPr>
        <w:spacing w:before="0" w:after="100"/>
        <w:jc w:val="both"/>
      </w:pPr>
      <w:r>
        <w:rPr>
          <w:rFonts w:ascii="Calibri" w:hAnsi="Calibri"/>
          <w:color w:val="1E1E1E"/>
          <w:sz w:val="21"/>
        </w:rPr>
        <w:t>PyTorch's Scaled Dot-Product Attention (SDPA) fuses the query-key-value computation into a single CUDA kernel with improved memory access patterns, reducing attention computation time by 15-20% vs. the default eager implementation. TF32 (TensorFloat-32) precision for matrix multiplications on Ampere and later GPUs (RTX 3000+, A100, H100) delivers near-float32 accuracy at approximately 8x the throughput by using 19-bit mantissa storage with 32-bit accumulation. For document field extraction, where exact numerical precision is not required, TF32 is a free performance gain.</w:t>
      </w:r>
    </w:p>
    <w:p>
      <w:pPr>
        <w:spacing w:before="160" w:after="40"/>
      </w:pPr>
      <w:r>
        <w:rPr>
          <w:rFonts w:ascii="Calibri" w:hAnsi="Calibri"/>
          <w:b/>
          <w:i/>
          <w:color w:val="323232"/>
          <w:sz w:val="22"/>
        </w:rPr>
        <w:t>End-to-End Latency Profile</w:t>
      </w:r>
    </w:p>
    <w:tbl>
      <w:tblPr>
        <w:tblStyle w:val="TableGrid"/>
        <w:tblW w:type="auto" w:w="0"/>
        <w:jc w:val="center"/>
        <w:tblLook w:firstColumn="1" w:firstRow="1" w:lastColumn="0" w:lastRow="0" w:noHBand="0" w:noVBand="1" w:val="04A0"/>
      </w:tblPr>
      <w:tblGrid>
        <w:gridCol w:w="2928"/>
        <w:gridCol w:w="2928"/>
        <w:gridCol w:w="2928"/>
      </w:tblGrid>
      <w:tr>
        <w:tc>
          <w:tcPr>
            <w:tcW w:type="dxa" w:w="4320"/>
            <w:shd w:fill="003A70" w:val="clear"/>
          </w:tcPr>
          <w:p>
            <w:pPr>
              <w:jc w:val="center"/>
            </w:pPr>
            <w:r>
              <w:rPr>
                <w:rFonts w:ascii="Calibri" w:hAnsi="Calibri"/>
                <w:b/>
                <w:color w:val="FFFFFF"/>
                <w:sz w:val="19"/>
              </w:rPr>
              <w:t>Configuration</w:t>
            </w:r>
          </w:p>
        </w:tc>
        <w:tc>
          <w:tcPr>
            <w:tcW w:type="dxa" w:w="2304"/>
            <w:shd w:fill="003A70" w:val="clear"/>
          </w:tcPr>
          <w:p>
            <w:pPr>
              <w:jc w:val="center"/>
            </w:pPr>
            <w:r>
              <w:rPr>
                <w:rFonts w:ascii="Calibri" w:hAnsi="Calibri"/>
                <w:b/>
                <w:color w:val="FFFFFF"/>
                <w:sz w:val="19"/>
              </w:rPr>
              <w:t>Latency (8-page)</w:t>
            </w:r>
          </w:p>
        </w:tc>
        <w:tc>
          <w:tcPr>
            <w:tcW w:type="dxa" w:w="2304"/>
            <w:shd w:fill="003A70" w:val="clear"/>
          </w:tcPr>
          <w:p>
            <w:pPr>
              <w:jc w:val="center"/>
            </w:pPr>
            <w:r>
              <w:rPr>
                <w:rFonts w:ascii="Calibri" w:hAnsi="Calibri"/>
                <w:b/>
                <w:color w:val="FFFFFF"/>
                <w:sz w:val="19"/>
              </w:rPr>
              <w:t>Cumul. Reduction</w:t>
            </w:r>
          </w:p>
        </w:tc>
      </w:tr>
      <w:tr>
        <w:tc>
          <w:tcPr>
            <w:tcW w:type="dxa" w:w="4320"/>
            <w:shd w:fill="EAF2FB" w:val="clear"/>
          </w:tcPr>
          <w:p>
            <w:pPr>
              <w:jc w:val="left"/>
            </w:pPr>
            <w:r>
              <w:rPr>
                <w:rFonts w:ascii="Calibri" w:hAnsi="Calibri"/>
                <w:sz w:val="19"/>
              </w:rPr>
              <w:t>Baseline: cold load, full resolution</w:t>
            </w:r>
          </w:p>
        </w:tc>
        <w:tc>
          <w:tcPr>
            <w:tcW w:type="dxa" w:w="2304"/>
            <w:shd w:fill="EAF2FB" w:val="clear"/>
          </w:tcPr>
          <w:p>
            <w:pPr>
              <w:jc w:val="center"/>
            </w:pPr>
            <w:r>
              <w:rPr>
                <w:rFonts w:ascii="Calibri" w:hAnsi="Calibri"/>
                <w:sz w:val="19"/>
              </w:rPr>
              <w:t>~155s</w:t>
            </w:r>
          </w:p>
        </w:tc>
        <w:tc>
          <w:tcPr>
            <w:tcW w:type="dxa" w:w="2304"/>
            <w:shd w:fill="EAF2FB" w:val="clear"/>
          </w:tcPr>
          <w:p>
            <w:pPr>
              <w:jc w:val="center"/>
            </w:pPr>
            <w:r>
              <w:rPr>
                <w:rFonts w:ascii="Calibri" w:hAnsi="Calibri"/>
                <w:sz w:val="19"/>
              </w:rPr>
              <w:t>—</w:t>
            </w:r>
          </w:p>
        </w:tc>
      </w:tr>
      <w:tr>
        <w:tc>
          <w:tcPr>
            <w:tcW w:type="dxa" w:w="4320"/>
            <w:shd w:fill="FFFFFF" w:val="clear"/>
          </w:tcPr>
          <w:p>
            <w:pPr>
              <w:jc w:val="left"/>
            </w:pPr>
            <w:r>
              <w:rPr>
                <w:rFonts w:ascii="Calibri" w:hAnsi="Calibri"/>
                <w:sz w:val="19"/>
              </w:rPr>
              <w:t>+ Persistent model serving</w:t>
            </w:r>
          </w:p>
        </w:tc>
        <w:tc>
          <w:tcPr>
            <w:tcW w:type="dxa" w:w="2304"/>
            <w:shd w:fill="FFFFFF" w:val="clear"/>
          </w:tcPr>
          <w:p>
            <w:pPr>
              <w:jc w:val="center"/>
            </w:pPr>
            <w:r>
              <w:rPr>
                <w:rFonts w:ascii="Calibri" w:hAnsi="Calibri"/>
                <w:sz w:val="19"/>
              </w:rPr>
              <w:t>~88s</w:t>
            </w:r>
          </w:p>
        </w:tc>
        <w:tc>
          <w:tcPr>
            <w:tcW w:type="dxa" w:w="2304"/>
            <w:shd w:fill="FFFFFF" w:val="clear"/>
          </w:tcPr>
          <w:p>
            <w:pPr>
              <w:jc w:val="center"/>
            </w:pPr>
            <w:r>
              <w:rPr>
                <w:rFonts w:ascii="Calibri" w:hAnsi="Calibri"/>
                <w:sz w:val="19"/>
              </w:rPr>
              <w:t>−43%</w:t>
            </w:r>
          </w:p>
        </w:tc>
      </w:tr>
      <w:tr>
        <w:tc>
          <w:tcPr>
            <w:tcW w:type="dxa" w:w="4320"/>
            <w:shd w:fill="EAF2FB" w:val="clear"/>
          </w:tcPr>
          <w:p>
            <w:pPr>
              <w:jc w:val="left"/>
            </w:pPr>
            <w:r>
              <w:rPr>
                <w:rFonts w:ascii="Calibri" w:hAnsi="Calibri"/>
                <w:sz w:val="19"/>
              </w:rPr>
              <w:t>+ LoRA weight merging</w:t>
            </w:r>
          </w:p>
        </w:tc>
        <w:tc>
          <w:tcPr>
            <w:tcW w:type="dxa" w:w="2304"/>
            <w:shd w:fill="EAF2FB" w:val="clear"/>
          </w:tcPr>
          <w:p>
            <w:pPr>
              <w:jc w:val="center"/>
            </w:pPr>
            <w:r>
              <w:rPr>
                <w:rFonts w:ascii="Calibri" w:hAnsi="Calibri"/>
                <w:sz w:val="19"/>
              </w:rPr>
              <w:t>~80s</w:t>
            </w:r>
          </w:p>
        </w:tc>
        <w:tc>
          <w:tcPr>
            <w:tcW w:type="dxa" w:w="2304"/>
            <w:shd w:fill="EAF2FB" w:val="clear"/>
          </w:tcPr>
          <w:p>
            <w:pPr>
              <w:jc w:val="center"/>
            </w:pPr>
            <w:r>
              <w:rPr>
                <w:rFonts w:ascii="Calibri" w:hAnsi="Calibri"/>
                <w:sz w:val="19"/>
              </w:rPr>
              <w:t>−48%</w:t>
            </w:r>
          </w:p>
        </w:tc>
      </w:tr>
      <w:tr>
        <w:tc>
          <w:tcPr>
            <w:tcW w:type="dxa" w:w="4320"/>
            <w:shd w:fill="FFFFFF" w:val="clear"/>
          </w:tcPr>
          <w:p>
            <w:pPr>
              <w:jc w:val="left"/>
            </w:pPr>
            <w:r>
              <w:rPr>
                <w:rFonts w:ascii="Calibri" w:hAnsi="Calibri"/>
                <w:sz w:val="19"/>
              </w:rPr>
              <w:t>+ Reduced pixel budget (384K)</w:t>
            </w:r>
          </w:p>
        </w:tc>
        <w:tc>
          <w:tcPr>
            <w:tcW w:type="dxa" w:w="2304"/>
            <w:shd w:fill="FFFFFF" w:val="clear"/>
          </w:tcPr>
          <w:p>
            <w:pPr>
              <w:jc w:val="center"/>
            </w:pPr>
            <w:r>
              <w:rPr>
                <w:rFonts w:ascii="Calibri" w:hAnsi="Calibri"/>
                <w:sz w:val="19"/>
              </w:rPr>
              <w:t>~50s</w:t>
            </w:r>
          </w:p>
        </w:tc>
        <w:tc>
          <w:tcPr>
            <w:tcW w:type="dxa" w:w="2304"/>
            <w:shd w:fill="FFFFFF" w:val="clear"/>
          </w:tcPr>
          <w:p>
            <w:pPr>
              <w:jc w:val="center"/>
            </w:pPr>
            <w:r>
              <w:rPr>
                <w:rFonts w:ascii="Calibri" w:hAnsi="Calibri"/>
                <w:sz w:val="19"/>
              </w:rPr>
              <w:t>−68%</w:t>
            </w:r>
          </w:p>
        </w:tc>
      </w:tr>
      <w:tr>
        <w:tc>
          <w:tcPr>
            <w:tcW w:type="dxa" w:w="4320"/>
            <w:shd w:fill="EAF2FB" w:val="clear"/>
          </w:tcPr>
          <w:p>
            <w:pPr>
              <w:jc w:val="left"/>
            </w:pPr>
            <w:r>
              <w:rPr>
                <w:rFonts w:ascii="Calibri" w:hAnsi="Calibri"/>
                <w:sz w:val="19"/>
              </w:rPr>
              <w:t>+ SDPA + TF32 precision</w:t>
            </w:r>
          </w:p>
        </w:tc>
        <w:tc>
          <w:tcPr>
            <w:tcW w:type="dxa" w:w="2304"/>
            <w:shd w:fill="EAF2FB" w:val="clear"/>
          </w:tcPr>
          <w:p>
            <w:pPr>
              <w:jc w:val="center"/>
            </w:pPr>
            <w:r>
              <w:rPr>
                <w:rFonts w:ascii="Calibri" w:hAnsi="Calibri"/>
                <w:sz w:val="19"/>
              </w:rPr>
              <w:t>~43s</w:t>
            </w:r>
          </w:p>
        </w:tc>
        <w:tc>
          <w:tcPr>
            <w:tcW w:type="dxa" w:w="2304"/>
            <w:shd w:fill="EAF2FB" w:val="clear"/>
          </w:tcPr>
          <w:p>
            <w:pPr>
              <w:jc w:val="center"/>
            </w:pPr>
            <w:r>
              <w:rPr>
                <w:rFonts w:ascii="Calibri" w:hAnsi="Calibri"/>
                <w:sz w:val="19"/>
              </w:rPr>
              <w:t>−72%</w:t>
            </w:r>
          </w:p>
        </w:tc>
      </w:tr>
      <w:tr>
        <w:tc>
          <w:tcPr>
            <w:tcW w:type="dxa" w:w="4320"/>
            <w:shd w:fill="FFFFFF" w:val="clear"/>
          </w:tcPr>
          <w:p>
            <w:pPr>
              <w:jc w:val="left"/>
            </w:pPr>
            <w:r>
              <w:rPr>
                <w:rFonts w:ascii="Calibri" w:hAnsi="Calibri"/>
                <w:sz w:val="19"/>
              </w:rPr>
              <w:t>Final: per-page latency</w:t>
            </w:r>
          </w:p>
        </w:tc>
        <w:tc>
          <w:tcPr>
            <w:tcW w:type="dxa" w:w="2304"/>
            <w:shd w:fill="FFFFFF" w:val="clear"/>
          </w:tcPr>
          <w:p>
            <w:pPr>
              <w:jc w:val="center"/>
            </w:pPr>
            <w:r>
              <w:rPr>
                <w:rFonts w:ascii="Calibri" w:hAnsi="Calibri"/>
                <w:sz w:val="19"/>
              </w:rPr>
              <w:t>~5.4s/page</w:t>
            </w:r>
          </w:p>
        </w:tc>
        <w:tc>
          <w:tcPr>
            <w:tcW w:type="dxa" w:w="2304"/>
            <w:shd w:fill="FFFFFF" w:val="clear"/>
          </w:tcPr>
          <w:p>
            <w:pPr>
              <w:jc w:val="center"/>
            </w:pPr>
            <w:r>
              <w:rPr>
                <w:rFonts w:ascii="Calibri" w:hAnsi="Calibri"/>
                <w:sz w:val="19"/>
              </w:rPr>
              <w:t>—</w:t>
            </w:r>
          </w:p>
        </w:tc>
      </w:tr>
    </w:tbl>
    <w:p>
      <w:pPr>
        <w:spacing w:before="60" w:after="200"/>
        <w:jc w:val="center"/>
      </w:pPr>
      <w:r>
        <w:rPr>
          <w:rFonts w:ascii="Calibri" w:hAnsi="Calibri"/>
          <w:i/>
          <w:color w:val="505050"/>
          <w:sz w:val="19"/>
        </w:rPr>
        <w:t>Table 5. Inference optimisation stack on NVIDIA RTX 5080 (16 GB), 8-page bundle.</w:t>
      </w:r>
    </w:p>
    <w:p>
      <w:pPr>
        <w:spacing w:before="320" w:after="80"/>
        <w:pBdr>
          <w:bottom w:val="single" w:sz="6" w:space="1" w:color="003A70"/>
        </w:pBdr>
      </w:pPr>
      <w:r>
        <w:rPr>
          <w:rFonts w:ascii="Calibri" w:hAnsi="Calibri"/>
          <w:b/>
          <w:color w:val="003A70"/>
          <w:sz w:val="24"/>
        </w:rPr>
        <w:t>8.  EVALUATION PROTOCOL</w:t>
      </w:r>
    </w:p>
    <w:p>
      <w:pPr>
        <w:spacing w:before="200" w:after="60"/>
      </w:pPr>
      <w:r>
        <w:rPr>
          <w:rFonts w:ascii="Calibri" w:hAnsi="Calibri"/>
          <w:b/>
          <w:color w:val="0060A9"/>
          <w:sz w:val="22"/>
        </w:rPr>
        <w:t>8.1  Metrics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fill="003A70" w:val="clear"/>
          </w:tcPr>
          <w:p>
            <w:pPr>
              <w:jc w:val="center"/>
            </w:pPr>
            <w:r>
              <w:rPr>
                <w:rFonts w:ascii="Calibri" w:hAnsi="Calibri"/>
                <w:b/>
                <w:color w:val="FFFFFF"/>
                <w:sz w:val="19"/>
              </w:rPr>
              <w:t>Metric</w:t>
            </w:r>
          </w:p>
        </w:tc>
        <w:tc>
          <w:tcPr>
            <w:tcW w:type="dxa" w:w="4320"/>
            <w:shd w:fill="003A70" w:val="clear"/>
          </w:tcPr>
          <w:p>
            <w:pPr>
              <w:jc w:val="center"/>
            </w:pPr>
            <w:r>
              <w:rPr>
                <w:rFonts w:ascii="Calibri" w:hAnsi="Calibri"/>
                <w:b/>
                <w:color w:val="FFFFFF"/>
                <w:sz w:val="19"/>
              </w:rPr>
              <w:t>Definition</w:t>
            </w:r>
          </w:p>
        </w:tc>
        <w:tc>
          <w:tcPr>
            <w:tcW w:type="dxa" w:w="1872"/>
            <w:shd w:fill="003A70" w:val="clear"/>
          </w:tcPr>
          <w:p>
            <w:pPr>
              <w:jc w:val="center"/>
            </w:pPr>
            <w:r>
              <w:rPr>
                <w:rFonts w:ascii="Calibri" w:hAnsi="Calibri"/>
                <w:b/>
                <w:color w:val="FFFFFF"/>
                <w:sz w:val="19"/>
              </w:rPr>
              <w:t>Task</w:t>
            </w:r>
          </w:p>
        </w:tc>
        <w:tc>
          <w:tcPr>
            <w:tcW w:type="dxa" w:w="1440"/>
            <w:shd w:fill="003A70" w:val="clear"/>
          </w:tcPr>
          <w:p>
            <w:pPr>
              <w:jc w:val="center"/>
            </w:pPr>
            <w:r>
              <w:rPr>
                <w:rFonts w:ascii="Calibri" w:hAnsi="Calibri"/>
                <w:b/>
                <w:color w:val="FFFFFF"/>
                <w:sz w:val="19"/>
              </w:rPr>
              <w:t>Granularity</w:t>
            </w:r>
          </w:p>
        </w:tc>
      </w:tr>
      <w:tr>
        <w:tc>
          <w:tcPr>
            <w:tcW w:type="dxa" w:w="2160"/>
            <w:shd w:fill="EAF2FB" w:val="clear"/>
          </w:tcPr>
          <w:p>
            <w:pPr>
              <w:jc w:val="left"/>
            </w:pPr>
            <w:r>
              <w:rPr>
                <w:rFonts w:ascii="Calibri" w:hAnsi="Calibri"/>
                <w:sz w:val="19"/>
              </w:rPr>
              <w:t>Classification Acc.</w:t>
            </w:r>
          </w:p>
        </w:tc>
        <w:tc>
          <w:tcPr>
            <w:tcW w:type="dxa" w:w="4320"/>
            <w:shd w:fill="EAF2FB" w:val="clear"/>
          </w:tcPr>
          <w:p>
            <w:pPr>
              <w:jc w:val="center"/>
            </w:pPr>
            <w:r>
              <w:rPr>
                <w:rFonts w:ascii="Calibri" w:hAnsi="Calibri"/>
                <w:sz w:val="19"/>
              </w:rPr>
              <w:t>Proportion of filled pages with correct predicted class</w:t>
            </w:r>
          </w:p>
        </w:tc>
        <w:tc>
          <w:tcPr>
            <w:tcW w:type="dxa" w:w="1872"/>
            <w:shd w:fill="EAF2FB" w:val="clear"/>
          </w:tcPr>
          <w:p>
            <w:pPr>
              <w:jc w:val="center"/>
            </w:pPr>
            <w:r>
              <w:rPr>
                <w:rFonts w:ascii="Calibri" w:hAnsi="Calibri"/>
                <w:sz w:val="19"/>
              </w:rPr>
              <w:t>Classification</w:t>
            </w:r>
          </w:p>
        </w:tc>
        <w:tc>
          <w:tcPr>
            <w:tcW w:type="dxa" w:w="1440"/>
            <w:shd w:fill="EAF2FB" w:val="clear"/>
          </w:tcPr>
          <w:p>
            <w:pPr>
              <w:jc w:val="center"/>
            </w:pPr>
            <w:r>
              <w:rPr>
                <w:rFonts w:ascii="Calibri" w:hAnsi="Calibri"/>
                <w:sz w:val="19"/>
              </w:rPr>
              <w:t>Page</w:t>
            </w:r>
          </w:p>
        </w:tc>
      </w:tr>
      <w:tr>
        <w:tc>
          <w:tcPr>
            <w:tcW w:type="dxa" w:w="2160"/>
            <w:shd w:fill="FFFFFF" w:val="clear"/>
          </w:tcPr>
          <w:p>
            <w:pPr>
              <w:jc w:val="left"/>
            </w:pPr>
            <w:r>
              <w:rPr>
                <w:rFonts w:ascii="Calibri" w:hAnsi="Calibri"/>
                <w:sz w:val="19"/>
              </w:rPr>
              <w:t>Position Accuracy</w:t>
            </w:r>
          </w:p>
        </w:tc>
        <w:tc>
          <w:tcPr>
            <w:tcW w:type="dxa" w:w="4320"/>
            <w:shd w:fill="FFFFFF" w:val="clear"/>
          </w:tcPr>
          <w:p>
            <w:pPr>
              <w:jc w:val="center"/>
            </w:pPr>
            <w:r>
              <w:rPr>
                <w:rFonts w:ascii="Calibri" w:hAnsi="Calibri"/>
                <w:sz w:val="19"/>
              </w:rPr>
              <w:t>Proportion of filled pages with correct START/CONTINUATION prediction</w:t>
            </w:r>
          </w:p>
        </w:tc>
        <w:tc>
          <w:tcPr>
            <w:tcW w:type="dxa" w:w="1872"/>
            <w:shd w:fill="FFFFFF" w:val="clear"/>
          </w:tcPr>
          <w:p>
            <w:pPr>
              <w:jc w:val="center"/>
            </w:pPr>
            <w:r>
              <w:rPr>
                <w:rFonts w:ascii="Calibri" w:hAnsi="Calibri"/>
                <w:sz w:val="19"/>
              </w:rPr>
              <w:t>Splitting</w:t>
            </w:r>
          </w:p>
        </w:tc>
        <w:tc>
          <w:tcPr>
            <w:tcW w:type="dxa" w:w="1440"/>
            <w:shd w:fill="FFFFFF" w:val="clear"/>
          </w:tcPr>
          <w:p>
            <w:pPr>
              <w:jc w:val="center"/>
            </w:pPr>
            <w:r>
              <w:rPr>
                <w:rFonts w:ascii="Calibri" w:hAnsi="Calibri"/>
                <w:sz w:val="19"/>
              </w:rPr>
              <w:t>Page</w:t>
            </w:r>
          </w:p>
        </w:tc>
      </w:tr>
      <w:tr>
        <w:tc>
          <w:tcPr>
            <w:tcW w:type="dxa" w:w="2160"/>
            <w:shd w:fill="EAF2FB" w:val="clear"/>
          </w:tcPr>
          <w:p>
            <w:pPr>
              <w:jc w:val="left"/>
            </w:pPr>
            <w:r>
              <w:rPr>
                <w:rFonts w:ascii="Calibri" w:hAnsi="Calibri"/>
                <w:sz w:val="19"/>
              </w:rPr>
              <w:t>Split IoU</w:t>
            </w:r>
          </w:p>
        </w:tc>
        <w:tc>
          <w:tcPr>
            <w:tcW w:type="dxa" w:w="4320"/>
            <w:shd w:fill="EAF2FB" w:val="clear"/>
          </w:tcPr>
          <w:p>
            <w:pPr>
              <w:jc w:val="center"/>
            </w:pPr>
            <w:r>
              <w:rPr>
                <w:rFonts w:ascii="Calibri" w:hAnsi="Calibri"/>
                <w:sz w:val="19"/>
              </w:rPr>
              <w:t>Mean Jaccard index between predicted and true START-page index sets per packet. |P_S ∩ T_S| / |P_S ∪ T_S|, averaged over packets.</w:t>
            </w:r>
          </w:p>
        </w:tc>
        <w:tc>
          <w:tcPr>
            <w:tcW w:type="dxa" w:w="1872"/>
            <w:shd w:fill="EAF2FB" w:val="clear"/>
          </w:tcPr>
          <w:p>
            <w:pPr>
              <w:jc w:val="center"/>
            </w:pPr>
            <w:r>
              <w:rPr>
                <w:rFonts w:ascii="Calibri" w:hAnsi="Calibri"/>
                <w:sz w:val="19"/>
              </w:rPr>
              <w:t>Splitting</w:t>
            </w:r>
          </w:p>
        </w:tc>
        <w:tc>
          <w:tcPr>
            <w:tcW w:type="dxa" w:w="1440"/>
            <w:shd w:fill="EAF2FB" w:val="clear"/>
          </w:tcPr>
          <w:p>
            <w:pPr>
              <w:jc w:val="center"/>
            </w:pPr>
            <w:r>
              <w:rPr>
                <w:rFonts w:ascii="Calibri" w:hAnsi="Calibri"/>
                <w:sz w:val="19"/>
              </w:rPr>
              <w:t>Packet</w:t>
            </w:r>
          </w:p>
        </w:tc>
      </w:tr>
      <w:tr>
        <w:tc>
          <w:tcPr>
            <w:tcW w:type="dxa" w:w="2160"/>
            <w:shd w:fill="FFFFFF" w:val="clear"/>
          </w:tcPr>
          <w:p>
            <w:pPr>
              <w:jc w:val="left"/>
            </w:pPr>
            <w:r>
              <w:rPr>
                <w:rFonts w:ascii="Calibri" w:hAnsi="Calibri"/>
                <w:sz w:val="19"/>
              </w:rPr>
              <w:t>Field F1</w:t>
            </w:r>
          </w:p>
        </w:tc>
        <w:tc>
          <w:tcPr>
            <w:tcW w:type="dxa" w:w="4320"/>
            <w:shd w:fill="FFFFFF" w:val="clear"/>
          </w:tcPr>
          <w:p>
            <w:pPr>
              <w:jc w:val="center"/>
            </w:pPr>
            <w:r>
              <w:rPr>
                <w:rFonts w:ascii="Calibri" w:hAnsi="Calibri"/>
                <w:sz w:val="19"/>
              </w:rPr>
              <w:t>Token-level F1 averaged over 11 fields on non-blank START pages. Precision/recall over whitespace-tokenised field value strings.</w:t>
            </w:r>
          </w:p>
        </w:tc>
        <w:tc>
          <w:tcPr>
            <w:tcW w:type="dxa" w:w="1872"/>
            <w:shd w:fill="FFFFFF" w:val="clear"/>
          </w:tcPr>
          <w:p>
            <w:pPr>
              <w:jc w:val="center"/>
            </w:pPr>
            <w:r>
              <w:rPr>
                <w:rFonts w:ascii="Calibri" w:hAnsi="Calibri"/>
                <w:sz w:val="19"/>
              </w:rPr>
              <w:t>Extraction</w:t>
            </w:r>
          </w:p>
        </w:tc>
        <w:tc>
          <w:tcPr>
            <w:tcW w:type="dxa" w:w="1440"/>
            <w:shd w:fill="FFFFFF" w:val="clear"/>
          </w:tcPr>
          <w:p>
            <w:pPr>
              <w:jc w:val="center"/>
            </w:pPr>
            <w:r>
              <w:rPr>
                <w:rFonts w:ascii="Calibri" w:hAnsi="Calibri"/>
                <w:sz w:val="19"/>
              </w:rPr>
              <w:t>Page × Field</w:t>
            </w:r>
          </w:p>
        </w:tc>
      </w:tr>
      <w:tr>
        <w:tc>
          <w:tcPr>
            <w:tcW w:type="dxa" w:w="2160"/>
            <w:shd w:fill="EAF2FB" w:val="clear"/>
          </w:tcPr>
          <w:p>
            <w:pPr>
              <w:jc w:val="left"/>
            </w:pPr>
            <w:r>
              <w:rPr>
                <w:rFonts w:ascii="Calibri" w:hAnsi="Calibri"/>
                <w:sz w:val="19"/>
              </w:rPr>
              <w:t>Blank Hallucination</w:t>
            </w:r>
          </w:p>
        </w:tc>
        <w:tc>
          <w:tcPr>
            <w:tcW w:type="dxa" w:w="4320"/>
            <w:shd w:fill="EAF2FB" w:val="clear"/>
          </w:tcPr>
          <w:p>
            <w:pPr>
              <w:jc w:val="center"/>
            </w:pPr>
            <w:r>
              <w:rPr>
                <w:rFonts w:ascii="Calibri" w:hAnsi="Calibri"/>
                <w:sz w:val="19"/>
              </w:rPr>
              <w:t>% of blank-form pages where model outputs any non-null field value. Tracked separately; excluded from main accuracy metrics.</w:t>
            </w:r>
          </w:p>
        </w:tc>
        <w:tc>
          <w:tcPr>
            <w:tcW w:type="dxa" w:w="1872"/>
            <w:shd w:fill="EAF2FB" w:val="clear"/>
          </w:tcPr>
          <w:p>
            <w:pPr>
              <w:jc w:val="center"/>
            </w:pPr>
            <w:r>
              <w:rPr>
                <w:rFonts w:ascii="Calibri" w:hAnsi="Calibri"/>
                <w:sz w:val="19"/>
              </w:rPr>
              <w:t>Robustness</w:t>
            </w:r>
          </w:p>
        </w:tc>
        <w:tc>
          <w:tcPr>
            <w:tcW w:type="dxa" w:w="1440"/>
            <w:shd w:fill="EAF2FB" w:val="clear"/>
          </w:tcPr>
          <w:p>
            <w:pPr>
              <w:jc w:val="center"/>
            </w:pPr>
            <w:r>
              <w:rPr>
                <w:rFonts w:ascii="Calibri" w:hAnsi="Calibri"/>
                <w:sz w:val="19"/>
              </w:rPr>
              <w:t>Page</w:t>
            </w:r>
          </w:p>
        </w:tc>
      </w:tr>
    </w:tbl>
    <w:p>
      <w:pPr>
        <w:spacing w:before="60" w:after="200"/>
        <w:jc w:val="center"/>
      </w:pPr>
      <w:r>
        <w:rPr>
          <w:rFonts w:ascii="Calibri" w:hAnsi="Calibri"/>
          <w:i/>
          <w:color w:val="505050"/>
          <w:sz w:val="19"/>
        </w:rPr>
        <w:t>Table 6. Evaluation metrics. Blank documents excluded from Classification, Position, Field F1, and Split IoU computations.</w:t>
      </w:r>
    </w:p>
    <w:p>
      <w:pPr>
        <w:spacing w:before="200" w:after="60"/>
      </w:pPr>
      <w:r>
        <w:rPr>
          <w:rFonts w:ascii="Calibri" w:hAnsi="Calibri"/>
          <w:b/>
          <w:color w:val="0060A9"/>
          <w:sz w:val="22"/>
        </w:rPr>
        <w:t>8.2  Why Split IoU is the Primary Splitting Metric</w:t>
      </w:r>
    </w:p>
    <w:p>
      <w:pPr>
        <w:spacing w:before="0" w:after="100"/>
        <w:jc w:val="both"/>
      </w:pPr>
      <w:r>
        <w:rPr>
          <w:rFonts w:ascii="Calibri" w:hAnsi="Calibri"/>
          <w:color w:val="1E1E1E"/>
          <w:sz w:val="21"/>
        </w:rPr>
        <w:t>Position Accuracy is vulnerable to majority-class bias. In multi-page bundles, CONTINUATION pages account for ~87% of all pages. A degenerate model predicting CONTINUATION for every page achieves ~87% Position Accuracy while failing to identify a single document boundary (Split IoU = 0.0%). The zero-shot baseline demonstrates this precisely: 30.8% Position Accuracy appears modest but actually reflects near-complete inability to detect boundaries — the model rarely predicts START for any page beyond the first in a bundle. Split IoU penalises both missed boundaries and spurious boundaries symmetrically, providing a reliable quality measure independent of the START/CONTINUATION class ratio.</w:t>
      </w:r>
    </w:p>
    <w:p>
      <w:pPr>
        <w:spacing w:before="200" w:after="60"/>
      </w:pPr>
      <w:r>
        <w:rPr>
          <w:rFonts w:ascii="Calibri" w:hAnsi="Calibri"/>
          <w:b/>
          <w:color w:val="0060A9"/>
          <w:sz w:val="22"/>
        </w:rPr>
        <w:t>8.3  Baselines</w:t>
      </w:r>
    </w:p>
    <w:p>
      <w:pPr>
        <w:pStyle w:val="ListBullet"/>
        <w:spacing w:after="40" w:before="0"/>
      </w:pPr>
      <w:r>
        <w:rPr>
          <w:rFonts w:ascii="Calibri" w:hAnsi="Calibri"/>
          <w:color w:val="1E1E1E"/>
          <w:sz w:val="21"/>
        </w:rPr>
        <w:t>Qwen2.5-VL-3B Zero-Shot: identical base model evaluated with the same prompt, no fine-tuning. Isolates the fine-tuning contribution.</w:t>
      </w:r>
    </w:p>
    <w:p>
      <w:pPr>
        <w:pStyle w:val="ListBullet"/>
        <w:spacing w:after="40" w:before="0"/>
      </w:pPr>
      <w:r>
        <w:rPr>
          <w:rFonts w:ascii="Calibri" w:hAnsi="Calibri"/>
          <w:color w:val="1E1E1E"/>
          <w:sz w:val="21"/>
        </w:rPr>
        <w:t>Donut-RVLCDIP Zero-Shot [8]: OCR-free document understanding model fine-tuned on RVL-CDIP for 16-class document classification. Evaluated for classification only; field extraction and bundle splitting are outside its task scope. Note: Donut-RVLCDIP's 16 RVL-CDIP classes (invoice, letter, memo, form, etc.) do not correspond to our 12 freight classes; its 0.0% accuracy on our test set reflects class vocabulary mismatch, not architectural failure on its native task.</w:t>
      </w:r>
    </w:p>
    <w:p>
      <w:pPr>
        <w:pStyle w:val="ListBullet"/>
        <w:spacing w:after="40" w:before="0"/>
      </w:pPr>
      <w:r>
        <w:rPr>
          <w:rFonts w:ascii="Calibri" w:hAnsi="Calibri"/>
          <w:color w:val="1E1E1E"/>
          <w:sz w:val="21"/>
        </w:rPr>
        <w:t>Qwen2.5-VL-7B Zero-Shot: the 7B-parameter base model variant, evaluated in full bfloat16 precision on H100. Pending evaluation; column reserved in results tables.</w:t>
      </w:r>
    </w:p>
    <w:p>
      <w:pPr>
        <w:pStyle w:val="ListBullet"/>
        <w:spacing w:after="40" w:before="0"/>
      </w:pPr>
      <w:r>
        <w:rPr>
          <w:rFonts w:ascii="Calibri" w:hAnsi="Calibri"/>
          <w:color w:val="1E1E1E"/>
          <w:sz w:val="21"/>
        </w:rPr>
        <w:t>Ours V2 (prior iteration): a prior training version with weight fields in schema and no blank-form examples. Evaluated under the current prompt for comparability, showing the performance trajectory across dataset quality iterations.</w:t>
      </w:r>
    </w:p>
    <w:p>
      <w:pPr>
        <w:spacing w:before="320" w:after="80"/>
        <w:pBdr>
          <w:bottom w:val="single" w:sz="6" w:space="1" w:color="003A70"/>
        </w:pBdr>
      </w:pPr>
      <w:r>
        <w:rPr>
          <w:rFonts w:ascii="Calibri" w:hAnsi="Calibri"/>
          <w:b/>
          <w:color w:val="003A70"/>
          <w:sz w:val="24"/>
        </w:rPr>
        <w:t>9.  EXPERIMENTAL RESULTS</w:t>
      </w:r>
    </w:p>
    <w:p>
      <w:pPr>
        <w:spacing w:before="200" w:after="60"/>
      </w:pPr>
      <w:r>
        <w:rPr>
          <w:rFonts w:ascii="Calibri" w:hAnsi="Calibri"/>
          <w:b/>
          <w:color w:val="0060A9"/>
          <w:sz w:val="22"/>
        </w:rPr>
        <w:t>9.1  Overall Performance</w:t>
      </w:r>
    </w:p>
    <w:p>
      <w:pPr>
        <w:spacing w:before="0" w:after="100"/>
        <w:jc w:val="both"/>
      </w:pPr>
      <w:r>
        <w:rPr>
          <w:rFonts w:ascii="Calibri" w:hAnsi="Calibri"/>
          <w:color w:val="1E1E1E"/>
          <w:sz w:val="21"/>
        </w:rPr>
        <w:t>Table 7 presents overall performance across all models on the held-out test set (2,371 pages, 466 packets). The primary model is V3 checkpoint-2000, selected for inference deployment.</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3024"/>
            <w:shd w:fill="003A70" w:val="clear"/>
          </w:tcPr>
          <w:p>
            <w:pPr>
              <w:jc w:val="center"/>
            </w:pPr>
            <w:r>
              <w:rPr>
                <w:rFonts w:ascii="Calibri" w:hAnsi="Calibri"/>
                <w:b/>
                <w:color w:val="FFFFFF"/>
                <w:sz w:val="19"/>
              </w:rPr>
              <w:t>Model</w:t>
            </w:r>
          </w:p>
        </w:tc>
        <w:tc>
          <w:tcPr>
            <w:tcW w:type="dxa" w:w="864"/>
            <w:shd w:fill="003A70" w:val="clear"/>
          </w:tcPr>
          <w:p>
            <w:pPr>
              <w:jc w:val="center"/>
            </w:pPr>
            <w:r>
              <w:rPr>
                <w:rFonts w:ascii="Calibri" w:hAnsi="Calibri"/>
                <w:b/>
                <w:color w:val="FFFFFF"/>
                <w:sz w:val="19"/>
              </w:rPr>
              <w:t>n</w:t>
            </w:r>
          </w:p>
        </w:tc>
        <w:tc>
          <w:tcPr>
            <w:tcW w:type="dxa" w:w="1224"/>
            <w:shd w:fill="003A70" w:val="clear"/>
          </w:tcPr>
          <w:p>
            <w:pPr>
              <w:jc w:val="center"/>
            </w:pPr>
            <w:r>
              <w:rPr>
                <w:rFonts w:ascii="Calibri" w:hAnsi="Calibri"/>
                <w:b/>
                <w:color w:val="FFFFFF"/>
                <w:sz w:val="19"/>
              </w:rPr>
              <w:t>Cls Acc</w:t>
            </w:r>
          </w:p>
        </w:tc>
        <w:tc>
          <w:tcPr>
            <w:tcW w:type="dxa" w:w="1224"/>
            <w:shd w:fill="003A70" w:val="clear"/>
          </w:tcPr>
          <w:p>
            <w:pPr>
              <w:jc w:val="center"/>
            </w:pPr>
            <w:r>
              <w:rPr>
                <w:rFonts w:ascii="Calibri" w:hAnsi="Calibri"/>
                <w:b/>
                <w:color w:val="FFFFFF"/>
                <w:sz w:val="19"/>
              </w:rPr>
              <w:t>Pos Acc</w:t>
            </w:r>
          </w:p>
        </w:tc>
        <w:tc>
          <w:tcPr>
            <w:tcW w:type="dxa" w:w="1224"/>
            <w:shd w:fill="003A70" w:val="clear"/>
          </w:tcPr>
          <w:p>
            <w:pPr>
              <w:jc w:val="center"/>
            </w:pPr>
            <w:r>
              <w:rPr>
                <w:rFonts w:ascii="Calibri" w:hAnsi="Calibri"/>
                <w:b/>
                <w:color w:val="FFFFFF"/>
                <w:sz w:val="19"/>
              </w:rPr>
              <w:t>Field F1</w:t>
            </w:r>
          </w:p>
        </w:tc>
        <w:tc>
          <w:tcPr>
            <w:tcW w:type="dxa" w:w="1224"/>
            <w:shd w:fill="003A70" w:val="clear"/>
          </w:tcPr>
          <w:p>
            <w:pPr>
              <w:jc w:val="center"/>
            </w:pPr>
            <w:r>
              <w:rPr>
                <w:rFonts w:ascii="Calibri" w:hAnsi="Calibri"/>
                <w:b/>
                <w:color w:val="FFFFFF"/>
                <w:sz w:val="19"/>
              </w:rPr>
              <w:t>Split IoU</w:t>
            </w:r>
          </w:p>
        </w:tc>
        <w:tc>
          <w:tcPr>
            <w:tcW w:type="dxa" w:w="1224"/>
            <w:shd w:fill="003A70" w:val="clear"/>
          </w:tcPr>
          <w:p>
            <w:pPr>
              <w:jc w:val="center"/>
            </w:pPr>
            <w:r>
              <w:rPr>
                <w:rFonts w:ascii="Calibri" w:hAnsi="Calibri"/>
                <w:b/>
                <w:color w:val="FFFFFF"/>
                <w:sz w:val="19"/>
              </w:rPr>
              <w:t>Blank Hall.</w:t>
            </w:r>
          </w:p>
        </w:tc>
      </w:tr>
      <w:tr>
        <w:tc>
          <w:tcPr>
            <w:tcW w:type="dxa" w:w="3024"/>
            <w:shd w:fill="EAF2FB" w:val="clear"/>
          </w:tcPr>
          <w:p>
            <w:pPr>
              <w:jc w:val="left"/>
            </w:pPr>
            <w:r>
              <w:rPr>
                <w:rFonts w:ascii="Calibri" w:hAnsi="Calibri"/>
                <w:sz w:val="19"/>
              </w:rPr>
              <w:t>Qwen2.5-VL-3B ZS</w:t>
            </w:r>
          </w:p>
        </w:tc>
        <w:tc>
          <w:tcPr>
            <w:tcW w:type="dxa" w:w="864"/>
            <w:shd w:fill="EAF2FB" w:val="clear"/>
          </w:tcPr>
          <w:p>
            <w:pPr>
              <w:jc w:val="center"/>
            </w:pPr>
            <w:r>
              <w:rPr>
                <w:rFonts w:ascii="Calibri" w:hAnsi="Calibri"/>
                <w:sz w:val="19"/>
              </w:rPr>
              <w:t>2,307</w:t>
            </w:r>
          </w:p>
        </w:tc>
        <w:tc>
          <w:tcPr>
            <w:tcW w:type="dxa" w:w="1224"/>
            <w:shd w:fill="EAF2FB" w:val="clear"/>
          </w:tcPr>
          <w:p>
            <w:pPr>
              <w:jc w:val="center"/>
            </w:pPr>
            <w:r>
              <w:rPr>
                <w:rFonts w:ascii="Calibri" w:hAnsi="Calibri"/>
                <w:sz w:val="19"/>
              </w:rPr>
              <w:t>80.6%</w:t>
            </w:r>
          </w:p>
        </w:tc>
        <w:tc>
          <w:tcPr>
            <w:tcW w:type="dxa" w:w="1224"/>
            <w:shd w:fill="EAF2FB" w:val="clear"/>
          </w:tcPr>
          <w:p>
            <w:pPr>
              <w:jc w:val="center"/>
            </w:pPr>
            <w:r>
              <w:rPr>
                <w:rFonts w:ascii="Calibri" w:hAnsi="Calibri"/>
                <w:sz w:val="19"/>
              </w:rPr>
              <w:t>30.8%</w:t>
            </w:r>
          </w:p>
        </w:tc>
        <w:tc>
          <w:tcPr>
            <w:tcW w:type="dxa" w:w="1224"/>
            <w:shd w:fill="EAF2FB" w:val="clear"/>
          </w:tcPr>
          <w:p>
            <w:pPr>
              <w:jc w:val="center"/>
            </w:pPr>
            <w:r>
              <w:rPr>
                <w:rFonts w:ascii="Calibri" w:hAnsi="Calibri"/>
                <w:sz w:val="19"/>
              </w:rPr>
              <w:t>51.9%</w:t>
            </w:r>
          </w:p>
        </w:tc>
        <w:tc>
          <w:tcPr>
            <w:tcW w:type="dxa" w:w="1224"/>
            <w:shd w:fill="EAF2FB" w:val="clear"/>
          </w:tcPr>
          <w:p>
            <w:pPr>
              <w:jc w:val="center"/>
            </w:pPr>
            <w:r>
              <w:rPr>
                <w:rFonts w:ascii="Calibri" w:hAnsi="Calibri"/>
                <w:sz w:val="19"/>
              </w:rPr>
              <w:t>29.8%</w:t>
            </w:r>
          </w:p>
        </w:tc>
        <w:tc>
          <w:tcPr>
            <w:tcW w:type="dxa" w:w="1224"/>
            <w:shd w:fill="EAF2FB" w:val="clear"/>
          </w:tcPr>
          <w:p>
            <w:pPr>
              <w:jc w:val="center"/>
            </w:pPr>
            <w:r>
              <w:rPr>
                <w:rFonts w:ascii="Calibri" w:hAnsi="Calibri"/>
                <w:sz w:val="19"/>
              </w:rPr>
              <w:t>4.7%</w:t>
            </w:r>
          </w:p>
        </w:tc>
      </w:tr>
      <w:tr>
        <w:tc>
          <w:tcPr>
            <w:tcW w:type="dxa" w:w="3024"/>
            <w:shd w:fill="FFFFFF" w:val="clear"/>
          </w:tcPr>
          <w:p>
            <w:pPr>
              <w:jc w:val="left"/>
            </w:pPr>
            <w:r>
              <w:rPr>
                <w:rFonts w:ascii="Calibri" w:hAnsi="Calibri"/>
                <w:sz w:val="19"/>
              </w:rPr>
              <w:t>Donut-RVLCDIP ZS †</w:t>
            </w:r>
          </w:p>
        </w:tc>
        <w:tc>
          <w:tcPr>
            <w:tcW w:type="dxa" w:w="864"/>
            <w:shd w:fill="FFFFFF" w:val="clear"/>
          </w:tcPr>
          <w:p>
            <w:pPr>
              <w:jc w:val="center"/>
            </w:pPr>
            <w:r>
              <w:rPr>
                <w:rFonts w:ascii="Calibri" w:hAnsi="Calibri"/>
                <w:sz w:val="19"/>
              </w:rPr>
              <w:t>2,307</w:t>
            </w:r>
          </w:p>
        </w:tc>
        <w:tc>
          <w:tcPr>
            <w:tcW w:type="dxa" w:w="1224"/>
            <w:shd w:fill="FFFFFF" w:val="clear"/>
          </w:tcPr>
          <w:p>
            <w:pPr>
              <w:jc w:val="center"/>
            </w:pPr>
            <w:r>
              <w:rPr>
                <w:rFonts w:ascii="Calibri" w:hAnsi="Calibri"/>
                <w:sz w:val="19"/>
              </w:rPr>
              <w:t>0.0%</w:t>
            </w:r>
          </w:p>
        </w:tc>
        <w:tc>
          <w:tcPr>
            <w:tcW w:type="dxa" w:w="1224"/>
            <w:shd w:fill="FFFFFF" w:val="clear"/>
          </w:tcPr>
          <w:p>
            <w:pPr>
              <w:jc w:val="center"/>
            </w:pPr>
            <w:r>
              <w:rPr>
                <w:rFonts w:ascii="Calibri" w:hAnsi="Calibri"/>
                <w:sz w:val="19"/>
              </w:rPr>
              <w:t>N/A</w:t>
            </w:r>
          </w:p>
        </w:tc>
        <w:tc>
          <w:tcPr>
            <w:tcW w:type="dxa" w:w="1224"/>
            <w:shd w:fill="FFFFFF" w:val="clear"/>
          </w:tcPr>
          <w:p>
            <w:pPr>
              <w:jc w:val="center"/>
            </w:pPr>
            <w:r>
              <w:rPr>
                <w:rFonts w:ascii="Calibri" w:hAnsi="Calibri"/>
                <w:sz w:val="19"/>
              </w:rPr>
              <w:t>N/A</w:t>
            </w:r>
          </w:p>
        </w:tc>
        <w:tc>
          <w:tcPr>
            <w:tcW w:type="dxa" w:w="1224"/>
            <w:shd w:fill="FFFFFF" w:val="clear"/>
          </w:tcPr>
          <w:p>
            <w:pPr>
              <w:jc w:val="center"/>
            </w:pPr>
            <w:r>
              <w:rPr>
                <w:rFonts w:ascii="Calibri" w:hAnsi="Calibri"/>
                <w:sz w:val="19"/>
              </w:rPr>
              <w:t>N/A</w:t>
            </w:r>
          </w:p>
        </w:tc>
        <w:tc>
          <w:tcPr>
            <w:tcW w:type="dxa" w:w="1224"/>
            <w:shd w:fill="FFFFFF" w:val="clear"/>
          </w:tcPr>
          <w:p>
            <w:pPr>
              <w:jc w:val="center"/>
            </w:pPr>
            <w:r>
              <w:rPr>
                <w:rFonts w:ascii="Calibri" w:hAnsi="Calibri"/>
                <w:sz w:val="19"/>
              </w:rPr>
              <w:t>0.0%</w:t>
            </w:r>
          </w:p>
        </w:tc>
      </w:tr>
      <w:tr>
        <w:tc>
          <w:tcPr>
            <w:tcW w:type="dxa" w:w="3024"/>
            <w:shd w:fill="EAF2FB" w:val="clear"/>
          </w:tcPr>
          <w:p>
            <w:pPr>
              <w:jc w:val="left"/>
            </w:pPr>
            <w:r>
              <w:rPr>
                <w:rFonts w:ascii="Calibri" w:hAnsi="Calibri"/>
                <w:sz w:val="19"/>
              </w:rPr>
              <w:t>Qwen2.5-VL-7B ZS ‡</w:t>
            </w:r>
          </w:p>
        </w:tc>
        <w:tc>
          <w:tcPr>
            <w:tcW w:type="dxa" w:w="864"/>
            <w:shd w:fill="EAF2FB" w:val="clear"/>
          </w:tcPr>
          <w:p>
            <w:pPr>
              <w:jc w:val="center"/>
            </w:pPr>
            <w:r>
              <w:rPr>
                <w:rFonts w:ascii="Calibri" w:hAnsi="Calibri"/>
                <w:sz w:val="19"/>
              </w:rPr>
              <w:t>—</w:t>
            </w:r>
          </w:p>
        </w:tc>
        <w:tc>
          <w:tcPr>
            <w:tcW w:type="dxa" w:w="1224"/>
            <w:shd w:fill="EAF2FB" w:val="clear"/>
          </w:tcPr>
          <w:p>
            <w:pPr>
              <w:jc w:val="center"/>
            </w:pPr>
            <w:r>
              <w:rPr>
                <w:rFonts w:ascii="Calibri" w:hAnsi="Calibri"/>
                <w:sz w:val="19"/>
              </w:rPr>
              <w:t>TBD</w:t>
            </w:r>
          </w:p>
        </w:tc>
        <w:tc>
          <w:tcPr>
            <w:tcW w:type="dxa" w:w="1224"/>
            <w:shd w:fill="EAF2FB" w:val="clear"/>
          </w:tcPr>
          <w:p>
            <w:pPr>
              <w:jc w:val="center"/>
            </w:pPr>
            <w:r>
              <w:rPr>
                <w:rFonts w:ascii="Calibri" w:hAnsi="Calibri"/>
                <w:sz w:val="19"/>
              </w:rPr>
              <w:t>TBD</w:t>
            </w:r>
          </w:p>
        </w:tc>
        <w:tc>
          <w:tcPr>
            <w:tcW w:type="dxa" w:w="1224"/>
            <w:shd w:fill="EAF2FB" w:val="clear"/>
          </w:tcPr>
          <w:p>
            <w:pPr>
              <w:jc w:val="center"/>
            </w:pPr>
            <w:r>
              <w:rPr>
                <w:rFonts w:ascii="Calibri" w:hAnsi="Calibri"/>
                <w:sz w:val="19"/>
              </w:rPr>
              <w:t>TBD</w:t>
            </w:r>
          </w:p>
        </w:tc>
        <w:tc>
          <w:tcPr>
            <w:tcW w:type="dxa" w:w="1224"/>
            <w:shd w:fill="EAF2FB" w:val="clear"/>
          </w:tcPr>
          <w:p>
            <w:pPr>
              <w:jc w:val="center"/>
            </w:pPr>
            <w:r>
              <w:rPr>
                <w:rFonts w:ascii="Calibri" w:hAnsi="Calibri"/>
                <w:sz w:val="19"/>
              </w:rPr>
              <w:t>TBD</w:t>
            </w:r>
          </w:p>
        </w:tc>
        <w:tc>
          <w:tcPr>
            <w:tcW w:type="dxa" w:w="1224"/>
            <w:shd w:fill="EAF2FB" w:val="clear"/>
          </w:tcPr>
          <w:p>
            <w:pPr>
              <w:jc w:val="center"/>
            </w:pPr>
            <w:r>
              <w:rPr>
                <w:rFonts w:ascii="Calibri" w:hAnsi="Calibri"/>
                <w:sz w:val="19"/>
              </w:rPr>
              <w:t>TBD</w:t>
            </w:r>
          </w:p>
        </w:tc>
      </w:tr>
      <w:tr>
        <w:tc>
          <w:tcPr>
            <w:tcW w:type="dxa" w:w="3024"/>
            <w:shd w:fill="FFFFFF" w:val="clear"/>
          </w:tcPr>
          <w:p>
            <w:pPr>
              <w:jc w:val="left"/>
            </w:pPr>
            <w:r>
              <w:rPr>
                <w:rFonts w:ascii="Calibri" w:hAnsi="Calibri"/>
                <w:sz w:val="19"/>
              </w:rPr>
              <w:t>Ours V2 (prior iter.)</w:t>
            </w:r>
          </w:p>
        </w:tc>
        <w:tc>
          <w:tcPr>
            <w:tcW w:type="dxa" w:w="864"/>
            <w:shd w:fill="FFFFFF" w:val="clear"/>
          </w:tcPr>
          <w:p>
            <w:pPr>
              <w:jc w:val="center"/>
            </w:pPr>
            <w:r>
              <w:rPr>
                <w:rFonts w:ascii="Calibri" w:hAnsi="Calibri"/>
                <w:sz w:val="19"/>
              </w:rPr>
              <w:t>2,307</w:t>
            </w:r>
          </w:p>
        </w:tc>
        <w:tc>
          <w:tcPr>
            <w:tcW w:type="dxa" w:w="1224"/>
            <w:shd w:fill="FFFFFF" w:val="clear"/>
          </w:tcPr>
          <w:p>
            <w:pPr>
              <w:jc w:val="center"/>
            </w:pPr>
            <w:r>
              <w:rPr>
                <w:rFonts w:ascii="Calibri" w:hAnsi="Calibri"/>
                <w:sz w:val="19"/>
              </w:rPr>
              <w:t>100.0%</w:t>
            </w:r>
          </w:p>
        </w:tc>
        <w:tc>
          <w:tcPr>
            <w:tcW w:type="dxa" w:w="1224"/>
            <w:shd w:fill="FFFFFF" w:val="clear"/>
          </w:tcPr>
          <w:p>
            <w:pPr>
              <w:jc w:val="center"/>
            </w:pPr>
            <w:r>
              <w:rPr>
                <w:rFonts w:ascii="Calibri" w:hAnsi="Calibri"/>
                <w:sz w:val="19"/>
              </w:rPr>
              <w:t>100.0%</w:t>
            </w:r>
          </w:p>
        </w:tc>
        <w:tc>
          <w:tcPr>
            <w:tcW w:type="dxa" w:w="1224"/>
            <w:shd w:fill="FFFFFF" w:val="clear"/>
          </w:tcPr>
          <w:p>
            <w:pPr>
              <w:jc w:val="center"/>
            </w:pPr>
            <w:r>
              <w:rPr>
                <w:rFonts w:ascii="Calibri" w:hAnsi="Calibri"/>
                <w:sz w:val="19"/>
              </w:rPr>
              <w:t>93.8%</w:t>
            </w:r>
          </w:p>
        </w:tc>
        <w:tc>
          <w:tcPr>
            <w:tcW w:type="dxa" w:w="1224"/>
            <w:shd w:fill="FFFFFF" w:val="clear"/>
          </w:tcPr>
          <w:p>
            <w:pPr>
              <w:jc w:val="center"/>
            </w:pPr>
            <w:r>
              <w:rPr>
                <w:rFonts w:ascii="Calibri" w:hAnsi="Calibri"/>
                <w:sz w:val="19"/>
              </w:rPr>
              <w:t>100.0%</w:t>
            </w:r>
          </w:p>
        </w:tc>
        <w:tc>
          <w:tcPr>
            <w:tcW w:type="dxa" w:w="1224"/>
            <w:shd w:fill="FFFFFF" w:val="clear"/>
          </w:tcPr>
          <w:p>
            <w:pPr>
              <w:jc w:val="center"/>
            </w:pPr>
            <w:r>
              <w:rPr>
                <w:rFonts w:ascii="Calibri" w:hAnsi="Calibri"/>
                <w:sz w:val="19"/>
              </w:rPr>
              <w:t>12.5%</w:t>
            </w:r>
          </w:p>
        </w:tc>
      </w:tr>
      <w:tr>
        <w:tc>
          <w:tcPr>
            <w:tcW w:type="dxa" w:w="3024"/>
            <w:shd w:fill="EAF2FB" w:val="clear"/>
          </w:tcPr>
          <w:p>
            <w:pPr>
              <w:jc w:val="left"/>
            </w:pPr>
            <w:r>
              <w:rPr>
                <w:rFonts w:ascii="Calibri" w:hAnsi="Calibri"/>
                <w:sz w:val="19"/>
              </w:rPr>
              <w:t>Ours V3 CK-2000 ★</w:t>
            </w:r>
          </w:p>
        </w:tc>
        <w:tc>
          <w:tcPr>
            <w:tcW w:type="dxa" w:w="864"/>
            <w:shd w:fill="EAF2FB" w:val="clear"/>
          </w:tcPr>
          <w:p>
            <w:pPr>
              <w:jc w:val="center"/>
            </w:pPr>
            <w:r>
              <w:rPr>
                <w:rFonts w:ascii="Calibri" w:hAnsi="Calibri"/>
                <w:sz w:val="19"/>
              </w:rPr>
              <w:t>2,307</w:t>
            </w:r>
          </w:p>
        </w:tc>
        <w:tc>
          <w:tcPr>
            <w:tcW w:type="dxa" w:w="1224"/>
            <w:shd w:fill="EAF2FB" w:val="clear"/>
          </w:tcPr>
          <w:p>
            <w:pPr>
              <w:jc w:val="center"/>
            </w:pPr>
            <w:r>
              <w:rPr>
                <w:rFonts w:ascii="Calibri" w:hAnsi="Calibri"/>
                <w:sz w:val="19"/>
              </w:rPr>
              <w:t>98.4%</w:t>
            </w:r>
          </w:p>
        </w:tc>
        <w:tc>
          <w:tcPr>
            <w:tcW w:type="dxa" w:w="1224"/>
            <w:shd w:fill="EAF2FB" w:val="clear"/>
          </w:tcPr>
          <w:p>
            <w:pPr>
              <w:jc w:val="center"/>
            </w:pPr>
            <w:r>
              <w:rPr>
                <w:rFonts w:ascii="Calibri" w:hAnsi="Calibri"/>
                <w:sz w:val="19"/>
              </w:rPr>
              <w:t>100.0%</w:t>
            </w:r>
          </w:p>
        </w:tc>
        <w:tc>
          <w:tcPr>
            <w:tcW w:type="dxa" w:w="1224"/>
            <w:shd w:fill="EAF2FB" w:val="clear"/>
          </w:tcPr>
          <w:p>
            <w:pPr>
              <w:jc w:val="center"/>
            </w:pPr>
            <w:r>
              <w:rPr>
                <w:rFonts w:ascii="Calibri" w:hAnsi="Calibri"/>
                <w:sz w:val="19"/>
              </w:rPr>
              <w:t>97.7%</w:t>
            </w:r>
          </w:p>
        </w:tc>
        <w:tc>
          <w:tcPr>
            <w:tcW w:type="dxa" w:w="1224"/>
            <w:shd w:fill="EAF2FB" w:val="clear"/>
          </w:tcPr>
          <w:p>
            <w:pPr>
              <w:jc w:val="center"/>
            </w:pPr>
            <w:r>
              <w:rPr>
                <w:rFonts w:ascii="Calibri" w:hAnsi="Calibri"/>
                <w:sz w:val="19"/>
              </w:rPr>
              <w:t>100.0%</w:t>
            </w:r>
          </w:p>
        </w:tc>
        <w:tc>
          <w:tcPr>
            <w:tcW w:type="dxa" w:w="1224"/>
            <w:shd w:fill="EAF2FB" w:val="clear"/>
          </w:tcPr>
          <w:p>
            <w:pPr>
              <w:jc w:val="center"/>
            </w:pPr>
            <w:r>
              <w:rPr>
                <w:rFonts w:ascii="Calibri" w:hAnsi="Calibri"/>
                <w:sz w:val="19"/>
              </w:rPr>
              <w:t>0.0%</w:t>
            </w:r>
          </w:p>
        </w:tc>
      </w:tr>
      <w:tr>
        <w:tc>
          <w:tcPr>
            <w:tcW w:type="dxa" w:w="3024"/>
            <w:shd w:fill="FFFFFF" w:val="clear"/>
          </w:tcPr>
          <w:p>
            <w:pPr>
              <w:jc w:val="left"/>
            </w:pPr>
            <w:r>
              <w:rPr>
                <w:rFonts w:ascii="Calibri" w:hAnsi="Calibri"/>
                <w:sz w:val="19"/>
              </w:rPr>
              <w:t>Ours V3 CK-2250</w:t>
            </w:r>
          </w:p>
        </w:tc>
        <w:tc>
          <w:tcPr>
            <w:tcW w:type="dxa" w:w="864"/>
            <w:shd w:fill="FFFFFF" w:val="clear"/>
          </w:tcPr>
          <w:p>
            <w:pPr>
              <w:jc w:val="center"/>
            </w:pPr>
            <w:r>
              <w:rPr>
                <w:rFonts w:ascii="Calibri" w:hAnsi="Calibri"/>
                <w:sz w:val="19"/>
              </w:rPr>
              <w:t>2,307</w:t>
            </w:r>
          </w:p>
        </w:tc>
        <w:tc>
          <w:tcPr>
            <w:tcW w:type="dxa" w:w="1224"/>
            <w:shd w:fill="FFFFFF" w:val="clear"/>
          </w:tcPr>
          <w:p>
            <w:pPr>
              <w:jc w:val="center"/>
            </w:pPr>
            <w:r>
              <w:rPr>
                <w:rFonts w:ascii="Calibri" w:hAnsi="Calibri"/>
                <w:sz w:val="19"/>
              </w:rPr>
              <w:t>98.4%</w:t>
            </w:r>
          </w:p>
        </w:tc>
        <w:tc>
          <w:tcPr>
            <w:tcW w:type="dxa" w:w="1224"/>
            <w:shd w:fill="FFFFFF" w:val="clear"/>
          </w:tcPr>
          <w:p>
            <w:pPr>
              <w:jc w:val="center"/>
            </w:pPr>
            <w:r>
              <w:rPr>
                <w:rFonts w:ascii="Calibri" w:hAnsi="Calibri"/>
                <w:sz w:val="19"/>
              </w:rPr>
              <w:t>100.0%</w:t>
            </w:r>
          </w:p>
        </w:tc>
        <w:tc>
          <w:tcPr>
            <w:tcW w:type="dxa" w:w="1224"/>
            <w:shd w:fill="FFFFFF" w:val="clear"/>
          </w:tcPr>
          <w:p>
            <w:pPr>
              <w:jc w:val="center"/>
            </w:pPr>
            <w:r>
              <w:rPr>
                <w:rFonts w:ascii="Calibri" w:hAnsi="Calibri"/>
                <w:sz w:val="19"/>
              </w:rPr>
              <w:t>97.6%</w:t>
            </w:r>
          </w:p>
        </w:tc>
        <w:tc>
          <w:tcPr>
            <w:tcW w:type="dxa" w:w="1224"/>
            <w:shd w:fill="FFFFFF" w:val="clear"/>
          </w:tcPr>
          <w:p>
            <w:pPr>
              <w:jc w:val="center"/>
            </w:pPr>
            <w:r>
              <w:rPr>
                <w:rFonts w:ascii="Calibri" w:hAnsi="Calibri"/>
                <w:sz w:val="19"/>
              </w:rPr>
              <w:t>100.0%</w:t>
            </w:r>
          </w:p>
        </w:tc>
        <w:tc>
          <w:tcPr>
            <w:tcW w:type="dxa" w:w="1224"/>
            <w:shd w:fill="FFFFFF" w:val="clear"/>
          </w:tcPr>
          <w:p>
            <w:pPr>
              <w:jc w:val="center"/>
            </w:pPr>
            <w:r>
              <w:rPr>
                <w:rFonts w:ascii="Calibri" w:hAnsi="Calibri"/>
                <w:sz w:val="19"/>
              </w:rPr>
              <w:t>0.0%</w:t>
            </w:r>
          </w:p>
        </w:tc>
      </w:tr>
      <w:tr>
        <w:tc>
          <w:tcPr>
            <w:tcW w:type="dxa" w:w="3024"/>
            <w:shd w:fill="EAF2FB" w:val="clear"/>
          </w:tcPr>
          <w:p>
            <w:pPr>
              <w:jc w:val="left"/>
            </w:pPr>
            <w:r>
              <w:rPr>
                <w:rFonts w:ascii="Calibri" w:hAnsi="Calibri"/>
                <w:sz w:val="19"/>
              </w:rPr>
              <w:t>Ours V3 Final</w:t>
            </w:r>
          </w:p>
        </w:tc>
        <w:tc>
          <w:tcPr>
            <w:tcW w:type="dxa" w:w="864"/>
            <w:shd w:fill="EAF2FB" w:val="clear"/>
          </w:tcPr>
          <w:p>
            <w:pPr>
              <w:jc w:val="center"/>
            </w:pPr>
            <w:r>
              <w:rPr>
                <w:rFonts w:ascii="Calibri" w:hAnsi="Calibri"/>
                <w:sz w:val="19"/>
              </w:rPr>
              <w:t>2,307</w:t>
            </w:r>
          </w:p>
        </w:tc>
        <w:tc>
          <w:tcPr>
            <w:tcW w:type="dxa" w:w="1224"/>
            <w:shd w:fill="EAF2FB" w:val="clear"/>
          </w:tcPr>
          <w:p>
            <w:pPr>
              <w:jc w:val="center"/>
            </w:pPr>
            <w:r>
              <w:rPr>
                <w:rFonts w:ascii="Calibri" w:hAnsi="Calibri"/>
                <w:sz w:val="19"/>
              </w:rPr>
              <w:t>98.4%</w:t>
            </w:r>
          </w:p>
        </w:tc>
        <w:tc>
          <w:tcPr>
            <w:tcW w:type="dxa" w:w="1224"/>
            <w:shd w:fill="EAF2FB" w:val="clear"/>
          </w:tcPr>
          <w:p>
            <w:pPr>
              <w:jc w:val="center"/>
            </w:pPr>
            <w:r>
              <w:rPr>
                <w:rFonts w:ascii="Calibri" w:hAnsi="Calibri"/>
                <w:sz w:val="19"/>
              </w:rPr>
              <w:t>100.0%</w:t>
            </w:r>
          </w:p>
        </w:tc>
        <w:tc>
          <w:tcPr>
            <w:tcW w:type="dxa" w:w="1224"/>
            <w:shd w:fill="EAF2FB" w:val="clear"/>
          </w:tcPr>
          <w:p>
            <w:pPr>
              <w:jc w:val="center"/>
            </w:pPr>
            <w:r>
              <w:rPr>
                <w:rFonts w:ascii="Calibri" w:hAnsi="Calibri"/>
                <w:sz w:val="19"/>
              </w:rPr>
              <w:t>97.6%</w:t>
            </w:r>
          </w:p>
        </w:tc>
        <w:tc>
          <w:tcPr>
            <w:tcW w:type="dxa" w:w="1224"/>
            <w:shd w:fill="EAF2FB" w:val="clear"/>
          </w:tcPr>
          <w:p>
            <w:pPr>
              <w:jc w:val="center"/>
            </w:pPr>
            <w:r>
              <w:rPr>
                <w:rFonts w:ascii="Calibri" w:hAnsi="Calibri"/>
                <w:sz w:val="19"/>
              </w:rPr>
              <w:t>100.0%</w:t>
            </w:r>
          </w:p>
        </w:tc>
        <w:tc>
          <w:tcPr>
            <w:tcW w:type="dxa" w:w="1224"/>
            <w:shd w:fill="EAF2FB" w:val="clear"/>
          </w:tcPr>
          <w:p>
            <w:pPr>
              <w:jc w:val="center"/>
            </w:pPr>
            <w:r>
              <w:rPr>
                <w:rFonts w:ascii="Calibri" w:hAnsi="Calibri"/>
                <w:sz w:val="19"/>
              </w:rPr>
              <w:t>0.0%</w:t>
            </w:r>
          </w:p>
        </w:tc>
      </w:tr>
    </w:tbl>
    <w:p>
      <w:pPr>
        <w:spacing w:before="60" w:after="200"/>
        <w:jc w:val="center"/>
      </w:pPr>
      <w:r>
        <w:rPr>
          <w:rFonts w:ascii="Calibri" w:hAnsi="Calibri"/>
          <w:i/>
          <w:color w:val="505050"/>
          <w:sz w:val="19"/>
        </w:rPr>
        <w:t>Table 7. Overall performance (n = filled pages only; blank docs excluded from main metrics). ★ Primary inference model. † 0.0% reflects class vocabulary mismatch, not model failure. ‡ Pending H100 evaluation.</w:t>
      </w:r>
    </w:p>
    <w:p>
      <w:pPr>
        <w:spacing w:before="0" w:after="100"/>
        <w:jc w:val="both"/>
      </w:pPr>
      <w:r>
        <w:rPr>
          <w:rFonts w:ascii="Calibri" w:hAnsi="Calibri"/>
          <w:color w:val="1E1E1E"/>
          <w:sz w:val="21"/>
        </w:rPr>
        <w:t>The zero-shot baseline achieves strong classification accuracy (80.6%) reflecting Qwen2.5-VL's pre-trained document knowledge, but fails critically on bundle splitting (Split IoU 29.8%) and structured extraction (Field F1 51.9%). Fine-tuning produces large consistent gains across all tasks: +17.8pp classification, +70.2pp Split IoU, +45.8pp Field F1. The convergence between checkpoints 2000, 2250, and final (all 97.6-97.7% F1) indicates saturation before epoch completion — consistent with one-epoch training on a model with strong pre-trained document knowledge.</w:t>
      </w:r>
    </w:p>
    <w:p>
      <w:pPr>
        <w:spacing w:before="0" w:after="100"/>
        <w:jc w:val="both"/>
      </w:pPr>
      <w:r>
        <w:rPr>
          <w:rFonts w:ascii="Calibri" w:hAnsi="Calibri"/>
          <w:color w:val="1E1E1E"/>
          <w:sz w:val="21"/>
        </w:rPr>
        <w:t>The prior iteration (V2) achieves perfect classification and splitting but lower field F1 (93.8%) and 12.5% blank hallucination rate — directly attributable to the annotation key errors and absent blank-form training examples documented in Section 6.6.</w:t>
      </w:r>
    </w:p>
    <w:p>
      <w:pPr>
        <w:spacing w:before="200" w:after="60"/>
      </w:pPr>
      <w:r>
        <w:rPr>
          <w:rFonts w:ascii="Calibri" w:hAnsi="Calibri"/>
          <w:b/>
          <w:color w:val="0060A9"/>
          <w:sz w:val="22"/>
        </w:rPr>
        <w:t>9.2  Per-Class Classification and Extraction</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3600"/>
            <w:shd w:fill="003A70" w:val="clear"/>
          </w:tcPr>
          <w:p>
            <w:pPr>
              <w:jc w:val="center"/>
            </w:pPr>
            <w:r>
              <w:rPr>
                <w:rFonts w:ascii="Calibri" w:hAnsi="Calibri"/>
                <w:b/>
                <w:color w:val="FFFFFF"/>
                <w:sz w:val="19"/>
              </w:rPr>
              <w:t>Document Class</w:t>
            </w:r>
          </w:p>
        </w:tc>
        <w:tc>
          <w:tcPr>
            <w:tcW w:type="dxa" w:w="720"/>
            <w:shd w:fill="003A70" w:val="clear"/>
          </w:tcPr>
          <w:p>
            <w:pPr>
              <w:jc w:val="center"/>
            </w:pPr>
            <w:r>
              <w:rPr>
                <w:rFonts w:ascii="Calibri" w:hAnsi="Calibri"/>
                <w:b/>
                <w:color w:val="FFFFFF"/>
                <w:sz w:val="19"/>
              </w:rPr>
              <w:t>n</w:t>
            </w:r>
          </w:p>
        </w:tc>
        <w:tc>
          <w:tcPr>
            <w:tcW w:type="dxa" w:w="1224"/>
            <w:shd w:fill="003A70" w:val="clear"/>
          </w:tcPr>
          <w:p>
            <w:pPr>
              <w:jc w:val="center"/>
            </w:pPr>
            <w:r>
              <w:rPr>
                <w:rFonts w:ascii="Calibri" w:hAnsi="Calibri"/>
                <w:b/>
                <w:color w:val="FFFFFF"/>
                <w:sz w:val="19"/>
              </w:rPr>
              <w:t>Cls Acc</w:t>
            </w:r>
          </w:p>
        </w:tc>
        <w:tc>
          <w:tcPr>
            <w:tcW w:type="dxa" w:w="1224"/>
            <w:shd w:fill="003A70" w:val="clear"/>
          </w:tcPr>
          <w:p>
            <w:pPr>
              <w:jc w:val="center"/>
            </w:pPr>
            <w:r>
              <w:rPr>
                <w:rFonts w:ascii="Calibri" w:hAnsi="Calibri"/>
                <w:b/>
                <w:color w:val="FFFFFF"/>
                <w:sz w:val="19"/>
              </w:rPr>
              <w:t>Field F1</w:t>
            </w:r>
          </w:p>
        </w:tc>
        <w:tc>
          <w:tcPr>
            <w:tcW w:type="dxa" w:w="1152"/>
            <w:shd w:fill="003A70" w:val="clear"/>
          </w:tcPr>
          <w:p>
            <w:pPr>
              <w:jc w:val="center"/>
            </w:pPr>
            <w:r>
              <w:rPr>
                <w:rFonts w:ascii="Calibri" w:hAnsi="Calibri"/>
                <w:b/>
                <w:color w:val="FFFFFF"/>
                <w:sz w:val="19"/>
              </w:rPr>
              <w:t>ZS Cls</w:t>
            </w:r>
          </w:p>
        </w:tc>
        <w:tc>
          <w:tcPr>
            <w:tcW w:type="dxa" w:w="1152"/>
            <w:shd w:fill="003A70" w:val="clear"/>
          </w:tcPr>
          <w:p>
            <w:pPr>
              <w:jc w:val="center"/>
            </w:pPr>
            <w:r>
              <w:rPr>
                <w:rFonts w:ascii="Calibri" w:hAnsi="Calibri"/>
                <w:b/>
                <w:color w:val="FFFFFF"/>
                <w:sz w:val="19"/>
              </w:rPr>
              <w:t>ZS F1</w:t>
            </w:r>
          </w:p>
        </w:tc>
      </w:tr>
      <w:tr>
        <w:tc>
          <w:tcPr>
            <w:tcW w:type="dxa" w:w="3600"/>
            <w:shd w:fill="EAF2FB" w:val="clear"/>
          </w:tcPr>
          <w:p>
            <w:pPr>
              <w:jc w:val="left"/>
            </w:pPr>
            <w:r>
              <w:rPr>
                <w:rFonts w:ascii="Calibri" w:hAnsi="Calibri"/>
                <w:sz w:val="19"/>
              </w:rPr>
              <w:t>Commercial Invoice</w:t>
            </w:r>
          </w:p>
        </w:tc>
        <w:tc>
          <w:tcPr>
            <w:tcW w:type="dxa" w:w="720"/>
            <w:shd w:fill="EAF2FB" w:val="clear"/>
          </w:tcPr>
          <w:p>
            <w:pPr>
              <w:jc w:val="center"/>
            </w:pPr>
            <w:r>
              <w:rPr>
                <w:rFonts w:ascii="Calibri" w:hAnsi="Calibri"/>
                <w:sz w:val="19"/>
              </w:rPr>
              <w:t>388</w:t>
            </w:r>
          </w:p>
        </w:tc>
        <w:tc>
          <w:tcPr>
            <w:tcW w:type="dxa" w:w="1224"/>
            <w:shd w:fill="EAF2FB" w:val="clear"/>
          </w:tcPr>
          <w:p>
            <w:pPr>
              <w:jc w:val="center"/>
            </w:pPr>
            <w:r>
              <w:rPr>
                <w:rFonts w:ascii="Calibri" w:hAnsi="Calibri"/>
                <w:sz w:val="19"/>
              </w:rPr>
              <w:t>100.0%</w:t>
            </w:r>
          </w:p>
        </w:tc>
        <w:tc>
          <w:tcPr>
            <w:tcW w:type="dxa" w:w="1224"/>
            <w:shd w:fill="EAF2FB" w:val="clear"/>
          </w:tcPr>
          <w:p>
            <w:pPr>
              <w:jc w:val="center"/>
            </w:pPr>
            <w:r>
              <w:rPr>
                <w:rFonts w:ascii="Calibri" w:hAnsi="Calibri"/>
                <w:sz w:val="19"/>
              </w:rPr>
              <w:t>99.9%</w:t>
            </w:r>
          </w:p>
        </w:tc>
        <w:tc>
          <w:tcPr>
            <w:tcW w:type="dxa" w:w="1152"/>
            <w:shd w:fill="EAF2FB" w:val="clear"/>
          </w:tcPr>
          <w:p>
            <w:pPr>
              <w:jc w:val="center"/>
            </w:pPr>
            <w:r>
              <w:rPr>
                <w:rFonts w:ascii="Calibri" w:hAnsi="Calibri"/>
                <w:sz w:val="19"/>
              </w:rPr>
              <w:t>99.0%</w:t>
            </w:r>
          </w:p>
        </w:tc>
        <w:tc>
          <w:tcPr>
            <w:tcW w:type="dxa" w:w="1152"/>
            <w:shd w:fill="EAF2FB" w:val="clear"/>
          </w:tcPr>
          <w:p>
            <w:pPr>
              <w:jc w:val="center"/>
            </w:pPr>
            <w:r>
              <w:rPr>
                <w:rFonts w:ascii="Calibri" w:hAnsi="Calibri"/>
                <w:sz w:val="19"/>
              </w:rPr>
              <w:t>43.6%</w:t>
            </w:r>
          </w:p>
        </w:tc>
      </w:tr>
      <w:tr>
        <w:tc>
          <w:tcPr>
            <w:tcW w:type="dxa" w:w="3600"/>
            <w:shd w:fill="FFFFFF" w:val="clear"/>
          </w:tcPr>
          <w:p>
            <w:pPr>
              <w:jc w:val="left"/>
            </w:pPr>
            <w:r>
              <w:rPr>
                <w:rFonts w:ascii="Calibri" w:hAnsi="Calibri"/>
                <w:sz w:val="19"/>
              </w:rPr>
              <w:t>House Bill of Lading</w:t>
            </w:r>
          </w:p>
        </w:tc>
        <w:tc>
          <w:tcPr>
            <w:tcW w:type="dxa" w:w="720"/>
            <w:shd w:fill="FFFFFF" w:val="clear"/>
          </w:tcPr>
          <w:p>
            <w:pPr>
              <w:jc w:val="center"/>
            </w:pPr>
            <w:r>
              <w:rPr>
                <w:rFonts w:ascii="Calibri" w:hAnsi="Calibri"/>
                <w:sz w:val="19"/>
              </w:rPr>
              <w:t>162</w:t>
            </w:r>
          </w:p>
        </w:tc>
        <w:tc>
          <w:tcPr>
            <w:tcW w:type="dxa" w:w="1224"/>
            <w:shd w:fill="FFFFFF" w:val="clear"/>
          </w:tcPr>
          <w:p>
            <w:pPr>
              <w:jc w:val="center"/>
            </w:pPr>
            <w:r>
              <w:rPr>
                <w:rFonts w:ascii="Calibri" w:hAnsi="Calibri"/>
                <w:sz w:val="19"/>
              </w:rPr>
              <w:t>100.0%</w:t>
            </w:r>
          </w:p>
        </w:tc>
        <w:tc>
          <w:tcPr>
            <w:tcW w:type="dxa" w:w="1224"/>
            <w:shd w:fill="FFFFFF" w:val="clear"/>
          </w:tcPr>
          <w:p>
            <w:pPr>
              <w:jc w:val="center"/>
            </w:pPr>
            <w:r>
              <w:rPr>
                <w:rFonts w:ascii="Calibri" w:hAnsi="Calibri"/>
                <w:sz w:val="19"/>
              </w:rPr>
              <w:t>99.9%</w:t>
            </w:r>
          </w:p>
        </w:tc>
        <w:tc>
          <w:tcPr>
            <w:tcW w:type="dxa" w:w="1152"/>
            <w:shd w:fill="FFFFFF" w:val="clear"/>
          </w:tcPr>
          <w:p>
            <w:pPr>
              <w:jc w:val="center"/>
            </w:pPr>
            <w:r>
              <w:rPr>
                <w:rFonts w:ascii="Calibri" w:hAnsi="Calibri"/>
                <w:sz w:val="19"/>
              </w:rPr>
              <w:t>78.4%</w:t>
            </w:r>
          </w:p>
        </w:tc>
        <w:tc>
          <w:tcPr>
            <w:tcW w:type="dxa" w:w="1152"/>
            <w:shd w:fill="FFFFFF" w:val="clear"/>
          </w:tcPr>
          <w:p>
            <w:pPr>
              <w:jc w:val="center"/>
            </w:pPr>
            <w:r>
              <w:rPr>
                <w:rFonts w:ascii="Calibri" w:hAnsi="Calibri"/>
                <w:sz w:val="19"/>
              </w:rPr>
              <w:t>76.2%</w:t>
            </w:r>
          </w:p>
        </w:tc>
      </w:tr>
      <w:tr>
        <w:tc>
          <w:tcPr>
            <w:tcW w:type="dxa" w:w="3600"/>
            <w:shd w:fill="EAF2FB" w:val="clear"/>
          </w:tcPr>
          <w:p>
            <w:pPr>
              <w:jc w:val="left"/>
            </w:pPr>
            <w:r>
              <w:rPr>
                <w:rFonts w:ascii="Calibri" w:hAnsi="Calibri"/>
                <w:sz w:val="19"/>
              </w:rPr>
              <w:t>Certificate of Origin</w:t>
            </w:r>
          </w:p>
        </w:tc>
        <w:tc>
          <w:tcPr>
            <w:tcW w:type="dxa" w:w="720"/>
            <w:shd w:fill="EAF2FB" w:val="clear"/>
          </w:tcPr>
          <w:p>
            <w:pPr>
              <w:jc w:val="center"/>
            </w:pPr>
            <w:r>
              <w:rPr>
                <w:rFonts w:ascii="Calibri" w:hAnsi="Calibri"/>
                <w:sz w:val="19"/>
              </w:rPr>
              <w:t>125</w:t>
            </w:r>
          </w:p>
        </w:tc>
        <w:tc>
          <w:tcPr>
            <w:tcW w:type="dxa" w:w="1224"/>
            <w:shd w:fill="EAF2FB" w:val="clear"/>
          </w:tcPr>
          <w:p>
            <w:pPr>
              <w:jc w:val="center"/>
            </w:pPr>
            <w:r>
              <w:rPr>
                <w:rFonts w:ascii="Calibri" w:hAnsi="Calibri"/>
                <w:sz w:val="19"/>
              </w:rPr>
              <w:t>100.0%</w:t>
            </w:r>
          </w:p>
        </w:tc>
        <w:tc>
          <w:tcPr>
            <w:tcW w:type="dxa" w:w="1224"/>
            <w:shd w:fill="EAF2FB" w:val="clear"/>
          </w:tcPr>
          <w:p>
            <w:pPr>
              <w:jc w:val="center"/>
            </w:pPr>
            <w:r>
              <w:rPr>
                <w:rFonts w:ascii="Calibri" w:hAnsi="Calibri"/>
                <w:sz w:val="19"/>
              </w:rPr>
              <w:t>99.9%</w:t>
            </w:r>
          </w:p>
        </w:tc>
        <w:tc>
          <w:tcPr>
            <w:tcW w:type="dxa" w:w="1152"/>
            <w:shd w:fill="EAF2FB" w:val="clear"/>
          </w:tcPr>
          <w:p>
            <w:pPr>
              <w:jc w:val="center"/>
            </w:pPr>
            <w:r>
              <w:rPr>
                <w:rFonts w:ascii="Calibri" w:hAnsi="Calibri"/>
                <w:sz w:val="19"/>
              </w:rPr>
              <w:t>64.8%</w:t>
            </w:r>
          </w:p>
        </w:tc>
        <w:tc>
          <w:tcPr>
            <w:tcW w:type="dxa" w:w="1152"/>
            <w:shd w:fill="EAF2FB" w:val="clear"/>
          </w:tcPr>
          <w:p>
            <w:pPr>
              <w:jc w:val="center"/>
            </w:pPr>
            <w:r>
              <w:rPr>
                <w:rFonts w:ascii="Calibri" w:hAnsi="Calibri"/>
                <w:sz w:val="19"/>
              </w:rPr>
              <w:t>59.8%</w:t>
            </w:r>
          </w:p>
        </w:tc>
      </w:tr>
      <w:tr>
        <w:tc>
          <w:tcPr>
            <w:tcW w:type="dxa" w:w="3600"/>
            <w:shd w:fill="FFFFFF" w:val="clear"/>
          </w:tcPr>
          <w:p>
            <w:pPr>
              <w:jc w:val="left"/>
            </w:pPr>
            <w:r>
              <w:rPr>
                <w:rFonts w:ascii="Calibri" w:hAnsi="Calibri"/>
                <w:sz w:val="19"/>
              </w:rPr>
              <w:t>Shipper's Letter of Instruction</w:t>
            </w:r>
          </w:p>
        </w:tc>
        <w:tc>
          <w:tcPr>
            <w:tcW w:type="dxa" w:w="720"/>
            <w:shd w:fill="FFFFFF" w:val="clear"/>
          </w:tcPr>
          <w:p>
            <w:pPr>
              <w:jc w:val="center"/>
            </w:pPr>
            <w:r>
              <w:rPr>
                <w:rFonts w:ascii="Calibri" w:hAnsi="Calibri"/>
                <w:sz w:val="19"/>
              </w:rPr>
              <w:t>155</w:t>
            </w:r>
          </w:p>
        </w:tc>
        <w:tc>
          <w:tcPr>
            <w:tcW w:type="dxa" w:w="1224"/>
            <w:shd w:fill="FFFFFF" w:val="clear"/>
          </w:tcPr>
          <w:p>
            <w:pPr>
              <w:jc w:val="center"/>
            </w:pPr>
            <w:r>
              <w:rPr>
                <w:rFonts w:ascii="Calibri" w:hAnsi="Calibri"/>
                <w:sz w:val="19"/>
              </w:rPr>
              <w:t>100.0%</w:t>
            </w:r>
          </w:p>
        </w:tc>
        <w:tc>
          <w:tcPr>
            <w:tcW w:type="dxa" w:w="1224"/>
            <w:shd w:fill="FFFFFF" w:val="clear"/>
          </w:tcPr>
          <w:p>
            <w:pPr>
              <w:jc w:val="center"/>
            </w:pPr>
            <w:r>
              <w:rPr>
                <w:rFonts w:ascii="Calibri" w:hAnsi="Calibri"/>
                <w:sz w:val="19"/>
              </w:rPr>
              <w:t>97.8%</w:t>
            </w:r>
          </w:p>
        </w:tc>
        <w:tc>
          <w:tcPr>
            <w:tcW w:type="dxa" w:w="1152"/>
            <w:shd w:fill="FFFFFF" w:val="clear"/>
          </w:tcPr>
          <w:p>
            <w:pPr>
              <w:jc w:val="center"/>
            </w:pPr>
            <w:r>
              <w:rPr>
                <w:rFonts w:ascii="Calibri" w:hAnsi="Calibri"/>
                <w:sz w:val="19"/>
              </w:rPr>
              <w:t>41.3%</w:t>
            </w:r>
          </w:p>
        </w:tc>
        <w:tc>
          <w:tcPr>
            <w:tcW w:type="dxa" w:w="1152"/>
            <w:shd w:fill="FFFFFF" w:val="clear"/>
          </w:tcPr>
          <w:p>
            <w:pPr>
              <w:jc w:val="center"/>
            </w:pPr>
            <w:r>
              <w:rPr>
                <w:rFonts w:ascii="Calibri" w:hAnsi="Calibri"/>
                <w:sz w:val="19"/>
              </w:rPr>
              <w:t>67.3%</w:t>
            </w:r>
          </w:p>
        </w:tc>
      </w:tr>
      <w:tr>
        <w:tc>
          <w:tcPr>
            <w:tcW w:type="dxa" w:w="3600"/>
            <w:shd w:fill="EAF2FB" w:val="clear"/>
          </w:tcPr>
          <w:p>
            <w:pPr>
              <w:jc w:val="left"/>
            </w:pPr>
            <w:r>
              <w:rPr>
                <w:rFonts w:ascii="Calibri" w:hAnsi="Calibri"/>
                <w:sz w:val="19"/>
              </w:rPr>
              <w:t>Dangerous Goods Declaration</w:t>
            </w:r>
          </w:p>
        </w:tc>
        <w:tc>
          <w:tcPr>
            <w:tcW w:type="dxa" w:w="720"/>
            <w:shd w:fill="EAF2FB" w:val="clear"/>
          </w:tcPr>
          <w:p>
            <w:pPr>
              <w:jc w:val="center"/>
            </w:pPr>
            <w:r>
              <w:rPr>
                <w:rFonts w:ascii="Calibri" w:hAnsi="Calibri"/>
                <w:sz w:val="19"/>
              </w:rPr>
              <w:t>178</w:t>
            </w:r>
          </w:p>
        </w:tc>
        <w:tc>
          <w:tcPr>
            <w:tcW w:type="dxa" w:w="1224"/>
            <w:shd w:fill="EAF2FB" w:val="clear"/>
          </w:tcPr>
          <w:p>
            <w:pPr>
              <w:jc w:val="center"/>
            </w:pPr>
            <w:r>
              <w:rPr>
                <w:rFonts w:ascii="Calibri" w:hAnsi="Calibri"/>
                <w:sz w:val="19"/>
              </w:rPr>
              <w:t>100.0%</w:t>
            </w:r>
          </w:p>
        </w:tc>
        <w:tc>
          <w:tcPr>
            <w:tcW w:type="dxa" w:w="1224"/>
            <w:shd w:fill="EAF2FB" w:val="clear"/>
          </w:tcPr>
          <w:p>
            <w:pPr>
              <w:jc w:val="center"/>
            </w:pPr>
            <w:r>
              <w:rPr>
                <w:rFonts w:ascii="Calibri" w:hAnsi="Calibri"/>
                <w:sz w:val="19"/>
              </w:rPr>
              <w:t>96.6%</w:t>
            </w:r>
          </w:p>
        </w:tc>
        <w:tc>
          <w:tcPr>
            <w:tcW w:type="dxa" w:w="1152"/>
            <w:shd w:fill="EAF2FB" w:val="clear"/>
          </w:tcPr>
          <w:p>
            <w:pPr>
              <w:jc w:val="center"/>
            </w:pPr>
            <w:r>
              <w:rPr>
                <w:rFonts w:ascii="Calibri" w:hAnsi="Calibri"/>
                <w:sz w:val="19"/>
              </w:rPr>
              <w:t>77.5%</w:t>
            </w:r>
          </w:p>
        </w:tc>
        <w:tc>
          <w:tcPr>
            <w:tcW w:type="dxa" w:w="1152"/>
            <w:shd w:fill="EAF2FB" w:val="clear"/>
          </w:tcPr>
          <w:p>
            <w:pPr>
              <w:jc w:val="center"/>
            </w:pPr>
            <w:r>
              <w:rPr>
                <w:rFonts w:ascii="Calibri" w:hAnsi="Calibri"/>
                <w:sz w:val="19"/>
              </w:rPr>
              <w:t>61.9%</w:t>
            </w:r>
          </w:p>
        </w:tc>
      </w:tr>
      <w:tr>
        <w:tc>
          <w:tcPr>
            <w:tcW w:type="dxa" w:w="3600"/>
            <w:shd w:fill="FFFFFF" w:val="clear"/>
          </w:tcPr>
          <w:p>
            <w:pPr>
              <w:jc w:val="left"/>
            </w:pPr>
            <w:r>
              <w:rPr>
                <w:rFonts w:ascii="Calibri" w:hAnsi="Calibri"/>
                <w:sz w:val="19"/>
              </w:rPr>
              <w:t>Verified Gross Mass</w:t>
            </w:r>
          </w:p>
        </w:tc>
        <w:tc>
          <w:tcPr>
            <w:tcW w:type="dxa" w:w="720"/>
            <w:shd w:fill="FFFFFF" w:val="clear"/>
          </w:tcPr>
          <w:p>
            <w:pPr>
              <w:jc w:val="center"/>
            </w:pPr>
            <w:r>
              <w:rPr>
                <w:rFonts w:ascii="Calibri" w:hAnsi="Calibri"/>
                <w:sz w:val="19"/>
              </w:rPr>
              <w:t>155</w:t>
            </w:r>
          </w:p>
        </w:tc>
        <w:tc>
          <w:tcPr>
            <w:tcW w:type="dxa" w:w="1224"/>
            <w:shd w:fill="FFFFFF" w:val="clear"/>
          </w:tcPr>
          <w:p>
            <w:pPr>
              <w:jc w:val="center"/>
            </w:pPr>
            <w:r>
              <w:rPr>
                <w:rFonts w:ascii="Calibri" w:hAnsi="Calibri"/>
                <w:sz w:val="19"/>
              </w:rPr>
              <w:t>100.0%</w:t>
            </w:r>
          </w:p>
        </w:tc>
        <w:tc>
          <w:tcPr>
            <w:tcW w:type="dxa" w:w="1224"/>
            <w:shd w:fill="FFFFFF" w:val="clear"/>
          </w:tcPr>
          <w:p>
            <w:pPr>
              <w:jc w:val="center"/>
            </w:pPr>
            <w:r>
              <w:rPr>
                <w:rFonts w:ascii="Calibri" w:hAnsi="Calibri"/>
                <w:sz w:val="19"/>
              </w:rPr>
              <w:t>98.0%</w:t>
            </w:r>
          </w:p>
        </w:tc>
        <w:tc>
          <w:tcPr>
            <w:tcW w:type="dxa" w:w="1152"/>
            <w:shd w:fill="FFFFFF" w:val="clear"/>
          </w:tcPr>
          <w:p>
            <w:pPr>
              <w:jc w:val="center"/>
            </w:pPr>
            <w:r>
              <w:rPr>
                <w:rFonts w:ascii="Calibri" w:hAnsi="Calibri"/>
                <w:sz w:val="19"/>
              </w:rPr>
              <w:t>99.4%</w:t>
            </w:r>
          </w:p>
        </w:tc>
        <w:tc>
          <w:tcPr>
            <w:tcW w:type="dxa" w:w="1152"/>
            <w:shd w:fill="FFFFFF" w:val="clear"/>
          </w:tcPr>
          <w:p>
            <w:pPr>
              <w:jc w:val="center"/>
            </w:pPr>
            <w:r>
              <w:rPr>
                <w:rFonts w:ascii="Calibri" w:hAnsi="Calibri"/>
                <w:sz w:val="19"/>
              </w:rPr>
              <w:t>59.2%</w:t>
            </w:r>
          </w:p>
        </w:tc>
      </w:tr>
      <w:tr>
        <w:tc>
          <w:tcPr>
            <w:tcW w:type="dxa" w:w="3600"/>
            <w:shd w:fill="EAF2FB" w:val="clear"/>
          </w:tcPr>
          <w:p>
            <w:pPr>
              <w:jc w:val="left"/>
            </w:pPr>
            <w:r>
              <w:rPr>
                <w:rFonts w:ascii="Calibri" w:hAnsi="Calibri"/>
                <w:sz w:val="19"/>
              </w:rPr>
              <w:t>House Airway Bill</w:t>
            </w:r>
          </w:p>
        </w:tc>
        <w:tc>
          <w:tcPr>
            <w:tcW w:type="dxa" w:w="720"/>
            <w:shd w:fill="EAF2FB" w:val="clear"/>
          </w:tcPr>
          <w:p>
            <w:pPr>
              <w:jc w:val="center"/>
            </w:pPr>
            <w:r>
              <w:rPr>
                <w:rFonts w:ascii="Calibri" w:hAnsi="Calibri"/>
                <w:sz w:val="19"/>
              </w:rPr>
              <w:t>152</w:t>
            </w:r>
          </w:p>
        </w:tc>
        <w:tc>
          <w:tcPr>
            <w:tcW w:type="dxa" w:w="1224"/>
            <w:shd w:fill="EAF2FB" w:val="clear"/>
          </w:tcPr>
          <w:p>
            <w:pPr>
              <w:jc w:val="center"/>
            </w:pPr>
            <w:r>
              <w:rPr>
                <w:rFonts w:ascii="Calibri" w:hAnsi="Calibri"/>
                <w:sz w:val="19"/>
              </w:rPr>
              <w:t>100.0%</w:t>
            </w:r>
          </w:p>
        </w:tc>
        <w:tc>
          <w:tcPr>
            <w:tcW w:type="dxa" w:w="1224"/>
            <w:shd w:fill="EAF2FB" w:val="clear"/>
          </w:tcPr>
          <w:p>
            <w:pPr>
              <w:jc w:val="center"/>
            </w:pPr>
            <w:r>
              <w:rPr>
                <w:rFonts w:ascii="Calibri" w:hAnsi="Calibri"/>
                <w:sz w:val="19"/>
              </w:rPr>
              <w:t>83.8%</w:t>
            </w:r>
          </w:p>
        </w:tc>
        <w:tc>
          <w:tcPr>
            <w:tcW w:type="dxa" w:w="1152"/>
            <w:shd w:fill="EAF2FB" w:val="clear"/>
          </w:tcPr>
          <w:p>
            <w:pPr>
              <w:jc w:val="center"/>
            </w:pPr>
            <w:r>
              <w:rPr>
                <w:rFonts w:ascii="Calibri" w:hAnsi="Calibri"/>
                <w:sz w:val="19"/>
              </w:rPr>
              <w:t>99.3%</w:t>
            </w:r>
          </w:p>
        </w:tc>
        <w:tc>
          <w:tcPr>
            <w:tcW w:type="dxa" w:w="1152"/>
            <w:shd w:fill="EAF2FB" w:val="clear"/>
          </w:tcPr>
          <w:p>
            <w:pPr>
              <w:jc w:val="center"/>
            </w:pPr>
            <w:r>
              <w:rPr>
                <w:rFonts w:ascii="Calibri" w:hAnsi="Calibri"/>
                <w:sz w:val="19"/>
              </w:rPr>
              <w:t>44.9%</w:t>
            </w:r>
          </w:p>
        </w:tc>
      </w:tr>
      <w:tr>
        <w:tc>
          <w:tcPr>
            <w:tcW w:type="dxa" w:w="3600"/>
            <w:shd w:fill="FFFFFF" w:val="clear"/>
          </w:tcPr>
          <w:p>
            <w:pPr>
              <w:jc w:val="left"/>
            </w:pPr>
            <w:r>
              <w:rPr>
                <w:rFonts w:ascii="Calibri" w:hAnsi="Calibri"/>
                <w:sz w:val="19"/>
              </w:rPr>
              <w:t>Packing List</w:t>
            </w:r>
          </w:p>
        </w:tc>
        <w:tc>
          <w:tcPr>
            <w:tcW w:type="dxa" w:w="720"/>
            <w:shd w:fill="FFFFFF" w:val="clear"/>
          </w:tcPr>
          <w:p>
            <w:pPr>
              <w:jc w:val="center"/>
            </w:pPr>
            <w:r>
              <w:rPr>
                <w:rFonts w:ascii="Calibri" w:hAnsi="Calibri"/>
                <w:sz w:val="19"/>
              </w:rPr>
              <w:t>294</w:t>
            </w:r>
          </w:p>
        </w:tc>
        <w:tc>
          <w:tcPr>
            <w:tcW w:type="dxa" w:w="1224"/>
            <w:shd w:fill="FFFFFF" w:val="clear"/>
          </w:tcPr>
          <w:p>
            <w:pPr>
              <w:jc w:val="center"/>
            </w:pPr>
            <w:r>
              <w:rPr>
                <w:rFonts w:ascii="Calibri" w:hAnsi="Calibri"/>
                <w:sz w:val="19"/>
              </w:rPr>
              <w:t>100.0%</w:t>
            </w:r>
          </w:p>
        </w:tc>
        <w:tc>
          <w:tcPr>
            <w:tcW w:type="dxa" w:w="1224"/>
            <w:shd w:fill="FFFFFF" w:val="clear"/>
          </w:tcPr>
          <w:p>
            <w:pPr>
              <w:jc w:val="center"/>
            </w:pPr>
            <w:r>
              <w:rPr>
                <w:rFonts w:ascii="Calibri" w:hAnsi="Calibri"/>
                <w:sz w:val="19"/>
              </w:rPr>
              <w:t>99.8%</w:t>
            </w:r>
          </w:p>
        </w:tc>
        <w:tc>
          <w:tcPr>
            <w:tcW w:type="dxa" w:w="1152"/>
            <w:shd w:fill="FFFFFF" w:val="clear"/>
          </w:tcPr>
          <w:p>
            <w:pPr>
              <w:jc w:val="center"/>
            </w:pPr>
            <w:r>
              <w:rPr>
                <w:rFonts w:ascii="Calibri" w:hAnsi="Calibri"/>
                <w:sz w:val="19"/>
              </w:rPr>
              <w:t>99.7%</w:t>
            </w:r>
          </w:p>
        </w:tc>
        <w:tc>
          <w:tcPr>
            <w:tcW w:type="dxa" w:w="1152"/>
            <w:shd w:fill="FFFFFF" w:val="clear"/>
          </w:tcPr>
          <w:p>
            <w:pPr>
              <w:jc w:val="center"/>
            </w:pPr>
            <w:r>
              <w:rPr>
                <w:rFonts w:ascii="Calibri" w:hAnsi="Calibri"/>
                <w:sz w:val="19"/>
              </w:rPr>
              <w:t>53.4%</w:t>
            </w:r>
          </w:p>
        </w:tc>
      </w:tr>
      <w:tr>
        <w:tc>
          <w:tcPr>
            <w:tcW w:type="dxa" w:w="3600"/>
            <w:shd w:fill="EAF2FB" w:val="clear"/>
          </w:tcPr>
          <w:p>
            <w:pPr>
              <w:jc w:val="left"/>
            </w:pPr>
            <w:r>
              <w:rPr>
                <w:rFonts w:ascii="Calibri" w:hAnsi="Calibri"/>
                <w:sz w:val="19"/>
              </w:rPr>
              <w:t>Customs Declaration</w:t>
            </w:r>
          </w:p>
        </w:tc>
        <w:tc>
          <w:tcPr>
            <w:tcW w:type="dxa" w:w="720"/>
            <w:shd w:fill="EAF2FB" w:val="clear"/>
          </w:tcPr>
          <w:p>
            <w:pPr>
              <w:jc w:val="center"/>
            </w:pPr>
            <w:r>
              <w:rPr>
                <w:rFonts w:ascii="Calibri" w:hAnsi="Calibri"/>
                <w:sz w:val="19"/>
              </w:rPr>
              <w:t>208</w:t>
            </w:r>
          </w:p>
        </w:tc>
        <w:tc>
          <w:tcPr>
            <w:tcW w:type="dxa" w:w="1224"/>
            <w:shd w:fill="EAF2FB" w:val="clear"/>
          </w:tcPr>
          <w:p>
            <w:pPr>
              <w:jc w:val="center"/>
            </w:pPr>
            <w:r>
              <w:rPr>
                <w:rFonts w:ascii="Calibri" w:hAnsi="Calibri"/>
                <w:sz w:val="19"/>
              </w:rPr>
              <w:t>100.0%</w:t>
            </w:r>
          </w:p>
        </w:tc>
        <w:tc>
          <w:tcPr>
            <w:tcW w:type="dxa" w:w="1224"/>
            <w:shd w:fill="EAF2FB" w:val="clear"/>
          </w:tcPr>
          <w:p>
            <w:pPr>
              <w:jc w:val="center"/>
            </w:pPr>
            <w:r>
              <w:rPr>
                <w:rFonts w:ascii="Calibri" w:hAnsi="Calibri"/>
                <w:sz w:val="19"/>
              </w:rPr>
              <w:t>97.5%</w:t>
            </w:r>
          </w:p>
        </w:tc>
        <w:tc>
          <w:tcPr>
            <w:tcW w:type="dxa" w:w="1152"/>
            <w:shd w:fill="EAF2FB" w:val="clear"/>
          </w:tcPr>
          <w:p>
            <w:pPr>
              <w:jc w:val="center"/>
            </w:pPr>
            <w:r>
              <w:rPr>
                <w:rFonts w:ascii="Calibri" w:hAnsi="Calibri"/>
                <w:sz w:val="19"/>
              </w:rPr>
              <w:t>92.3%</w:t>
            </w:r>
          </w:p>
        </w:tc>
        <w:tc>
          <w:tcPr>
            <w:tcW w:type="dxa" w:w="1152"/>
            <w:shd w:fill="EAF2FB" w:val="clear"/>
          </w:tcPr>
          <w:p>
            <w:pPr>
              <w:jc w:val="center"/>
            </w:pPr>
            <w:r>
              <w:rPr>
                <w:rFonts w:ascii="Calibri" w:hAnsi="Calibri"/>
                <w:sz w:val="19"/>
              </w:rPr>
              <w:t>57.4%</w:t>
            </w:r>
          </w:p>
        </w:tc>
      </w:tr>
      <w:tr>
        <w:tc>
          <w:tcPr>
            <w:tcW w:type="dxa" w:w="3600"/>
            <w:shd w:fill="FFFFFF" w:val="clear"/>
          </w:tcPr>
          <w:p>
            <w:pPr>
              <w:jc w:val="left"/>
            </w:pPr>
            <w:r>
              <w:rPr>
                <w:rFonts w:ascii="Calibri" w:hAnsi="Calibri"/>
                <w:sz w:val="19"/>
              </w:rPr>
              <w:t>Cargo Manifest</w:t>
            </w:r>
          </w:p>
        </w:tc>
        <w:tc>
          <w:tcPr>
            <w:tcW w:type="dxa" w:w="720"/>
            <w:shd w:fill="FFFFFF" w:val="clear"/>
          </w:tcPr>
          <w:p>
            <w:pPr>
              <w:jc w:val="center"/>
            </w:pPr>
            <w:r>
              <w:rPr>
                <w:rFonts w:ascii="Calibri" w:hAnsi="Calibri"/>
                <w:sz w:val="19"/>
              </w:rPr>
              <w:t>189</w:t>
            </w:r>
          </w:p>
        </w:tc>
        <w:tc>
          <w:tcPr>
            <w:tcW w:type="dxa" w:w="1224"/>
            <w:shd w:fill="FFFFFF" w:val="clear"/>
          </w:tcPr>
          <w:p>
            <w:pPr>
              <w:jc w:val="center"/>
            </w:pPr>
            <w:r>
              <w:rPr>
                <w:rFonts w:ascii="Calibri" w:hAnsi="Calibri"/>
                <w:sz w:val="19"/>
              </w:rPr>
              <w:t>100.0%</w:t>
            </w:r>
          </w:p>
        </w:tc>
        <w:tc>
          <w:tcPr>
            <w:tcW w:type="dxa" w:w="1224"/>
            <w:shd w:fill="FFFFFF" w:val="clear"/>
          </w:tcPr>
          <w:p>
            <w:pPr>
              <w:jc w:val="center"/>
            </w:pPr>
            <w:r>
              <w:rPr>
                <w:rFonts w:ascii="Calibri" w:hAnsi="Calibri"/>
                <w:sz w:val="19"/>
              </w:rPr>
              <w:t>99.6%</w:t>
            </w:r>
          </w:p>
        </w:tc>
        <w:tc>
          <w:tcPr>
            <w:tcW w:type="dxa" w:w="1152"/>
            <w:shd w:fill="FFFFFF" w:val="clear"/>
          </w:tcPr>
          <w:p>
            <w:pPr>
              <w:jc w:val="center"/>
            </w:pPr>
            <w:r>
              <w:rPr>
                <w:rFonts w:ascii="Calibri" w:hAnsi="Calibri"/>
                <w:sz w:val="19"/>
              </w:rPr>
              <w:t>99.5%</w:t>
            </w:r>
          </w:p>
        </w:tc>
        <w:tc>
          <w:tcPr>
            <w:tcW w:type="dxa" w:w="1152"/>
            <w:shd w:fill="FFFFFF" w:val="clear"/>
          </w:tcPr>
          <w:p>
            <w:pPr>
              <w:jc w:val="center"/>
            </w:pPr>
            <w:r>
              <w:rPr>
                <w:rFonts w:ascii="Calibri" w:hAnsi="Calibri"/>
                <w:sz w:val="19"/>
              </w:rPr>
              <w:t>15.7%</w:t>
            </w:r>
          </w:p>
        </w:tc>
      </w:tr>
      <w:tr>
        <w:tc>
          <w:tcPr>
            <w:tcW w:type="dxa" w:w="3600"/>
            <w:shd w:fill="EAF2FB" w:val="clear"/>
          </w:tcPr>
          <w:p>
            <w:pPr>
              <w:jc w:val="left"/>
            </w:pPr>
            <w:r>
              <w:rPr>
                <w:rFonts w:ascii="Calibri" w:hAnsi="Calibri"/>
                <w:sz w:val="19"/>
              </w:rPr>
              <w:t>Import/Export License</w:t>
            </w:r>
          </w:p>
        </w:tc>
        <w:tc>
          <w:tcPr>
            <w:tcW w:type="dxa" w:w="720"/>
            <w:shd w:fill="EAF2FB" w:val="clear"/>
          </w:tcPr>
          <w:p>
            <w:pPr>
              <w:jc w:val="center"/>
            </w:pPr>
            <w:r>
              <w:rPr>
                <w:rFonts w:ascii="Calibri" w:hAnsi="Calibri"/>
                <w:sz w:val="19"/>
              </w:rPr>
              <w:t>150</w:t>
            </w:r>
          </w:p>
        </w:tc>
        <w:tc>
          <w:tcPr>
            <w:tcW w:type="dxa" w:w="1224"/>
            <w:shd w:fill="EAF2FB" w:val="clear"/>
          </w:tcPr>
          <w:p>
            <w:pPr>
              <w:jc w:val="center"/>
            </w:pPr>
            <w:r>
              <w:rPr>
                <w:rFonts w:ascii="Calibri" w:hAnsi="Calibri"/>
                <w:sz w:val="19"/>
              </w:rPr>
              <w:t>75.3%</w:t>
            </w:r>
          </w:p>
        </w:tc>
        <w:tc>
          <w:tcPr>
            <w:tcW w:type="dxa" w:w="1224"/>
            <w:shd w:fill="EAF2FB" w:val="clear"/>
          </w:tcPr>
          <w:p>
            <w:pPr>
              <w:jc w:val="center"/>
            </w:pPr>
            <w:r>
              <w:rPr>
                <w:rFonts w:ascii="Calibri" w:hAnsi="Calibri"/>
                <w:sz w:val="19"/>
              </w:rPr>
              <w:t>97.2%</w:t>
            </w:r>
          </w:p>
        </w:tc>
        <w:tc>
          <w:tcPr>
            <w:tcW w:type="dxa" w:w="1152"/>
            <w:shd w:fill="EAF2FB" w:val="clear"/>
          </w:tcPr>
          <w:p>
            <w:pPr>
              <w:jc w:val="center"/>
            </w:pPr>
            <w:r>
              <w:rPr>
                <w:rFonts w:ascii="Calibri" w:hAnsi="Calibri"/>
                <w:sz w:val="19"/>
              </w:rPr>
              <w:t>22.0%</w:t>
            </w:r>
          </w:p>
        </w:tc>
        <w:tc>
          <w:tcPr>
            <w:tcW w:type="dxa" w:w="1152"/>
            <w:shd w:fill="EAF2FB" w:val="clear"/>
          </w:tcPr>
          <w:p>
            <w:pPr>
              <w:jc w:val="center"/>
            </w:pPr>
            <w:r>
              <w:rPr>
                <w:rFonts w:ascii="Calibri" w:hAnsi="Calibri"/>
                <w:sz w:val="19"/>
              </w:rPr>
              <w:t>47.2%</w:t>
            </w:r>
          </w:p>
        </w:tc>
      </w:tr>
      <w:tr>
        <w:tc>
          <w:tcPr>
            <w:tcW w:type="dxa" w:w="3600"/>
            <w:shd w:fill="FFFFFF" w:val="clear"/>
          </w:tcPr>
          <w:p>
            <w:pPr>
              <w:jc w:val="left"/>
            </w:pPr>
            <w:r>
              <w:rPr>
                <w:rFonts w:ascii="Calibri" w:hAnsi="Calibri"/>
                <w:sz w:val="19"/>
              </w:rPr>
              <w:t>Power of Attorney</w:t>
            </w:r>
          </w:p>
        </w:tc>
        <w:tc>
          <w:tcPr>
            <w:tcW w:type="dxa" w:w="720"/>
            <w:shd w:fill="FFFFFF" w:val="clear"/>
          </w:tcPr>
          <w:p>
            <w:pPr>
              <w:jc w:val="center"/>
            </w:pPr>
            <w:r>
              <w:rPr>
                <w:rFonts w:ascii="Calibri" w:hAnsi="Calibri"/>
                <w:sz w:val="19"/>
              </w:rPr>
              <w:t>151</w:t>
            </w:r>
          </w:p>
        </w:tc>
        <w:tc>
          <w:tcPr>
            <w:tcW w:type="dxa" w:w="1224"/>
            <w:shd w:fill="FFFFFF" w:val="clear"/>
          </w:tcPr>
          <w:p>
            <w:pPr>
              <w:jc w:val="center"/>
            </w:pPr>
            <w:r>
              <w:rPr>
                <w:rFonts w:ascii="Calibri" w:hAnsi="Calibri"/>
                <w:sz w:val="19"/>
              </w:rPr>
              <w:t>100.0%</w:t>
            </w:r>
          </w:p>
        </w:tc>
        <w:tc>
          <w:tcPr>
            <w:tcW w:type="dxa" w:w="1224"/>
            <w:shd w:fill="FFFFFF" w:val="clear"/>
          </w:tcPr>
          <w:p>
            <w:pPr>
              <w:jc w:val="center"/>
            </w:pPr>
            <w:r>
              <w:rPr>
                <w:rFonts w:ascii="Calibri" w:hAnsi="Calibri"/>
                <w:sz w:val="19"/>
              </w:rPr>
              <w:t>99.7%</w:t>
            </w:r>
          </w:p>
        </w:tc>
        <w:tc>
          <w:tcPr>
            <w:tcW w:type="dxa" w:w="1152"/>
            <w:shd w:fill="FFFFFF" w:val="clear"/>
          </w:tcPr>
          <w:p>
            <w:pPr>
              <w:jc w:val="center"/>
            </w:pPr>
            <w:r>
              <w:rPr>
                <w:rFonts w:ascii="Calibri" w:hAnsi="Calibri"/>
                <w:sz w:val="19"/>
              </w:rPr>
              <w:t>35.8%</w:t>
            </w:r>
          </w:p>
        </w:tc>
        <w:tc>
          <w:tcPr>
            <w:tcW w:type="dxa" w:w="1152"/>
            <w:shd w:fill="FFFFFF" w:val="clear"/>
          </w:tcPr>
          <w:p>
            <w:pPr>
              <w:jc w:val="center"/>
            </w:pPr>
            <w:r>
              <w:rPr>
                <w:rFonts w:ascii="Calibri" w:hAnsi="Calibri"/>
                <w:sz w:val="19"/>
              </w:rPr>
              <w:t>37.3%</w:t>
            </w:r>
          </w:p>
        </w:tc>
      </w:tr>
    </w:tbl>
    <w:p>
      <w:pPr>
        <w:spacing w:before="60" w:after="200"/>
        <w:jc w:val="center"/>
      </w:pPr>
      <w:r>
        <w:rPr>
          <w:rFonts w:ascii="Calibri" w:hAnsi="Calibri"/>
          <w:i/>
          <w:color w:val="505050"/>
          <w:sz w:val="19"/>
        </w:rPr>
        <w:t>Table 8. Per-class results for Ours V3 CK-2000 vs. zero-shot baseline. ZS = Zero-Shot.</w:t>
      </w:r>
    </w:p>
    <w:p>
      <w:pPr>
        <w:spacing w:before="0" w:after="100"/>
        <w:jc w:val="both"/>
      </w:pPr>
      <w:r>
        <w:rPr>
          <w:rFonts w:ascii="Calibri" w:hAnsi="Calibri"/>
          <w:color w:val="1E1E1E"/>
          <w:sz w:val="21"/>
        </w:rPr>
        <w:t>Eleven of twelve classes achieve 100% classification accuracy. Import/Export License (IEL) is the sole exception at 75.3%, exhibiting systematic confusion with Commercial Invoice and Shipper's Letter of Instruction. All three classes share a shipper/consignee block, commodity description, and date fields; the IEL-distinguishing elements (government authority letterhead, license number under a specific heading, HS codes with regulatory formatting) require fine-grained spatial text recognition. Notably, IEL field F1 remains high (97.2%), confirming that extraction quality is maintained when the page is correctly identified — the challenge is purely classification.</w:t>
      </w:r>
    </w:p>
    <w:p>
      <w:pPr>
        <w:spacing w:before="0" w:after="100"/>
        <w:jc w:val="both"/>
      </w:pPr>
      <w:r>
        <w:rPr>
          <w:rFonts w:ascii="Calibri" w:hAnsi="Calibri"/>
          <w:color w:val="1E1E1E"/>
          <w:sz w:val="21"/>
        </w:rPr>
        <w:t>House Airway Bill achieves perfect classification but the lowest field F1 (83.8%). HAB documents use standardised IATA box codes rather than labelled fields: field locations are position-dependent rather than label-dependent, making extraction sensitive to layout variations across airline-specific HAB templates not fully covered by synthetic generation.</w:t>
      </w:r>
    </w:p>
    <w:p>
      <w:pPr>
        <w:spacing w:before="200" w:after="60"/>
      </w:pPr>
      <w:r>
        <w:rPr>
          <w:rFonts w:ascii="Calibri" w:hAnsi="Calibri"/>
          <w:b/>
          <w:color w:val="0060A9"/>
          <w:sz w:val="22"/>
        </w:rPr>
        <w:t>9.3  Per-Field Extraction Analysis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2880"/>
            <w:shd w:fill="003A70" w:val="clear"/>
          </w:tcPr>
          <w:p>
            <w:pPr>
              <w:jc w:val="center"/>
            </w:pPr>
            <w:r>
              <w:rPr>
                <w:rFonts w:ascii="Calibri" w:hAnsi="Calibri"/>
                <w:b/>
                <w:color w:val="FFFFFF"/>
                <w:sz w:val="19"/>
              </w:rPr>
              <w:t>Field</w:t>
            </w:r>
          </w:p>
        </w:tc>
        <w:tc>
          <w:tcPr>
            <w:tcW w:type="dxa" w:w="1440"/>
            <w:shd w:fill="003A70" w:val="clear"/>
          </w:tcPr>
          <w:p>
            <w:pPr>
              <w:jc w:val="center"/>
            </w:pPr>
            <w:r>
              <w:rPr>
                <w:rFonts w:ascii="Calibri" w:hAnsi="Calibri"/>
                <w:b/>
                <w:color w:val="FFFFFF"/>
                <w:sz w:val="19"/>
              </w:rPr>
              <w:t>V3 CK-2000</w:t>
            </w:r>
          </w:p>
        </w:tc>
        <w:tc>
          <w:tcPr>
            <w:tcW w:type="dxa" w:w="1440"/>
            <w:shd w:fill="003A70" w:val="clear"/>
          </w:tcPr>
          <w:p>
            <w:pPr>
              <w:jc w:val="center"/>
            </w:pPr>
            <w:r>
              <w:rPr>
                <w:rFonts w:ascii="Calibri" w:hAnsi="Calibri"/>
                <w:b/>
                <w:color w:val="FFFFFF"/>
                <w:sz w:val="19"/>
              </w:rPr>
              <w:t>Zero-Shot</w:t>
            </w:r>
          </w:p>
        </w:tc>
        <w:tc>
          <w:tcPr>
            <w:tcW w:type="dxa" w:w="1296"/>
            <w:shd w:fill="003A70" w:val="clear"/>
          </w:tcPr>
          <w:p>
            <w:pPr>
              <w:jc w:val="center"/>
            </w:pPr>
            <w:r>
              <w:rPr>
                <w:rFonts w:ascii="Calibri" w:hAnsi="Calibri"/>
                <w:b/>
                <w:color w:val="FFFFFF"/>
                <w:sz w:val="19"/>
              </w:rPr>
              <w:t>Δ</w:t>
            </w:r>
          </w:p>
        </w:tc>
        <w:tc>
          <w:tcPr>
            <w:tcW w:type="dxa" w:w="3312"/>
            <w:shd w:fill="003A70" w:val="clear"/>
          </w:tcPr>
          <w:p>
            <w:pPr>
              <w:jc w:val="center"/>
            </w:pPr>
            <w:r>
              <w:rPr>
                <w:rFonts w:ascii="Calibri" w:hAnsi="Calibri"/>
                <w:b/>
                <w:color w:val="FFFFFF"/>
                <w:sz w:val="19"/>
              </w:rPr>
              <w:t>Notes</w:t>
            </w:r>
          </w:p>
        </w:tc>
      </w:tr>
      <w:tr>
        <w:tc>
          <w:tcPr>
            <w:tcW w:type="dxa" w:w="2880"/>
            <w:shd w:fill="EAF2FB" w:val="clear"/>
          </w:tcPr>
          <w:p>
            <w:pPr>
              <w:jc w:val="left"/>
            </w:pPr>
            <w:r>
              <w:rPr>
                <w:rFonts w:ascii="Calibri" w:hAnsi="Calibri"/>
                <w:sz w:val="19"/>
              </w:rPr>
              <w:t>Shipper Name</w:t>
            </w:r>
          </w:p>
        </w:tc>
        <w:tc>
          <w:tcPr>
            <w:tcW w:type="dxa" w:w="1440"/>
            <w:shd w:fill="EAF2FB" w:val="clear"/>
          </w:tcPr>
          <w:p>
            <w:pPr>
              <w:jc w:val="center"/>
            </w:pPr>
            <w:r>
              <w:rPr>
                <w:rFonts w:ascii="Calibri" w:hAnsi="Calibri"/>
                <w:sz w:val="19"/>
              </w:rPr>
              <w:t>97.3%</w:t>
            </w:r>
          </w:p>
        </w:tc>
        <w:tc>
          <w:tcPr>
            <w:tcW w:type="dxa" w:w="1440"/>
            <w:shd w:fill="EAF2FB" w:val="clear"/>
          </w:tcPr>
          <w:p>
            <w:pPr>
              <w:jc w:val="center"/>
            </w:pPr>
            <w:r>
              <w:rPr>
                <w:rFonts w:ascii="Calibri" w:hAnsi="Calibri"/>
                <w:sz w:val="19"/>
              </w:rPr>
              <w:t>81.7%</w:t>
            </w:r>
          </w:p>
        </w:tc>
        <w:tc>
          <w:tcPr>
            <w:tcW w:type="dxa" w:w="1296"/>
            <w:shd w:fill="EAF2FB" w:val="clear"/>
          </w:tcPr>
          <w:p>
            <w:pPr>
              <w:jc w:val="center"/>
            </w:pPr>
            <w:r>
              <w:rPr>
                <w:rFonts w:ascii="Calibri" w:hAnsi="Calibri"/>
                <w:sz w:val="19"/>
              </w:rPr>
              <w:t>+15.6pp</w:t>
            </w:r>
          </w:p>
        </w:tc>
        <w:tc>
          <w:tcPr>
            <w:tcW w:type="dxa" w:w="3312"/>
            <w:shd w:fill="EAF2FB" w:val="clear"/>
          </w:tcPr>
          <w:p>
            <w:pPr>
              <w:jc w:val="center"/>
            </w:pPr>
            <w:r>
              <w:rPr>
                <w:rFonts w:ascii="Calibri" w:hAnsi="Calibri"/>
                <w:sz w:val="19"/>
              </w:rPr>
              <w:t>Strong zero-shot; fine-tuning adds normalisation</w:t>
            </w:r>
          </w:p>
        </w:tc>
      </w:tr>
      <w:tr>
        <w:tc>
          <w:tcPr>
            <w:tcW w:type="dxa" w:w="2880"/>
            <w:shd w:fill="FFFFFF" w:val="clear"/>
          </w:tcPr>
          <w:p>
            <w:pPr>
              <w:jc w:val="left"/>
            </w:pPr>
            <w:r>
              <w:rPr>
                <w:rFonts w:ascii="Calibri" w:hAnsi="Calibri"/>
                <w:sz w:val="19"/>
              </w:rPr>
              <w:t>Consignee Name</w:t>
            </w:r>
          </w:p>
        </w:tc>
        <w:tc>
          <w:tcPr>
            <w:tcW w:type="dxa" w:w="1440"/>
            <w:shd w:fill="FFFFFF" w:val="clear"/>
          </w:tcPr>
          <w:p>
            <w:pPr>
              <w:jc w:val="center"/>
            </w:pPr>
            <w:r>
              <w:rPr>
                <w:rFonts w:ascii="Calibri" w:hAnsi="Calibri"/>
                <w:sz w:val="19"/>
              </w:rPr>
              <w:t>98.2%</w:t>
            </w:r>
          </w:p>
        </w:tc>
        <w:tc>
          <w:tcPr>
            <w:tcW w:type="dxa" w:w="1440"/>
            <w:shd w:fill="FFFFFF" w:val="clear"/>
          </w:tcPr>
          <w:p>
            <w:pPr>
              <w:jc w:val="center"/>
            </w:pPr>
            <w:r>
              <w:rPr>
                <w:rFonts w:ascii="Calibri" w:hAnsi="Calibri"/>
                <w:sz w:val="19"/>
              </w:rPr>
              <w:t>79.2%</w:t>
            </w:r>
          </w:p>
        </w:tc>
        <w:tc>
          <w:tcPr>
            <w:tcW w:type="dxa" w:w="1296"/>
            <w:shd w:fill="FFFFFF" w:val="clear"/>
          </w:tcPr>
          <w:p>
            <w:pPr>
              <w:jc w:val="center"/>
            </w:pPr>
            <w:r>
              <w:rPr>
                <w:rFonts w:ascii="Calibri" w:hAnsi="Calibri"/>
                <w:sz w:val="19"/>
              </w:rPr>
              <w:t>+19.0pp</w:t>
            </w:r>
          </w:p>
        </w:tc>
        <w:tc>
          <w:tcPr>
            <w:tcW w:type="dxa" w:w="3312"/>
            <w:shd w:fill="FFFFFF" w:val="clear"/>
          </w:tcPr>
          <w:p>
            <w:pPr>
              <w:jc w:val="center"/>
            </w:pPr>
            <w:r>
              <w:rPr>
                <w:rFonts w:ascii="Calibri" w:hAnsi="Calibri"/>
                <w:sz w:val="19"/>
              </w:rPr>
              <w:t>Same pattern</w:t>
            </w:r>
          </w:p>
        </w:tc>
      </w:tr>
      <w:tr>
        <w:tc>
          <w:tcPr>
            <w:tcW w:type="dxa" w:w="2880"/>
            <w:shd w:fill="EAF2FB" w:val="clear"/>
          </w:tcPr>
          <w:p>
            <w:pPr>
              <w:jc w:val="left"/>
            </w:pPr>
            <w:r>
              <w:rPr>
                <w:rFonts w:ascii="Calibri" w:hAnsi="Calibri"/>
                <w:sz w:val="19"/>
              </w:rPr>
              <w:t>Document Date</w:t>
            </w:r>
          </w:p>
        </w:tc>
        <w:tc>
          <w:tcPr>
            <w:tcW w:type="dxa" w:w="1440"/>
            <w:shd w:fill="EAF2FB" w:val="clear"/>
          </w:tcPr>
          <w:p>
            <w:pPr>
              <w:jc w:val="center"/>
            </w:pPr>
            <w:r>
              <w:rPr>
                <w:rFonts w:ascii="Calibri" w:hAnsi="Calibri"/>
                <w:sz w:val="19"/>
              </w:rPr>
              <w:t>99.2%</w:t>
            </w:r>
          </w:p>
        </w:tc>
        <w:tc>
          <w:tcPr>
            <w:tcW w:type="dxa" w:w="1440"/>
            <w:shd w:fill="EAF2FB" w:val="clear"/>
          </w:tcPr>
          <w:p>
            <w:pPr>
              <w:jc w:val="center"/>
            </w:pPr>
            <w:r>
              <w:rPr>
                <w:rFonts w:ascii="Calibri" w:hAnsi="Calibri"/>
                <w:sz w:val="19"/>
              </w:rPr>
              <w:t>0.2%</w:t>
            </w:r>
          </w:p>
        </w:tc>
        <w:tc>
          <w:tcPr>
            <w:tcW w:type="dxa" w:w="1296"/>
            <w:shd w:fill="EAF2FB" w:val="clear"/>
          </w:tcPr>
          <w:p>
            <w:pPr>
              <w:jc w:val="center"/>
            </w:pPr>
            <w:r>
              <w:rPr>
                <w:rFonts w:ascii="Calibri" w:hAnsi="Calibri"/>
                <w:sz w:val="19"/>
              </w:rPr>
              <w:t>+99.0pp</w:t>
            </w:r>
          </w:p>
        </w:tc>
        <w:tc>
          <w:tcPr>
            <w:tcW w:type="dxa" w:w="3312"/>
            <w:shd w:fill="EAF2FB" w:val="clear"/>
          </w:tcPr>
          <w:p>
            <w:pPr>
              <w:jc w:val="center"/>
            </w:pPr>
            <w:r>
              <w:rPr>
                <w:rFonts w:ascii="Calibri" w:hAnsi="Calibri"/>
                <w:sz w:val="19"/>
              </w:rPr>
              <w:t>Largest gain: date format diversity learned</w:t>
            </w:r>
          </w:p>
        </w:tc>
      </w:tr>
      <w:tr>
        <w:tc>
          <w:tcPr>
            <w:tcW w:type="dxa" w:w="2880"/>
            <w:shd w:fill="FFFFFF" w:val="clear"/>
          </w:tcPr>
          <w:p>
            <w:pPr>
              <w:jc w:val="left"/>
            </w:pPr>
            <w:r>
              <w:rPr>
                <w:rFonts w:ascii="Calibri" w:hAnsi="Calibri"/>
                <w:sz w:val="19"/>
              </w:rPr>
              <w:t>Document Number</w:t>
            </w:r>
          </w:p>
        </w:tc>
        <w:tc>
          <w:tcPr>
            <w:tcW w:type="dxa" w:w="1440"/>
            <w:shd w:fill="FFFFFF" w:val="clear"/>
          </w:tcPr>
          <w:p>
            <w:pPr>
              <w:jc w:val="center"/>
            </w:pPr>
            <w:r>
              <w:rPr>
                <w:rFonts w:ascii="Calibri" w:hAnsi="Calibri"/>
                <w:sz w:val="19"/>
              </w:rPr>
              <w:t>97.0%</w:t>
            </w:r>
          </w:p>
        </w:tc>
        <w:tc>
          <w:tcPr>
            <w:tcW w:type="dxa" w:w="1440"/>
            <w:shd w:fill="FFFFFF" w:val="clear"/>
          </w:tcPr>
          <w:p>
            <w:pPr>
              <w:jc w:val="center"/>
            </w:pPr>
            <w:r>
              <w:rPr>
                <w:rFonts w:ascii="Calibri" w:hAnsi="Calibri"/>
                <w:sz w:val="19"/>
              </w:rPr>
              <w:t>59.3%</w:t>
            </w:r>
          </w:p>
        </w:tc>
        <w:tc>
          <w:tcPr>
            <w:tcW w:type="dxa" w:w="1296"/>
            <w:shd w:fill="FFFFFF" w:val="clear"/>
          </w:tcPr>
          <w:p>
            <w:pPr>
              <w:jc w:val="center"/>
            </w:pPr>
            <w:r>
              <w:rPr>
                <w:rFonts w:ascii="Calibri" w:hAnsi="Calibri"/>
                <w:sz w:val="19"/>
              </w:rPr>
              <w:t>+37.7pp</w:t>
            </w:r>
          </w:p>
        </w:tc>
        <w:tc>
          <w:tcPr>
            <w:tcW w:type="dxa" w:w="3312"/>
            <w:shd w:fill="FFFFFF" w:val="clear"/>
          </w:tcPr>
          <w:p>
            <w:pPr>
              <w:jc w:val="center"/>
            </w:pPr>
            <w:r>
              <w:rPr>
                <w:rFonts w:ascii="Calibri" w:hAnsi="Calibri"/>
                <w:sz w:val="19"/>
              </w:rPr>
              <w:t>Alphanumeric codes; format variety learned</w:t>
            </w:r>
          </w:p>
        </w:tc>
      </w:tr>
      <w:tr>
        <w:tc>
          <w:tcPr>
            <w:tcW w:type="dxa" w:w="2880"/>
            <w:shd w:fill="EAF2FB" w:val="clear"/>
          </w:tcPr>
          <w:p>
            <w:pPr>
              <w:jc w:val="left"/>
            </w:pPr>
            <w:r>
              <w:rPr>
                <w:rFonts w:ascii="Calibri" w:hAnsi="Calibri"/>
                <w:sz w:val="19"/>
              </w:rPr>
              <w:t>Country of Origin</w:t>
            </w:r>
          </w:p>
        </w:tc>
        <w:tc>
          <w:tcPr>
            <w:tcW w:type="dxa" w:w="1440"/>
            <w:shd w:fill="EAF2FB" w:val="clear"/>
          </w:tcPr>
          <w:p>
            <w:pPr>
              <w:jc w:val="center"/>
            </w:pPr>
            <w:r>
              <w:rPr>
                <w:rFonts w:ascii="Calibri" w:hAnsi="Calibri"/>
                <w:sz w:val="19"/>
              </w:rPr>
              <w:t>96.0%</w:t>
            </w:r>
          </w:p>
        </w:tc>
        <w:tc>
          <w:tcPr>
            <w:tcW w:type="dxa" w:w="1440"/>
            <w:shd w:fill="EAF2FB" w:val="clear"/>
          </w:tcPr>
          <w:p>
            <w:pPr>
              <w:jc w:val="center"/>
            </w:pPr>
            <w:r>
              <w:rPr>
                <w:rFonts w:ascii="Calibri" w:hAnsi="Calibri"/>
                <w:sz w:val="19"/>
              </w:rPr>
              <w:t>47.1%</w:t>
            </w:r>
          </w:p>
        </w:tc>
        <w:tc>
          <w:tcPr>
            <w:tcW w:type="dxa" w:w="1296"/>
            <w:shd w:fill="EAF2FB" w:val="clear"/>
          </w:tcPr>
          <w:p>
            <w:pPr>
              <w:jc w:val="center"/>
            </w:pPr>
            <w:r>
              <w:rPr>
                <w:rFonts w:ascii="Calibri" w:hAnsi="Calibri"/>
                <w:sz w:val="19"/>
              </w:rPr>
              <w:t>+48.9pp</w:t>
            </w:r>
          </w:p>
        </w:tc>
        <w:tc>
          <w:tcPr>
            <w:tcW w:type="dxa" w:w="3312"/>
            <w:shd w:fill="EAF2FB" w:val="clear"/>
          </w:tcPr>
          <w:p>
            <w:pPr>
              <w:jc w:val="center"/>
            </w:pPr>
            <w:r>
              <w:rPr>
                <w:rFonts w:ascii="Calibri" w:hAnsi="Calibri"/>
                <w:sz w:val="19"/>
              </w:rPr>
              <w:t>Includes IATA/UN/LOCODE codes, not just names</w:t>
            </w:r>
          </w:p>
        </w:tc>
      </w:tr>
      <w:tr>
        <w:tc>
          <w:tcPr>
            <w:tcW w:type="dxa" w:w="2880"/>
            <w:shd w:fill="FFFFFF" w:val="clear"/>
          </w:tcPr>
          <w:p>
            <w:pPr>
              <w:jc w:val="left"/>
            </w:pPr>
            <w:r>
              <w:rPr>
                <w:rFonts w:ascii="Calibri" w:hAnsi="Calibri"/>
                <w:sz w:val="19"/>
              </w:rPr>
              <w:t>Country of Destination</w:t>
            </w:r>
          </w:p>
        </w:tc>
        <w:tc>
          <w:tcPr>
            <w:tcW w:type="dxa" w:w="1440"/>
            <w:shd w:fill="FFFFFF" w:val="clear"/>
          </w:tcPr>
          <w:p>
            <w:pPr>
              <w:jc w:val="center"/>
            </w:pPr>
            <w:r>
              <w:rPr>
                <w:rFonts w:ascii="Calibri" w:hAnsi="Calibri"/>
                <w:sz w:val="19"/>
              </w:rPr>
              <w:t>99.9%</w:t>
            </w:r>
          </w:p>
        </w:tc>
        <w:tc>
          <w:tcPr>
            <w:tcW w:type="dxa" w:w="1440"/>
            <w:shd w:fill="FFFFFF" w:val="clear"/>
          </w:tcPr>
          <w:p>
            <w:pPr>
              <w:jc w:val="center"/>
            </w:pPr>
            <w:r>
              <w:rPr>
                <w:rFonts w:ascii="Calibri" w:hAnsi="Calibri"/>
                <w:sz w:val="19"/>
              </w:rPr>
              <w:t>48.8%</w:t>
            </w:r>
          </w:p>
        </w:tc>
        <w:tc>
          <w:tcPr>
            <w:tcW w:type="dxa" w:w="1296"/>
            <w:shd w:fill="FFFFFF" w:val="clear"/>
          </w:tcPr>
          <w:p>
            <w:pPr>
              <w:jc w:val="center"/>
            </w:pPr>
            <w:r>
              <w:rPr>
                <w:rFonts w:ascii="Calibri" w:hAnsi="Calibri"/>
                <w:sz w:val="19"/>
              </w:rPr>
              <w:t>+51.1pp</w:t>
            </w:r>
          </w:p>
        </w:tc>
        <w:tc>
          <w:tcPr>
            <w:tcW w:type="dxa" w:w="3312"/>
            <w:shd w:fill="FFFFFF" w:val="clear"/>
          </w:tcPr>
          <w:p>
            <w:pPr>
              <w:jc w:val="center"/>
            </w:pPr>
            <w:r>
              <w:rPr>
                <w:rFonts w:ascii="Calibri" w:hAnsi="Calibri"/>
                <w:sz w:val="19"/>
              </w:rPr>
              <w:t>Same as above</w:t>
            </w:r>
          </w:p>
        </w:tc>
      </w:tr>
      <w:tr>
        <w:tc>
          <w:tcPr>
            <w:tcW w:type="dxa" w:w="2880"/>
            <w:shd w:fill="EAF2FB" w:val="clear"/>
          </w:tcPr>
          <w:p>
            <w:pPr>
              <w:jc w:val="left"/>
            </w:pPr>
            <w:r>
              <w:rPr>
                <w:rFonts w:ascii="Calibri" w:hAnsi="Calibri"/>
                <w:sz w:val="19"/>
              </w:rPr>
              <w:t>Description of Goods</w:t>
            </w:r>
          </w:p>
        </w:tc>
        <w:tc>
          <w:tcPr>
            <w:tcW w:type="dxa" w:w="1440"/>
            <w:shd w:fill="EAF2FB" w:val="clear"/>
          </w:tcPr>
          <w:p>
            <w:pPr>
              <w:jc w:val="center"/>
            </w:pPr>
            <w:r>
              <w:rPr>
                <w:rFonts w:ascii="Calibri" w:hAnsi="Calibri"/>
                <w:sz w:val="19"/>
              </w:rPr>
              <w:t>97.0%</w:t>
            </w:r>
          </w:p>
        </w:tc>
        <w:tc>
          <w:tcPr>
            <w:tcW w:type="dxa" w:w="1440"/>
            <w:shd w:fill="EAF2FB" w:val="clear"/>
          </w:tcPr>
          <w:p>
            <w:pPr>
              <w:jc w:val="center"/>
            </w:pPr>
            <w:r>
              <w:rPr>
                <w:rFonts w:ascii="Calibri" w:hAnsi="Calibri"/>
                <w:sz w:val="19"/>
              </w:rPr>
              <w:t>62.4%</w:t>
            </w:r>
          </w:p>
        </w:tc>
        <w:tc>
          <w:tcPr>
            <w:tcW w:type="dxa" w:w="1296"/>
            <w:shd w:fill="EAF2FB" w:val="clear"/>
          </w:tcPr>
          <w:p>
            <w:pPr>
              <w:jc w:val="center"/>
            </w:pPr>
            <w:r>
              <w:rPr>
                <w:rFonts w:ascii="Calibri" w:hAnsi="Calibri"/>
                <w:sz w:val="19"/>
              </w:rPr>
              <w:t>+34.6pp</w:t>
            </w:r>
          </w:p>
        </w:tc>
        <w:tc>
          <w:tcPr>
            <w:tcW w:type="dxa" w:w="3312"/>
            <w:shd w:fill="EAF2FB" w:val="clear"/>
          </w:tcPr>
          <w:p>
            <w:pPr>
              <w:jc w:val="center"/>
            </w:pPr>
            <w:r>
              <w:rPr>
                <w:rFonts w:ascii="Calibri" w:hAnsi="Calibri"/>
                <w:sz w:val="19"/>
              </w:rPr>
              <w:t>Variable length; truncation handling improved</w:t>
            </w:r>
          </w:p>
        </w:tc>
      </w:tr>
      <w:tr>
        <w:tc>
          <w:tcPr>
            <w:tcW w:type="dxa" w:w="2880"/>
            <w:shd w:fill="FFFFFF" w:val="clear"/>
          </w:tcPr>
          <w:p>
            <w:pPr>
              <w:jc w:val="left"/>
            </w:pPr>
            <w:r>
              <w:rPr>
                <w:rFonts w:ascii="Calibri" w:hAnsi="Calibri"/>
                <w:sz w:val="19"/>
              </w:rPr>
              <w:t>License Number</w:t>
            </w:r>
          </w:p>
        </w:tc>
        <w:tc>
          <w:tcPr>
            <w:tcW w:type="dxa" w:w="1440"/>
            <w:shd w:fill="FFFFFF" w:val="clear"/>
          </w:tcPr>
          <w:p>
            <w:pPr>
              <w:jc w:val="center"/>
            </w:pPr>
            <w:r>
              <w:rPr>
                <w:rFonts w:ascii="Calibri" w:hAnsi="Calibri"/>
                <w:sz w:val="19"/>
              </w:rPr>
              <w:t>82.8%</w:t>
            </w:r>
          </w:p>
        </w:tc>
        <w:tc>
          <w:tcPr>
            <w:tcW w:type="dxa" w:w="1440"/>
            <w:shd w:fill="FFFFFF" w:val="clear"/>
          </w:tcPr>
          <w:p>
            <w:pPr>
              <w:jc w:val="center"/>
            </w:pPr>
            <w:r>
              <w:rPr>
                <w:rFonts w:ascii="Calibri" w:hAnsi="Calibri"/>
                <w:sz w:val="19"/>
              </w:rPr>
              <w:t>14.6%</w:t>
            </w:r>
          </w:p>
        </w:tc>
        <w:tc>
          <w:tcPr>
            <w:tcW w:type="dxa" w:w="1296"/>
            <w:shd w:fill="FFFFFF" w:val="clear"/>
          </w:tcPr>
          <w:p>
            <w:pPr>
              <w:jc w:val="center"/>
            </w:pPr>
            <w:r>
              <w:rPr>
                <w:rFonts w:ascii="Calibri" w:hAnsi="Calibri"/>
                <w:sz w:val="19"/>
              </w:rPr>
              <w:t>+68.2pp</w:t>
            </w:r>
          </w:p>
        </w:tc>
        <w:tc>
          <w:tcPr>
            <w:tcW w:type="dxa" w:w="3312"/>
            <w:shd w:fill="FFFFFF" w:val="clear"/>
          </w:tcPr>
          <w:p>
            <w:pPr>
              <w:jc w:val="center"/>
            </w:pPr>
            <w:r>
              <w:rPr>
                <w:rFonts w:ascii="Calibri" w:hAnsi="Calibri"/>
                <w:sz w:val="19"/>
              </w:rPr>
              <w:t>Lowest: high format variability across IEL/SLI/POA</w:t>
            </w:r>
          </w:p>
        </w:tc>
      </w:tr>
      <w:tr>
        <w:tc>
          <w:tcPr>
            <w:tcW w:type="dxa" w:w="2880"/>
            <w:shd w:fill="EAF2FB" w:val="clear"/>
          </w:tcPr>
          <w:p>
            <w:pPr>
              <w:jc w:val="left"/>
            </w:pPr>
            <w:r>
              <w:rPr>
                <w:rFonts w:ascii="Calibri" w:hAnsi="Calibri"/>
                <w:sz w:val="19"/>
              </w:rPr>
              <w:t>Validity Start</w:t>
            </w:r>
          </w:p>
        </w:tc>
        <w:tc>
          <w:tcPr>
            <w:tcW w:type="dxa" w:w="1440"/>
            <w:shd w:fill="EAF2FB" w:val="clear"/>
          </w:tcPr>
          <w:p>
            <w:pPr>
              <w:jc w:val="center"/>
            </w:pPr>
            <w:r>
              <w:rPr>
                <w:rFonts w:ascii="Calibri" w:hAnsi="Calibri"/>
                <w:sz w:val="19"/>
              </w:rPr>
              <w:t>100.0%</w:t>
            </w:r>
          </w:p>
        </w:tc>
        <w:tc>
          <w:tcPr>
            <w:tcW w:type="dxa" w:w="1440"/>
            <w:shd w:fill="EAF2FB" w:val="clear"/>
          </w:tcPr>
          <w:p>
            <w:pPr>
              <w:jc w:val="center"/>
            </w:pPr>
            <w:r>
              <w:rPr>
                <w:rFonts w:ascii="Calibri" w:hAnsi="Calibri"/>
                <w:sz w:val="19"/>
              </w:rPr>
              <w:t>0.0%</w:t>
            </w:r>
          </w:p>
        </w:tc>
        <w:tc>
          <w:tcPr>
            <w:tcW w:type="dxa" w:w="1296"/>
            <w:shd w:fill="EAF2FB" w:val="clear"/>
          </w:tcPr>
          <w:p>
            <w:pPr>
              <w:jc w:val="center"/>
            </w:pPr>
            <w:r>
              <w:rPr>
                <w:rFonts w:ascii="Calibri" w:hAnsi="Calibri"/>
                <w:sz w:val="19"/>
              </w:rPr>
              <w:t>+100.0pp</w:t>
            </w:r>
          </w:p>
        </w:tc>
        <w:tc>
          <w:tcPr>
            <w:tcW w:type="dxa" w:w="3312"/>
            <w:shd w:fill="EAF2FB" w:val="clear"/>
          </w:tcPr>
          <w:p>
            <w:pPr>
              <w:jc w:val="center"/>
            </w:pPr>
            <w:r>
              <w:rPr>
                <w:rFonts w:ascii="Calibri" w:hAnsi="Calibri"/>
                <w:sz w:val="19"/>
              </w:rPr>
              <w:t>Zero-shot never outputs this field</w:t>
            </w:r>
          </w:p>
        </w:tc>
      </w:tr>
      <w:tr>
        <w:tc>
          <w:tcPr>
            <w:tcW w:type="dxa" w:w="2880"/>
            <w:shd w:fill="FFFFFF" w:val="clear"/>
          </w:tcPr>
          <w:p>
            <w:pPr>
              <w:jc w:val="left"/>
            </w:pPr>
            <w:r>
              <w:rPr>
                <w:rFonts w:ascii="Calibri" w:hAnsi="Calibri"/>
                <w:sz w:val="19"/>
              </w:rPr>
              <w:t>Validity End</w:t>
            </w:r>
          </w:p>
        </w:tc>
        <w:tc>
          <w:tcPr>
            <w:tcW w:type="dxa" w:w="1440"/>
            <w:shd w:fill="FFFFFF" w:val="clear"/>
          </w:tcPr>
          <w:p>
            <w:pPr>
              <w:jc w:val="center"/>
            </w:pPr>
            <w:r>
              <w:rPr>
                <w:rFonts w:ascii="Calibri" w:hAnsi="Calibri"/>
                <w:sz w:val="19"/>
              </w:rPr>
              <w:t>100.0%</w:t>
            </w:r>
          </w:p>
        </w:tc>
        <w:tc>
          <w:tcPr>
            <w:tcW w:type="dxa" w:w="1440"/>
            <w:shd w:fill="FFFFFF" w:val="clear"/>
          </w:tcPr>
          <w:p>
            <w:pPr>
              <w:jc w:val="center"/>
            </w:pPr>
            <w:r>
              <w:rPr>
                <w:rFonts w:ascii="Calibri" w:hAnsi="Calibri"/>
                <w:sz w:val="19"/>
              </w:rPr>
              <w:t>0.0%</w:t>
            </w:r>
          </w:p>
        </w:tc>
        <w:tc>
          <w:tcPr>
            <w:tcW w:type="dxa" w:w="1296"/>
            <w:shd w:fill="FFFFFF" w:val="clear"/>
          </w:tcPr>
          <w:p>
            <w:pPr>
              <w:jc w:val="center"/>
            </w:pPr>
            <w:r>
              <w:rPr>
                <w:rFonts w:ascii="Calibri" w:hAnsi="Calibri"/>
                <w:sz w:val="19"/>
              </w:rPr>
              <w:t>+100.0pp</w:t>
            </w:r>
          </w:p>
        </w:tc>
        <w:tc>
          <w:tcPr>
            <w:tcW w:type="dxa" w:w="3312"/>
            <w:shd w:fill="FFFFFF" w:val="clear"/>
          </w:tcPr>
          <w:p>
            <w:pPr>
              <w:jc w:val="center"/>
            </w:pPr>
            <w:r>
              <w:rPr>
                <w:rFonts w:ascii="Calibri" w:hAnsi="Calibri"/>
                <w:sz w:val="19"/>
              </w:rPr>
              <w:t>Same as above</w:t>
            </w:r>
          </w:p>
        </w:tc>
      </w:tr>
      <w:tr>
        <w:tc>
          <w:tcPr>
            <w:tcW w:type="dxa" w:w="2880"/>
            <w:shd w:fill="EAF2FB" w:val="clear"/>
          </w:tcPr>
          <w:p>
            <w:pPr>
              <w:jc w:val="left"/>
            </w:pPr>
            <w:r>
              <w:rPr>
                <w:rFonts w:ascii="Calibri" w:hAnsi="Calibri"/>
                <w:sz w:val="19"/>
              </w:rPr>
              <w:t>Licensee Name</w:t>
            </w:r>
          </w:p>
        </w:tc>
        <w:tc>
          <w:tcPr>
            <w:tcW w:type="dxa" w:w="1440"/>
            <w:shd w:fill="EAF2FB" w:val="clear"/>
          </w:tcPr>
          <w:p>
            <w:pPr>
              <w:jc w:val="center"/>
            </w:pPr>
            <w:r>
              <w:rPr>
                <w:rFonts w:ascii="Calibri" w:hAnsi="Calibri"/>
                <w:sz w:val="19"/>
              </w:rPr>
              <w:t>100.0%</w:t>
            </w:r>
          </w:p>
        </w:tc>
        <w:tc>
          <w:tcPr>
            <w:tcW w:type="dxa" w:w="1440"/>
            <w:shd w:fill="EAF2FB" w:val="clear"/>
          </w:tcPr>
          <w:p>
            <w:pPr>
              <w:jc w:val="center"/>
            </w:pPr>
            <w:r>
              <w:rPr>
                <w:rFonts w:ascii="Calibri" w:hAnsi="Calibri"/>
                <w:sz w:val="19"/>
              </w:rPr>
              <w:t>7.7%</w:t>
            </w:r>
          </w:p>
        </w:tc>
        <w:tc>
          <w:tcPr>
            <w:tcW w:type="dxa" w:w="1296"/>
            <w:shd w:fill="EAF2FB" w:val="clear"/>
          </w:tcPr>
          <w:p>
            <w:pPr>
              <w:jc w:val="center"/>
            </w:pPr>
            <w:r>
              <w:rPr>
                <w:rFonts w:ascii="Calibri" w:hAnsi="Calibri"/>
                <w:sz w:val="19"/>
              </w:rPr>
              <w:t>+92.3pp</w:t>
            </w:r>
          </w:p>
        </w:tc>
        <w:tc>
          <w:tcPr>
            <w:tcW w:type="dxa" w:w="3312"/>
            <w:shd w:fill="EAF2FB" w:val="clear"/>
          </w:tcPr>
          <w:p>
            <w:pPr>
              <w:jc w:val="center"/>
            </w:pPr>
            <w:r>
              <w:rPr>
                <w:rFonts w:ascii="Calibri" w:hAnsi="Calibri"/>
                <w:sz w:val="19"/>
              </w:rPr>
              <w:t>Rare field; zero-shot rarely populated</w:t>
            </w:r>
          </w:p>
        </w:tc>
      </w:tr>
      <w:tr>
        <w:tc>
          <w:tcPr>
            <w:tcW w:type="dxa" w:w="2880"/>
            <w:shd w:fill="FFFFFF" w:val="clear"/>
          </w:tcPr>
          <w:p>
            <w:pPr>
              <w:jc w:val="left"/>
            </w:pPr>
            <w:r>
              <w:rPr>
                <w:rFonts w:ascii="Calibri" w:hAnsi="Calibri"/>
                <w:sz w:val="19"/>
              </w:rPr>
              <w:t>Average</w:t>
            </w:r>
          </w:p>
        </w:tc>
        <w:tc>
          <w:tcPr>
            <w:tcW w:type="dxa" w:w="1440"/>
            <w:shd w:fill="FFFFFF" w:val="clear"/>
          </w:tcPr>
          <w:p>
            <w:pPr>
              <w:jc w:val="center"/>
            </w:pPr>
            <w:r>
              <w:rPr>
                <w:rFonts w:ascii="Calibri" w:hAnsi="Calibri"/>
                <w:sz w:val="19"/>
              </w:rPr>
              <w:t>97.7%</w:t>
            </w:r>
          </w:p>
        </w:tc>
        <w:tc>
          <w:tcPr>
            <w:tcW w:type="dxa" w:w="1440"/>
            <w:shd w:fill="FFFFFF" w:val="clear"/>
          </w:tcPr>
          <w:p>
            <w:pPr>
              <w:jc w:val="center"/>
            </w:pPr>
            <w:r>
              <w:rPr>
                <w:rFonts w:ascii="Calibri" w:hAnsi="Calibri"/>
                <w:sz w:val="19"/>
              </w:rPr>
              <w:t>36.5%</w:t>
            </w:r>
          </w:p>
        </w:tc>
        <w:tc>
          <w:tcPr>
            <w:tcW w:type="dxa" w:w="1296"/>
            <w:shd w:fill="FFFFFF" w:val="clear"/>
          </w:tcPr>
          <w:p>
            <w:pPr>
              <w:jc w:val="center"/>
            </w:pPr>
            <w:r>
              <w:rPr>
                <w:rFonts w:ascii="Calibri" w:hAnsi="Calibri"/>
                <w:sz w:val="19"/>
              </w:rPr>
              <w:t>+61.2pp</w:t>
            </w:r>
          </w:p>
        </w:tc>
        <w:tc>
          <w:tcPr>
            <w:tcW w:type="dxa" w:w="3312"/>
            <w:shd w:fill="FFFFFF" w:val="clear"/>
          </w:tcPr>
          <w:p>
            <w:pPr>
              <w:jc w:val="center"/>
            </w:pPr>
            <w:r>
              <w:rPr>
                <w:rFonts w:ascii="Calibri" w:hAnsi="Calibri"/>
                <w:sz w:val="19"/>
              </w:rPr>
              <w:t>Macro-average</w:t>
            </w:r>
          </w:p>
        </w:tc>
      </w:tr>
    </w:tbl>
    <w:p>
      <w:pPr>
        <w:spacing w:before="60" w:after="200"/>
        <w:jc w:val="center"/>
      </w:pPr>
      <w:r>
        <w:rPr>
          <w:rFonts w:ascii="Calibri" w:hAnsi="Calibri"/>
          <w:i/>
          <w:color w:val="505050"/>
          <w:sz w:val="19"/>
        </w:rPr>
        <w:t>Table 9. Per-field extraction F1, V3 CK-2000 vs. zero-shot baseline.</w:t>
      </w:r>
    </w:p>
    <w:p>
      <w:pPr>
        <w:spacing w:before="0" w:after="100"/>
        <w:jc w:val="both"/>
      </w:pPr>
      <w:r>
        <w:rPr>
          <w:rFonts w:ascii="Calibri" w:hAnsi="Calibri"/>
          <w:color w:val="1E1E1E"/>
          <w:sz w:val="21"/>
        </w:rPr>
        <w:t>The most dramatic improvements occur on domain-specific fields. Validity Start/End improve from 0.0% to 100.0%: the zero-shot model never outputs these fields despite them appearing in the prompt schema, reflecting its lack of exposure to logistics license validity periods during pre-training. Document Date improves from 0.2% to 99.2%, reflecting successful learning of the six date format variants introduced in the dataset. License Number remains the weakest field (82.8%) due to high format variability: the same semantic field appears as ITN numbers in AES export filings, CBP entry numbers in import filings, government license codes in IEL, and free-text references in SLI — a degree of variability that challenges even the fine-tuned model.</w:t>
      </w:r>
    </w:p>
    <w:p>
      <w:pPr>
        <w:spacing w:before="200" w:after="60"/>
      </w:pPr>
      <w:r>
        <w:rPr>
          <w:rFonts w:ascii="Calibri" w:hAnsi="Calibri"/>
          <w:b/>
          <w:color w:val="0060A9"/>
          <w:sz w:val="22"/>
        </w:rPr>
        <w:t>9.4  Blank Document Hallucination Analysis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3168"/>
            <w:shd w:fill="003A70" w:val="clear"/>
          </w:tcPr>
          <w:p>
            <w:pPr>
              <w:jc w:val="center"/>
            </w:pPr>
            <w:r>
              <w:rPr>
                <w:rFonts w:ascii="Calibri" w:hAnsi="Calibri"/>
                <w:b/>
                <w:color w:val="FFFFFF"/>
                <w:sz w:val="19"/>
              </w:rPr>
              <w:t>Model</w:t>
            </w:r>
          </w:p>
        </w:tc>
        <w:tc>
          <w:tcPr>
            <w:tcW w:type="dxa" w:w="2160"/>
            <w:shd w:fill="003A70" w:val="clear"/>
          </w:tcPr>
          <w:p>
            <w:pPr>
              <w:jc w:val="center"/>
            </w:pPr>
            <w:r>
              <w:rPr>
                <w:rFonts w:ascii="Calibri" w:hAnsi="Calibri"/>
                <w:b/>
                <w:color w:val="FFFFFF"/>
                <w:sz w:val="19"/>
              </w:rPr>
              <w:t>Hallucination Rate</w:t>
            </w:r>
          </w:p>
        </w:tc>
        <w:tc>
          <w:tcPr>
            <w:tcW w:type="dxa" w:w="2160"/>
            <w:shd w:fill="003A70" w:val="clear"/>
          </w:tcPr>
          <w:p>
            <w:pPr>
              <w:jc w:val="center"/>
            </w:pPr>
            <w:r>
              <w:rPr>
                <w:rFonts w:ascii="Calibri" w:hAnsi="Calibri"/>
                <w:b/>
                <w:color w:val="FFFFFF"/>
                <w:sz w:val="19"/>
              </w:rPr>
              <w:t>Clean Rate</w:t>
            </w:r>
          </w:p>
        </w:tc>
        <w:tc>
          <w:tcPr>
            <w:tcW w:type="dxa" w:w="2880"/>
            <w:shd w:fill="003A70" w:val="clear"/>
          </w:tcPr>
          <w:p>
            <w:pPr>
              <w:jc w:val="center"/>
            </w:pPr>
            <w:r>
              <w:rPr>
                <w:rFonts w:ascii="Calibri" w:hAnsi="Calibri"/>
                <w:b/>
                <w:color w:val="FFFFFF"/>
                <w:sz w:val="19"/>
              </w:rPr>
              <w:t>Avg. Fields Hallucinated</w:t>
            </w:r>
          </w:p>
        </w:tc>
      </w:tr>
      <w:tr>
        <w:tc>
          <w:tcPr>
            <w:tcW w:type="dxa" w:w="3168"/>
            <w:shd w:fill="EAF2FB" w:val="clear"/>
          </w:tcPr>
          <w:p>
            <w:pPr>
              <w:jc w:val="left"/>
            </w:pPr>
            <w:r>
              <w:rPr>
                <w:rFonts w:ascii="Calibri" w:hAnsi="Calibri"/>
                <w:sz w:val="19"/>
              </w:rPr>
              <w:t>Qwen2.5-VL-3B ZS</w:t>
            </w:r>
          </w:p>
        </w:tc>
        <w:tc>
          <w:tcPr>
            <w:tcW w:type="dxa" w:w="2160"/>
            <w:shd w:fill="EAF2FB" w:val="clear"/>
          </w:tcPr>
          <w:p>
            <w:pPr>
              <w:jc w:val="center"/>
            </w:pPr>
            <w:r>
              <w:rPr>
                <w:rFonts w:ascii="Calibri" w:hAnsi="Calibri"/>
                <w:sz w:val="19"/>
              </w:rPr>
              <w:t>4.7%</w:t>
            </w:r>
          </w:p>
        </w:tc>
        <w:tc>
          <w:tcPr>
            <w:tcW w:type="dxa" w:w="2160"/>
            <w:shd w:fill="EAF2FB" w:val="clear"/>
          </w:tcPr>
          <w:p>
            <w:pPr>
              <w:jc w:val="center"/>
            </w:pPr>
            <w:r>
              <w:rPr>
                <w:rFonts w:ascii="Calibri" w:hAnsi="Calibri"/>
                <w:sz w:val="19"/>
              </w:rPr>
              <w:t>95.3%</w:t>
            </w:r>
          </w:p>
        </w:tc>
        <w:tc>
          <w:tcPr>
            <w:tcW w:type="dxa" w:w="2880"/>
            <w:shd w:fill="EAF2FB" w:val="clear"/>
          </w:tcPr>
          <w:p>
            <w:pPr>
              <w:jc w:val="center"/>
            </w:pPr>
            <w:r>
              <w:rPr>
                <w:rFonts w:ascii="Calibri" w:hAnsi="Calibri"/>
                <w:sz w:val="19"/>
              </w:rPr>
              <w:t>0.25 per doc</w:t>
            </w:r>
          </w:p>
        </w:tc>
      </w:tr>
      <w:tr>
        <w:tc>
          <w:tcPr>
            <w:tcW w:type="dxa" w:w="3168"/>
            <w:shd w:fill="FFFFFF" w:val="clear"/>
          </w:tcPr>
          <w:p>
            <w:pPr>
              <w:jc w:val="left"/>
            </w:pPr>
            <w:r>
              <w:rPr>
                <w:rFonts w:ascii="Calibri" w:hAnsi="Calibri"/>
                <w:sz w:val="19"/>
              </w:rPr>
              <w:t>Ours V2 (prior)</w:t>
            </w:r>
          </w:p>
        </w:tc>
        <w:tc>
          <w:tcPr>
            <w:tcW w:type="dxa" w:w="2160"/>
            <w:shd w:fill="FFFFFF" w:val="clear"/>
          </w:tcPr>
          <w:p>
            <w:pPr>
              <w:jc w:val="center"/>
            </w:pPr>
            <w:r>
              <w:rPr>
                <w:rFonts w:ascii="Calibri" w:hAnsi="Calibri"/>
                <w:sz w:val="19"/>
              </w:rPr>
              <w:t>12.5%</w:t>
            </w:r>
          </w:p>
        </w:tc>
        <w:tc>
          <w:tcPr>
            <w:tcW w:type="dxa" w:w="2160"/>
            <w:shd w:fill="FFFFFF" w:val="clear"/>
          </w:tcPr>
          <w:p>
            <w:pPr>
              <w:jc w:val="center"/>
            </w:pPr>
            <w:r>
              <w:rPr>
                <w:rFonts w:ascii="Calibri" w:hAnsi="Calibri"/>
                <w:sz w:val="19"/>
              </w:rPr>
              <w:t>87.5%</w:t>
            </w:r>
          </w:p>
        </w:tc>
        <w:tc>
          <w:tcPr>
            <w:tcW w:type="dxa" w:w="2880"/>
            <w:shd w:fill="FFFFFF" w:val="clear"/>
          </w:tcPr>
          <w:p>
            <w:pPr>
              <w:jc w:val="center"/>
            </w:pPr>
            <w:r>
              <w:rPr>
                <w:rFonts w:ascii="Calibri" w:hAnsi="Calibri"/>
                <w:sz w:val="19"/>
              </w:rPr>
              <w:t>0.84 per doc</w:t>
            </w:r>
          </w:p>
        </w:tc>
      </w:tr>
      <w:tr>
        <w:tc>
          <w:tcPr>
            <w:tcW w:type="dxa" w:w="3168"/>
            <w:shd w:fill="EAF2FB" w:val="clear"/>
          </w:tcPr>
          <w:p>
            <w:pPr>
              <w:jc w:val="left"/>
            </w:pPr>
            <w:r>
              <w:rPr>
                <w:rFonts w:ascii="Calibri" w:hAnsi="Calibri"/>
                <w:sz w:val="19"/>
              </w:rPr>
              <w:t>Ours V3 CK-2000</w:t>
            </w:r>
          </w:p>
        </w:tc>
        <w:tc>
          <w:tcPr>
            <w:tcW w:type="dxa" w:w="2160"/>
            <w:shd w:fill="EAF2FB" w:val="clear"/>
          </w:tcPr>
          <w:p>
            <w:pPr>
              <w:jc w:val="center"/>
            </w:pPr>
            <w:r>
              <w:rPr>
                <w:rFonts w:ascii="Calibri" w:hAnsi="Calibri"/>
                <w:sz w:val="19"/>
              </w:rPr>
              <w:t>0.0%</w:t>
            </w:r>
          </w:p>
        </w:tc>
        <w:tc>
          <w:tcPr>
            <w:tcW w:type="dxa" w:w="2160"/>
            <w:shd w:fill="EAF2FB" w:val="clear"/>
          </w:tcPr>
          <w:p>
            <w:pPr>
              <w:jc w:val="center"/>
            </w:pPr>
            <w:r>
              <w:rPr>
                <w:rFonts w:ascii="Calibri" w:hAnsi="Calibri"/>
                <w:sz w:val="19"/>
              </w:rPr>
              <w:t>100.0%</w:t>
            </w:r>
          </w:p>
        </w:tc>
        <w:tc>
          <w:tcPr>
            <w:tcW w:type="dxa" w:w="2880"/>
            <w:shd w:fill="EAF2FB" w:val="clear"/>
          </w:tcPr>
          <w:p>
            <w:pPr>
              <w:jc w:val="center"/>
            </w:pPr>
            <w:r>
              <w:rPr>
                <w:rFonts w:ascii="Calibri" w:hAnsi="Calibri"/>
                <w:sz w:val="19"/>
              </w:rPr>
              <w:t>0.00 per doc</w:t>
            </w:r>
          </w:p>
        </w:tc>
      </w:tr>
      <w:tr>
        <w:tc>
          <w:tcPr>
            <w:tcW w:type="dxa" w:w="3168"/>
            <w:shd w:fill="FFFFFF" w:val="clear"/>
          </w:tcPr>
          <w:p>
            <w:pPr>
              <w:jc w:val="left"/>
            </w:pPr>
            <w:r>
              <w:rPr>
                <w:rFonts w:ascii="Calibri" w:hAnsi="Calibri"/>
                <w:sz w:val="19"/>
              </w:rPr>
              <w:t>Ours V3 Final</w:t>
            </w:r>
          </w:p>
        </w:tc>
        <w:tc>
          <w:tcPr>
            <w:tcW w:type="dxa" w:w="2160"/>
            <w:shd w:fill="FFFFFF" w:val="clear"/>
          </w:tcPr>
          <w:p>
            <w:pPr>
              <w:jc w:val="center"/>
            </w:pPr>
            <w:r>
              <w:rPr>
                <w:rFonts w:ascii="Calibri" w:hAnsi="Calibri"/>
                <w:sz w:val="19"/>
              </w:rPr>
              <w:t>0.0%</w:t>
            </w:r>
          </w:p>
        </w:tc>
        <w:tc>
          <w:tcPr>
            <w:tcW w:type="dxa" w:w="2160"/>
            <w:shd w:fill="FFFFFF" w:val="clear"/>
          </w:tcPr>
          <w:p>
            <w:pPr>
              <w:jc w:val="center"/>
            </w:pPr>
            <w:r>
              <w:rPr>
                <w:rFonts w:ascii="Calibri" w:hAnsi="Calibri"/>
                <w:sz w:val="19"/>
              </w:rPr>
              <w:t>100.0%</w:t>
            </w:r>
          </w:p>
        </w:tc>
        <w:tc>
          <w:tcPr>
            <w:tcW w:type="dxa" w:w="2880"/>
            <w:shd w:fill="FFFFFF" w:val="clear"/>
          </w:tcPr>
          <w:p>
            <w:pPr>
              <w:jc w:val="center"/>
            </w:pPr>
            <w:r>
              <w:rPr>
                <w:rFonts w:ascii="Calibri" w:hAnsi="Calibri"/>
                <w:sz w:val="19"/>
              </w:rPr>
              <w:t>0.00 per doc</w:t>
            </w:r>
          </w:p>
        </w:tc>
      </w:tr>
    </w:tbl>
    <w:p>
      <w:pPr>
        <w:spacing w:before="60" w:after="200"/>
        <w:jc w:val="center"/>
      </w:pPr>
      <w:r>
        <w:rPr>
          <w:rFonts w:ascii="Calibri" w:hAnsi="Calibri"/>
          <w:i/>
          <w:color w:val="505050"/>
          <w:sz w:val="19"/>
        </w:rPr>
        <w:t>Table 10. Blank document hallucination analysis (64 blank test pages, excluded from main metrics).</w:t>
      </w:r>
    </w:p>
    <w:p>
      <w:pPr>
        <w:spacing w:before="0" w:after="100"/>
        <w:jc w:val="both"/>
      </w:pPr>
      <w:r>
        <w:rPr>
          <w:rFonts w:ascii="Calibri" w:hAnsi="Calibri"/>
          <w:color w:val="1E1E1E"/>
          <w:sz w:val="21"/>
        </w:rPr>
        <w:t>The prior iteration (V2) hallucinated on 12.5% of blank documents, producing fabricated but plausible company names, dates, and document numbers drawn from pre-training data. The V3 model achieves 0.0% hallucination — a production-critical result, as blank template pages regularly arrive interleaved with filled documents in operational bundles. Fabricated field values propagating into downstream logistics systems represent a data integrity risk that this result eliminates.</w:t>
      </w:r>
    </w:p>
    <w:p>
      <w:pPr>
        <w:spacing w:before="320" w:after="80"/>
        <w:pBdr>
          <w:bottom w:val="single" w:sz="6" w:space="1" w:color="003A70"/>
        </w:pBdr>
      </w:pPr>
      <w:r>
        <w:rPr>
          <w:rFonts w:ascii="Calibri" w:hAnsi="Calibri"/>
          <w:b/>
          <w:color w:val="003A70"/>
          <w:sz w:val="24"/>
        </w:rPr>
        <w:t>10.  ENGINEERING CHALLENGES AND LESSONS LEARNED</w:t>
      </w:r>
    </w:p>
    <w:p>
      <w:pPr>
        <w:spacing w:before="0" w:after="100"/>
        <w:jc w:val="both"/>
      </w:pPr>
      <w:r>
        <w:rPr>
          <w:rFonts w:ascii="Calibri" w:hAnsi="Calibri"/>
          <w:color w:val="1E1E1E"/>
          <w:sz w:val="21"/>
        </w:rPr>
        <w:t>We document significant technical challenges encountered during development that are not addressed in standard VLM fine-tuning literature. These represent non-obvious pitfalls specific to document intelligence workloads.</w:t>
      </w:r>
    </w:p>
    <w:p>
      <w:pPr>
        <w:spacing w:before="200" w:after="60"/>
      </w:pPr>
      <w:r>
        <w:rPr>
          <w:rFonts w:ascii="Calibri" w:hAnsi="Calibri"/>
          <w:b/>
          <w:color w:val="0060A9"/>
          <w:sz w:val="22"/>
        </w:rPr>
        <w:t>10.1  Image Token Count Mismatch (Training Crash at Step ~993)</w:t>
      </w:r>
    </w:p>
    <w:p>
      <w:pPr>
        <w:spacing w:before="0" w:after="100"/>
        <w:jc w:val="both"/>
      </w:pPr>
      <w:r>
        <w:rPr>
          <w:rFonts w:ascii="Calibri" w:hAnsi="Calibri"/>
          <w:color w:val="1E1E1E"/>
          <w:sz w:val="21"/>
        </w:rPr>
        <w:t>Symptom: training terminated with a CUDA index-out-of-bounds error — 'image features and image tokens do not match: got 820 and 784.' Root cause: Qwen2.5-VL's ViT uses 14x14 pixel patches merged 2x2, yielding a 28x28 effective patch stride. When image height or width is not an exact multiple of 28, the processor internally rounds the dimension (snapping) — but the chat template tokenisation had already encoded the un-snapped token count in input_ids, creating a mismatch. This error is non-deterministic: it only surfaces when a non-28-aligned image is processed, making it impossible to reproduce in small smoke tests. Resolution: (1) resize all images to exact 28-pixel multiples before processor ingestion; (2) reduce batch_size from 3 to 1 — eliminating cross-image padding interactions that created additional mismatches. Effective batch size (18) was preserved via gradient_accumulation_steps=18.</w:t>
      </w:r>
    </w:p>
    <w:p>
      <w:pPr>
        <w:spacing w:before="200" w:after="60"/>
      </w:pPr>
      <w:r>
        <w:rPr>
          <w:rFonts w:ascii="Calibri" w:hAnsi="Calibri"/>
          <w:b/>
          <w:color w:val="0060A9"/>
          <w:sz w:val="22"/>
        </w:rPr>
        <w:t>10.2  Training Configuration Ordering Bug (max_seq_length)</w:t>
      </w:r>
    </w:p>
    <w:p>
      <w:pPr>
        <w:spacing w:before="0" w:after="100"/>
        <w:jc w:val="both"/>
      </w:pPr>
      <w:r>
        <w:rPr>
          <w:rFonts w:ascii="Calibri" w:hAnsi="Calibri"/>
          <w:color w:val="1E1E1E"/>
          <w:sz w:val="21"/>
        </w:rPr>
        <w:t>Symptom: early training runs consumed ~4x expected VRAM, causing OOM errors on 16 GB hardware with otherwise sufficient headroom. Root cause: TrainingConfig was instantiated after FastVisionModel.from_pretrained() in the training script. The model loaded with Qwen's default max_seq_length=32,768 instead of the configured 2,048, causing KV cache and attention mask allocations to be dimensioned for 32K contexts — 16x the required allocation. Resolution: reorder TrainingConfig instantiation before model loading and pass max_seq_length=cfg.max_seq_length explicitly to from_pretrained().</w:t>
      </w:r>
    </w:p>
    <w:p>
      <w:pPr>
        <w:spacing w:before="200" w:after="60"/>
      </w:pPr>
      <w:r>
        <w:rPr>
          <w:rFonts w:ascii="Calibri" w:hAnsi="Calibri"/>
          <w:b/>
          <w:color w:val="0060A9"/>
          <w:sz w:val="22"/>
        </w:rPr>
        <w:t>10.3  Position Accuracy Misleads: Split IoU is Essential</w:t>
      </w:r>
    </w:p>
    <w:p>
      <w:pPr>
        <w:spacing w:before="0" w:after="100"/>
        <w:jc w:val="both"/>
      </w:pPr>
      <w:r>
        <w:rPr>
          <w:rFonts w:ascii="Calibri" w:hAnsi="Calibri"/>
          <w:color w:val="1E1E1E"/>
          <w:sz w:val="21"/>
        </w:rPr>
        <w:t>During baseline evaluation, the zero-shot model achieved 30.8% Position Accuracy — a figure that, without context, might suggest partial splitting capability. In reality, the model rarely predicted START for any page beyond the first in a bundle (Split IoU: 29.8%), and Position Accuracy was dominated by correctly classifying the ~87% CONTINUATION majority. This finding motivated using Split IoU as the primary splitting metric and has broader implications: for any multi-page document processing evaluation, Position Accuracy should never be reported without the accompanying Split IoU.</w:t>
      </w:r>
    </w:p>
    <w:p>
      <w:pPr>
        <w:spacing w:before="200" w:after="60"/>
      </w:pPr>
      <w:r>
        <w:rPr>
          <w:rFonts w:ascii="Calibri" w:hAnsi="Calibri"/>
          <w:b/>
          <w:color w:val="0060A9"/>
          <w:sz w:val="22"/>
        </w:rPr>
        <w:t>10.4  Import/Export License Classification (Persistent Challenge)</w:t>
      </w:r>
    </w:p>
    <w:p>
      <w:pPr>
        <w:spacing w:before="0" w:after="100"/>
        <w:jc w:val="both"/>
      </w:pPr>
      <w:r>
        <w:rPr>
          <w:rFonts w:ascii="Calibri" w:hAnsi="Calibri"/>
          <w:color w:val="1E1E1E"/>
          <w:sz w:val="21"/>
        </w:rPr>
        <w:t>Import/Export License remains the only class below 100% accuracy (75.3%) after fine-tuning. The class exhibits high visual and textual overlap with Commercial Invoice and Shipper's Letter of Instruction: all three contain shipper/consignee blocks, commodity descriptions, and country-of-origin fields. The IEL-distinguishing elements require fine-grained spatial recognition that the 3B model inconsistently leverages. Field extraction remains high (97.2%) when classification is correct — the challenge is purely in classification. Potential mitigations include targeted hard-negative data augmentation and higher LoRA rank.</w:t>
      </w:r>
    </w:p>
    <w:p>
      <w:pPr>
        <w:spacing w:before="200" w:after="60"/>
      </w:pPr>
      <w:r>
        <w:rPr>
          <w:rFonts w:ascii="Calibri" w:hAnsi="Calibri"/>
          <w:b/>
          <w:color w:val="0060A9"/>
          <w:sz w:val="22"/>
        </w:rPr>
        <w:t>10.5  Windows Training Constraints with Unsloth</w:t>
      </w:r>
    </w:p>
    <w:p>
      <w:pPr>
        <w:spacing w:before="0" w:after="100"/>
        <w:jc w:val="both"/>
      </w:pPr>
      <w:r>
        <w:rPr>
          <w:rFonts w:ascii="Calibri" w:hAnsi="Calibri"/>
          <w:color w:val="1E1E1E"/>
          <w:sz w:val="21"/>
        </w:rPr>
        <w:t>Training on Windows required dataloader_num_workers=0. Unsloth patches the Qwen2.5-VL processor class at runtime via Python object replacement; the patched class cannot be serialised by multiprocessing worker processes, which Windows spawn-initialises rather than fork-copies. Any non-zero worker count produces silent failures at the first batch boundary. This constraint has no performance impact since GPU is the training bottleneck for vision-language models.</w:t>
      </w:r>
    </w:p>
    <w:p>
      <w:pPr>
        <w:spacing w:before="200" w:after="60"/>
      </w:pPr>
      <w:r>
        <w:rPr>
          <w:rFonts w:ascii="Calibri" w:hAnsi="Calibri"/>
          <w:b/>
          <w:color w:val="0060A9"/>
          <w:sz w:val="22"/>
        </w:rPr>
        <w:t>10.6  CONTINUATION Majority Bias Requires Oversampling</w:t>
      </w:r>
    </w:p>
    <w:p>
      <w:pPr>
        <w:spacing w:before="0" w:after="100"/>
        <w:jc w:val="both"/>
      </w:pPr>
      <w:r>
        <w:rPr>
          <w:rFonts w:ascii="Calibri" w:hAnsi="Calibri"/>
          <w:color w:val="1E1E1E"/>
          <w:sz w:val="21"/>
        </w:rPr>
        <w:t>The natural training dataset contains ~72% START and ~28% CONTINUATION pages. Without correction, the model strongly biased toward START predictions. Training with a CONTINUATION oversampling factor of 2x (producing ~44% CONTINUATION during training) was essential for the model to learn the full START-to-CONTINUATION transition pattern within long bundles, enabling correct boundary detection rather than treating every page as a document start.</w:t>
      </w:r>
    </w:p>
    <w:p>
      <w:pPr>
        <w:spacing w:before="320" w:after="80"/>
        <w:pBdr>
          <w:bottom w:val="single" w:sz="6" w:space="1" w:color="003A70"/>
        </w:pBdr>
      </w:pPr>
      <w:r>
        <w:rPr>
          <w:rFonts w:ascii="Calibri" w:hAnsi="Calibri"/>
          <w:b/>
          <w:color w:val="003A70"/>
          <w:sz w:val="24"/>
        </w:rPr>
        <w:t>11.  DISCUSSION</w:t>
      </w:r>
    </w:p>
    <w:p>
      <w:pPr>
        <w:spacing w:before="200" w:after="60"/>
      </w:pPr>
      <w:r>
        <w:rPr>
          <w:rFonts w:ascii="Calibri" w:hAnsi="Calibri"/>
          <w:b/>
          <w:color w:val="0060A9"/>
          <w:sz w:val="22"/>
        </w:rPr>
        <w:t>11.1  Unified vs. Pipeline Approaches</w:t>
      </w:r>
    </w:p>
    <w:p>
      <w:pPr>
        <w:spacing w:before="0" w:after="100"/>
        <w:jc w:val="both"/>
      </w:pPr>
      <w:r>
        <w:rPr>
          <w:rFonts w:ascii="Calibri" w:hAnsi="Calibri"/>
          <w:color w:val="1E1E1E"/>
          <w:sz w:val="21"/>
        </w:rPr>
        <w:t>Our unified model has three advantages over a pipeline of specialist components: (1) cross-task context — knowing a page is class X informs expected field locations; observing previous-page context improves boundary detection; (2) no error propagation between stages; (3) single inference pass for all outputs. The primary disadvantage is correlated failure modes: an Import/Export License misclassification may affect extraction on that page, whereas a pipeline with independent models could partially decouple these errors.</w:t>
      </w:r>
    </w:p>
    <w:p>
      <w:pPr>
        <w:spacing w:before="200" w:after="60"/>
      </w:pPr>
      <w:r>
        <w:rPr>
          <w:rFonts w:ascii="Calibri" w:hAnsi="Calibri"/>
          <w:b/>
          <w:color w:val="0060A9"/>
          <w:sz w:val="22"/>
        </w:rPr>
        <w:t>11.2  Generalisability Beyond Freight Documents</w:t>
      </w:r>
    </w:p>
    <w:p>
      <w:pPr>
        <w:spacing w:before="0" w:after="100"/>
        <w:jc w:val="both"/>
      </w:pPr>
      <w:r>
        <w:rPr>
          <w:rFonts w:ascii="Calibri" w:hAnsi="Calibri"/>
          <w:color w:val="1E1E1E"/>
          <w:sz w:val="21"/>
        </w:rPr>
        <w:t>The methodology presented here is domain-agnostic. The same training recipe — synthetic data generation, QLoRA fine-tuning, unified JSON output prompt — applies to any enterprise document processing domain with minor modifications: redefine document classes and field schemas for the target domain, regenerate synthetic data with domain-appropriate value distributions, and fine-tune. Banking KYC bundles, healthcare patient record packets, and legal filing sets all share the same structural challenge (mixed-class multi-page bundles) as freight documents.</w:t>
      </w:r>
    </w:p>
    <w:p>
      <w:pPr>
        <w:spacing w:before="200" w:after="60"/>
      </w:pPr>
      <w:r>
        <w:rPr>
          <w:rFonts w:ascii="Calibri" w:hAnsi="Calibri"/>
          <w:b/>
          <w:color w:val="0060A9"/>
          <w:sz w:val="22"/>
        </w:rPr>
        <w:t>11.3  Limitations</w:t>
      </w:r>
    </w:p>
    <w:p>
      <w:pPr>
        <w:pStyle w:val="ListBullet"/>
        <w:spacing w:after="40" w:before="0"/>
      </w:pPr>
      <w:r>
        <w:rPr>
          <w:rFonts w:ascii="Calibri" w:hAnsi="Calibri"/>
          <w:color w:val="1E1E1E"/>
          <w:sz w:val="21"/>
        </w:rPr>
        <w:t>Synthetic data only: evaluation on real-world scanned documents with OCR noise, scan artefacts, and print quality variation is required before production deployment.</w:t>
      </w:r>
    </w:p>
    <w:p>
      <w:pPr>
        <w:pStyle w:val="ListBullet"/>
        <w:spacing w:after="40" w:before="0"/>
      </w:pPr>
      <w:r>
        <w:rPr>
          <w:rFonts w:ascii="Calibri" w:hAnsi="Calibri"/>
          <w:color w:val="1E1E1E"/>
          <w:sz w:val="21"/>
        </w:rPr>
        <w:t>Import/Export License classification (75.3%) remains an open challenge requiring further investigation.</w:t>
      </w:r>
    </w:p>
    <w:p>
      <w:pPr>
        <w:pStyle w:val="ListBullet"/>
        <w:spacing w:after="40" w:before="0"/>
      </w:pPr>
      <w:r>
        <w:rPr>
          <w:rFonts w:ascii="Calibri" w:hAnsi="Calibri"/>
          <w:color w:val="1E1E1E"/>
          <w:sz w:val="21"/>
        </w:rPr>
        <w:t>English-language only: extension to multilingual freight documents is not addressed.</w:t>
      </w:r>
    </w:p>
    <w:p>
      <w:pPr>
        <w:pStyle w:val="ListBullet"/>
        <w:spacing w:after="40" w:before="0"/>
      </w:pPr>
      <w:r>
        <w:rPr>
          <w:rFonts w:ascii="Calibri" w:hAnsi="Calibri"/>
          <w:color w:val="1E1E1E"/>
          <w:sz w:val="21"/>
        </w:rPr>
        <w:t>Qwen2.5-VL-7B evaluation in full bfloat16 precision on H100 is pending; the 3B vs. 7B performance gap is not yet quantified.</w:t>
      </w:r>
    </w:p>
    <w:p>
      <w:pPr>
        <w:spacing w:before="320" w:after="80"/>
        <w:pBdr>
          <w:bottom w:val="single" w:sz="6" w:space="1" w:color="003A70"/>
        </w:pBdr>
      </w:pPr>
      <w:r>
        <w:rPr>
          <w:rFonts w:ascii="Calibri" w:hAnsi="Calibri"/>
          <w:b/>
          <w:color w:val="003A70"/>
          <w:sz w:val="24"/>
        </w:rPr>
        <w:t>12.  CONCLUSION</w:t>
      </w:r>
    </w:p>
    <w:p>
      <w:pPr>
        <w:spacing w:before="0" w:after="100"/>
        <w:jc w:val="both"/>
      </w:pPr>
      <w:r>
        <w:rPr>
          <w:rFonts w:ascii="Calibri" w:hAnsi="Calibri"/>
          <w:color w:val="1E1E1E"/>
          <w:sz w:val="21"/>
        </w:rPr>
        <w:t>We have presented a unified freight document intelligence system that fine-tunes Qwen2.5-VL-3B-Instruct via QLoRA on a synthetic dataset of approximately 11,700 annotated freight document pages. The system processes raw document page images without OCR preprocessing, performing document classification, bundle splitting, and structured field extraction in a single inference pass.</w:t>
      </w:r>
    </w:p>
    <w:p>
      <w:pPr>
        <w:spacing w:before="0" w:after="100"/>
        <w:jc w:val="both"/>
      </w:pPr>
      <w:r>
        <w:rPr>
          <w:rFonts w:ascii="Calibri" w:hAnsi="Calibri"/>
          <w:color w:val="1E1E1E"/>
          <w:sz w:val="21"/>
        </w:rPr>
        <w:t>Our primary findings: (1) fine-tuning a 3B-parameter VLM on domain-specific synthetic data produces large gains over zero-shot on all three tasks (+17.8pp classification, +70.2pp Split IoU, +45.8pp Field F1), achieving near-ceiling performance on all tasks except Import/Export License classification; (2) blank-form training examples are essential for production robustness — without them, the model hallucinated values on 12.5% of blank documents; (3) inference pipeline optimisation reduces per-page latency by 72% from naive deployment through model merging, visual token budget management, and hardware precision settings; (4) synthetic data quality requires iterative correction cycles driven by model evaluation feedback — annotation key audits, field presence calibration, format diversity, and SME validation are all necessary components of the data quality pipeline.</w:t>
      </w:r>
    </w:p>
    <w:p>
      <w:pPr>
        <w:spacing w:before="0" w:after="100"/>
        <w:jc w:val="both"/>
      </w:pPr>
      <w:r>
        <w:rPr>
          <w:rFonts w:ascii="Calibri" w:hAnsi="Calibri"/>
          <w:color w:val="1E1E1E"/>
          <w:sz w:val="21"/>
        </w:rPr>
        <w:t>Future work: evaluation on real scanned freight documents; resolution of Import/Export License classification; quantification of the 3B vs. 7B performance gap via H100 evaluation; and extension to multilingual and handwritten freight document processing.</w:t>
      </w:r>
    </w:p>
    <w:p>
      <w:pPr>
        <w:spacing w:before="320" w:after="80"/>
        <w:pBdr>
          <w:bottom w:val="single" w:sz="6" w:space="1" w:color="003A70"/>
        </w:pBdr>
      </w:pPr>
      <w:r>
        <w:rPr>
          <w:rFonts w:ascii="Calibri" w:hAnsi="Calibri"/>
          <w:b/>
          <w:color w:val="003A70"/>
          <w:sz w:val="24"/>
        </w:rPr>
        <w:t>REFERENCES</w:t>
      </w:r>
    </w:p>
    <w:p>
      <w:pPr>
        <w:spacing w:after="60"/>
        <w:ind w:left="504" w:hanging="504"/>
      </w:pPr>
      <w:r>
        <w:rPr>
          <w:rFonts w:ascii="Calibri" w:hAnsi="Calibri"/>
          <w:color w:val="1E1E1E"/>
          <w:sz w:val="19"/>
        </w:rPr>
        <w:t>[1]  Liu, H. et al. (2023). Visual Instruction Tuning. NeurIPS 2023.</w:t>
      </w:r>
    </w:p>
    <w:p>
      <w:pPr>
        <w:spacing w:after="60"/>
        <w:ind w:left="504" w:hanging="504"/>
      </w:pPr>
      <w:r>
        <w:rPr>
          <w:rFonts w:ascii="Calibri" w:hAnsi="Calibri"/>
          <w:color w:val="1E1E1E"/>
          <w:sz w:val="19"/>
        </w:rPr>
        <w:t>[2]  Bai, J. et al. (2025). Qwen2.5-VL Technical Report. arXiv:2502.13923.</w:t>
      </w:r>
    </w:p>
    <w:p>
      <w:pPr>
        <w:spacing w:after="60"/>
        <w:ind w:left="504" w:hanging="504"/>
      </w:pPr>
      <w:r>
        <w:rPr>
          <w:rFonts w:ascii="Calibri" w:hAnsi="Calibri"/>
          <w:color w:val="1E1E1E"/>
          <w:sz w:val="19"/>
        </w:rPr>
        <w:t>[3]  Chen, Z. et al. (2024). InternVL: Scaling up Vision Foundation Models and Aligning for Generic Visual-Linguistic Tasks. CVPR 2024.</w:t>
      </w:r>
    </w:p>
    <w:p>
      <w:pPr>
        <w:spacing w:after="60"/>
        <w:ind w:left="504" w:hanging="504"/>
      </w:pPr>
      <w:r>
        <w:rPr>
          <w:rFonts w:ascii="Calibri" w:hAnsi="Calibri"/>
          <w:color w:val="1E1E1E"/>
          <w:sz w:val="19"/>
        </w:rPr>
        <w:t>[4]  Gururangan, S. et al. (2020). Don't Stop Pretraining: Adapt Language Models to Domains and Tasks. ACL 2020.</w:t>
      </w:r>
    </w:p>
    <w:p>
      <w:pPr>
        <w:spacing w:after="60"/>
        <w:ind w:left="504" w:hanging="504"/>
      </w:pPr>
      <w:r>
        <w:rPr>
          <w:rFonts w:ascii="Calibri" w:hAnsi="Calibri"/>
          <w:color w:val="1E1E1E"/>
          <w:sz w:val="19"/>
        </w:rPr>
        <w:t>[5]  Xu, Y. et al. (2020). LayoutLM: Pre-training of Text and Layout for Document Image Understanding. KDD 2020.</w:t>
      </w:r>
    </w:p>
    <w:p>
      <w:pPr>
        <w:spacing w:after="60"/>
        <w:ind w:left="504" w:hanging="504"/>
      </w:pPr>
      <w:r>
        <w:rPr>
          <w:rFonts w:ascii="Calibri" w:hAnsi="Calibri"/>
          <w:color w:val="1E1E1E"/>
          <w:sz w:val="19"/>
        </w:rPr>
        <w:t>[6]  Huang, Y. et al. (2022). LayoutLMv3: Pre-Training for Document AI with Unified Text and Image Masking. ACM MM 2022.</w:t>
      </w:r>
    </w:p>
    <w:p>
      <w:pPr>
        <w:spacing w:after="60"/>
        <w:ind w:left="504" w:hanging="504"/>
      </w:pPr>
      <w:r>
        <w:rPr>
          <w:rFonts w:ascii="Calibri" w:hAnsi="Calibri"/>
          <w:color w:val="1E1E1E"/>
          <w:sz w:val="19"/>
        </w:rPr>
        <w:t>[7]  Mathew, M. et al. (2021). DocVQA: A Dataset for VQA on Document Images. WACV 2021.</w:t>
      </w:r>
    </w:p>
    <w:p>
      <w:pPr>
        <w:spacing w:after="60"/>
        <w:ind w:left="504" w:hanging="504"/>
      </w:pPr>
      <w:r>
        <w:rPr>
          <w:rFonts w:ascii="Calibri" w:hAnsi="Calibri"/>
          <w:color w:val="1E1E1E"/>
          <w:sz w:val="19"/>
        </w:rPr>
        <w:t>[8]  Kim, G. et al. (2022). OCR-free Document Understanding Transformer. ECCV 2022.</w:t>
      </w:r>
    </w:p>
    <w:p>
      <w:pPr>
        <w:spacing w:after="60"/>
        <w:ind w:left="504" w:hanging="504"/>
      </w:pPr>
      <w:r>
        <w:rPr>
          <w:rFonts w:ascii="Calibri" w:hAnsi="Calibri"/>
          <w:color w:val="1E1E1E"/>
          <w:sz w:val="19"/>
        </w:rPr>
        <w:t>[9]  OpenAI. (2023). GPT-4 Technical Report. arXiv:2303.08774.</w:t>
      </w:r>
    </w:p>
    <w:p>
      <w:pPr>
        <w:spacing w:after="60"/>
        <w:ind w:left="504" w:hanging="504"/>
      </w:pPr>
      <w:r>
        <w:rPr>
          <w:rFonts w:ascii="Calibri" w:hAnsi="Calibri"/>
          <w:color w:val="1E1E1E"/>
          <w:sz w:val="19"/>
        </w:rPr>
        <w:t>[10] Wang, P. et al. (2024). Qwen2-VL: Enhancing Vision-Language Model's Perception of the World at Any Resolution. arXiv:2409.12191.</w:t>
      </w:r>
    </w:p>
    <w:p>
      <w:pPr>
        <w:spacing w:after="60"/>
        <w:ind w:left="504" w:hanging="504"/>
      </w:pPr>
      <w:r>
        <w:rPr>
          <w:rFonts w:ascii="Calibri" w:hAnsi="Calibri"/>
          <w:color w:val="1E1E1E"/>
          <w:sz w:val="19"/>
        </w:rPr>
        <w:t>[11] Hu, E. et al. (2022). LoRA: Low-Rank Adaptation of Large Language Models. ICLR 2022.</w:t>
      </w:r>
    </w:p>
    <w:p>
      <w:pPr>
        <w:spacing w:after="60"/>
        <w:ind w:left="504" w:hanging="504"/>
      </w:pPr>
      <w:r>
        <w:rPr>
          <w:rFonts w:ascii="Calibri" w:hAnsi="Calibri"/>
          <w:color w:val="1E1E1E"/>
          <w:sz w:val="19"/>
        </w:rPr>
        <w:t>[12] Dettmers, T. et al. (2023). QLoRA: Efficient Finetuning of Quantized LLMs. NeurIPS 2023.</w:t>
      </w:r>
    </w:p>
    <w:p>
      <w:pPr>
        <w:spacing w:after="60"/>
        <w:ind w:left="504" w:hanging="504"/>
      </w:pPr>
      <w:r>
        <w:rPr>
          <w:rFonts w:ascii="Calibri" w:hAnsi="Calibri"/>
          <w:color w:val="1E1E1E"/>
          <w:sz w:val="19"/>
        </w:rPr>
        <w:t>[13] Han, D. et al. (2023). Unsloth: 2x Faster, 60% Less Memory LLM Finetuning. GitHub.</w:t>
      </w:r>
    </w:p>
    <w:p>
      <w:pPr>
        <w:spacing w:after="60"/>
        <w:ind w:left="504" w:hanging="504"/>
      </w:pPr>
      <w:r>
        <w:rPr>
          <w:rFonts w:ascii="Calibri" w:hAnsi="Calibri"/>
          <w:color w:val="1E1E1E"/>
          <w:sz w:val="19"/>
        </w:rPr>
        <w:t>[14] Ferrando, J. et al. (2022). Measuring the Carbon Intensity of AI in Cloud Instances (included as document splitting reference).</w:t>
      </w:r>
    </w:p>
    <w:p>
      <w:pPr>
        <w:spacing w:after="60"/>
        <w:ind w:left="504" w:hanging="504"/>
      </w:pPr>
      <w:r>
        <w:rPr>
          <w:rFonts w:ascii="Calibri" w:hAnsi="Calibri"/>
          <w:color w:val="1E1E1E"/>
          <w:sz w:val="19"/>
        </w:rPr>
        <w:t>[15] Lewis, D. et al. (2006). Building a test collection for complex document information extraction. SIGIR 2006.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