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i w:val="0"/>
          <w:sz w:val="32"/>
        </w:rPr>
        <w:t>Unified Freight Document Intelligence via Vision-Language Model Fine-Tuning:</w:t>
        <w:br/>
        <w:t>Classification, Bundle Splitting, and Structured Field Extraction</w:t>
      </w:r>
    </w:p>
    <w:p/>
    <w:p>
      <w:pPr>
        <w:jc w:val="center"/>
      </w:pPr>
      <w:r>
        <w:rPr>
          <w:rFonts w:ascii="Times New Roman" w:hAnsi="Times New Roman"/>
          <w:b w:val="0"/>
          <w:i/>
          <w:sz w:val="24"/>
        </w:rPr>
        <w:t>Capgemini Document Intelligence Research</w:t>
      </w:r>
    </w:p>
    <w:p>
      <w:pPr>
        <w:jc w:val="center"/>
      </w:pPr>
      <w:r>
        <w:rPr>
          <w:rFonts w:ascii="Times New Roman" w:hAnsi="Times New Roman"/>
          <w:b w:val="0"/>
          <w:i w:val="0"/>
          <w:sz w:val="22"/>
        </w:rPr>
        <w:t>June 2026</w:t>
      </w:r>
    </w:p>
    <w:p>
      <w:r>
        <w:br w:type="page"/>
      </w:r>
    </w:p>
    <w:p>
      <w:pPr>
        <w:pStyle w:val="Heading1"/>
        <w:spacing w:before="240" w:after="80"/>
        <w:jc w:val="left"/>
      </w:pPr>
      <w:r>
        <w:rPr>
          <w:rFonts w:ascii="Times New Roman" w:hAnsi="Times New Roman"/>
          <w:b/>
          <w:i w:val="0"/>
          <w:color w:val="000000"/>
          <w:sz w:val="26"/>
        </w:rPr>
        <w:t>Abstract</w:t>
      </w:r>
    </w:p>
    <w:p>
      <w:pPr>
        <w:spacing w:after="120" w:before="0"/>
        <w:jc w:val="both"/>
      </w:pPr>
      <w:r>
        <w:rPr>
          <w:rFonts w:ascii="Times New Roman" w:hAnsi="Times New Roman"/>
          <w:b w:val="0"/>
          <w:i w:val="0"/>
          <w:sz w:val="22"/>
        </w:rPr>
        <w:t>Freight forwarding and customs operations generate large volumes of heterogeneous document bundles — sequences of pages spanning multiple document types that must be separated, classified, and parsed to extract structured data. Existing document AI systems address these sub-tasks in isolation, requiring separate models and OCR preprocessing pipelines. We present a unified approach that fine-tunes a single 3-billion-parameter vision-language model, Qwen2.5-VL-3B-Instruct, to simultaneously perform three tasks from raw document images: (1) classification across 12 freight document classes, (2) multi-page bundle splitting to identify document boundaries within mixed packets, and (3) structured extraction of 11 universal fields per document. We introduce a synthetic data generation pipeline producing approximately 11,700 labelled document pages with realistic multi-page bundle structure, and a blank-form training strategy that eliminates model hallucination on empty templates. Evaluated on 2,371 held-out pages across 466 complete packets, our fine-tuned model achieves 98.4% document classification accuracy, 100.0% bundle splitting accuracy (Split IoU), and 97.7% token-level field extraction F1 — compared to 80.6%, 29.8%, and 51.9% respectively for the same model in zero-shot configuration. Training on blank-form examples with explicit null-output supervision eliminates model hallucination on empty document templates entirely (0.0% hallucination rate on 64 blank test pages). We further document the iterative synthetic data development process, detailing the dataset quality challenges — field mapping errors, format diversity gaps, schema design decisions, and SME validation cycles — that required multiple experimental iterations before yielding production-quality training data.</w:t>
      </w:r>
    </w:p>
    <w:p/>
    <w:p>
      <w:r>
        <w:rPr>
          <w:rFonts w:ascii="Times New Roman" w:hAnsi="Times New Roman"/>
          <w:b/>
          <w:i w:val="0"/>
          <w:sz w:val="22"/>
        </w:rPr>
        <w:t xml:space="preserve">Keywords: </w:t>
      </w:r>
      <w:r>
        <w:rPr>
          <w:rFonts w:ascii="Times New Roman" w:hAnsi="Times New Roman"/>
          <w:b w:val="0"/>
          <w:i/>
          <w:sz w:val="22"/>
        </w:rPr>
        <w:t>document intelligence, vision-language models, logistics automation, fine-tuning, information extraction, document classification, LoRA</w:t>
      </w:r>
    </w:p>
    <w:p>
      <w:pPr>
        <w:pStyle w:val="Heading1"/>
        <w:spacing w:before="240" w:after="80"/>
        <w:jc w:val="left"/>
      </w:pPr>
      <w:r>
        <w:rPr>
          <w:rFonts w:ascii="Times New Roman" w:hAnsi="Times New Roman"/>
          <w:b/>
          <w:i w:val="0"/>
          <w:color w:val="000000"/>
          <w:sz w:val="26"/>
        </w:rPr>
        <w:t>1. Introduction</w:t>
      </w:r>
    </w:p>
    <w:p>
      <w:pPr>
        <w:spacing w:after="120" w:before="0"/>
        <w:jc w:val="both"/>
      </w:pPr>
      <w:r>
        <w:rPr>
          <w:rFonts w:ascii="Times New Roman" w:hAnsi="Times New Roman"/>
          <w:b w:val="0"/>
          <w:i w:val="0"/>
          <w:sz w:val="22"/>
        </w:rPr>
        <w:t>International trade generates an estimated 36 billion documents annually, with freight forwarding, customs clearance, and logistics operations collectively responsible for a significant fraction of this volume [citation needed]. A single shipment may produce a commercial invoice, bill of lading, certificate of origin, packing list, and dangerous goods declaration — each with distinct format, layout, and required data fields. These documents typically arrive as mixed multi-page scanned bundles, requiring human operators to manually separate, identify, and key-enter data into downstream systems.</w:t>
      </w:r>
    </w:p>
    <w:p>
      <w:pPr>
        <w:spacing w:after="120" w:before="0"/>
        <w:jc w:val="both"/>
      </w:pPr>
      <w:r>
        <w:rPr>
          <w:rFonts w:ascii="Times New Roman" w:hAnsi="Times New Roman"/>
          <w:b w:val="0"/>
          <w:i w:val="0"/>
          <w:sz w:val="22"/>
        </w:rPr>
        <w:t>Document AI research has addressed these challenges through increasingly capable architectures: OCR-dependent layout transformers such as LayoutLM [1] and LayoutLMv3 [2] achieve strong results on benchmark datasets, while end-to-end approaches like Donut [3] eliminate OCR preprocessing by directly processing document images. Large vision-language models (VLMs) such as Qwen2.5-VL [4] and InternVL2 [5] further extend document understanding capabilities through large-scale vision-text pre-training. However, none of these approaches address the combined problem of bundle splitting, classification, and structured extraction in a single model inference pass on domain-specific freight documents.</w:t>
      </w:r>
    </w:p>
    <w:p>
      <w:pPr>
        <w:spacing w:after="120" w:before="0"/>
        <w:jc w:val="both"/>
      </w:pPr>
      <w:r>
        <w:rPr>
          <w:rFonts w:ascii="Times New Roman" w:hAnsi="Times New Roman"/>
          <w:b w:val="0"/>
          <w:i w:val="0"/>
          <w:sz w:val="22"/>
        </w:rPr>
        <w:t>We make the following contributions:</w:t>
      </w:r>
    </w:p>
    <w:p>
      <w:pPr>
        <w:pStyle w:val="ListBullet"/>
        <w:spacing w:after="40" w:before="0"/>
      </w:pPr>
      <w:r>
        <w:rPr>
          <w:rFonts w:ascii="Times New Roman" w:hAnsi="Times New Roman"/>
          <w:b w:val="0"/>
          <w:i w:val="0"/>
          <w:sz w:val="22"/>
        </w:rPr>
        <w:t>A unified task formulation encoding document classification, bundle splitting, and structured field extraction as a single JSON-output prompt-response pair, enabling all three tasks in one inference call.</w:t>
      </w:r>
    </w:p>
    <w:p>
      <w:pPr>
        <w:pStyle w:val="ListBullet"/>
        <w:spacing w:after="40" w:before="0"/>
      </w:pPr>
      <w:r>
        <w:rPr>
          <w:rFonts w:ascii="Times New Roman" w:hAnsi="Times New Roman"/>
          <w:b w:val="0"/>
          <w:i w:val="0"/>
          <w:sz w:val="22"/>
        </w:rPr>
        <w:t>A synthetic data generation pipeline producing ~11,700 labelled freight document pages across 12 document classes with realistic multi-page packet structure.</w:t>
      </w:r>
    </w:p>
    <w:p>
      <w:pPr>
        <w:pStyle w:val="ListBullet"/>
        <w:spacing w:after="40" w:before="0"/>
      </w:pPr>
      <w:r>
        <w:rPr>
          <w:rFonts w:ascii="Times New Roman" w:hAnsi="Times New Roman"/>
          <w:b w:val="0"/>
          <w:i w:val="0"/>
          <w:sz w:val="22"/>
        </w:rPr>
        <w:t>A universal field schema of 11 fields applicable across all 12 document classes, enabling a class-agnostic extraction approach without per-document-type pipelines.</w:t>
      </w:r>
    </w:p>
    <w:p>
      <w:pPr>
        <w:pStyle w:val="ListBullet"/>
        <w:spacing w:after="40" w:before="0"/>
      </w:pPr>
      <w:r>
        <w:rPr>
          <w:rFonts w:ascii="Times New Roman" w:hAnsi="Times New Roman"/>
          <w:b w:val="0"/>
          <w:i w:val="0"/>
          <w:sz w:val="22"/>
        </w:rPr>
        <w:t>A blank-form training strategy that eliminates hallucination on empty documents, reducing hallucination rate from 12.5% (v2) to 0.0% (v3).</w:t>
      </w:r>
    </w:p>
    <w:p>
      <w:pPr>
        <w:pStyle w:val="ListBullet"/>
        <w:spacing w:after="40" w:before="0"/>
      </w:pPr>
      <w:r>
        <w:rPr>
          <w:rFonts w:ascii="Times New Roman" w:hAnsi="Times New Roman"/>
          <w:b w:val="0"/>
          <w:i w:val="0"/>
          <w:sz w:val="22"/>
        </w:rPr>
        <w:t>Comprehensive empirical evaluation demonstrating that a 3B-parameter fine-tuned VLM substantially outperforms its zero-shot counterpart on all tasks and surpasses specialist baselines on domain-specific metrics.</w:t>
      </w:r>
    </w:p>
    <w:p>
      <w:pPr>
        <w:pStyle w:val="Heading1"/>
        <w:spacing w:before="240" w:after="80"/>
        <w:jc w:val="left"/>
      </w:pPr>
      <w:r>
        <w:rPr>
          <w:rFonts w:ascii="Times New Roman" w:hAnsi="Times New Roman"/>
          <w:b/>
          <w:i w:val="0"/>
          <w:color w:val="000000"/>
          <w:sz w:val="26"/>
        </w:rPr>
        <w:t>2. Related Work</w:t>
      </w:r>
    </w:p>
    <w:p>
      <w:pPr>
        <w:pStyle w:val="Heading2"/>
        <w:spacing w:before="240" w:after="80"/>
        <w:jc w:val="left"/>
      </w:pPr>
      <w:r>
        <w:rPr>
          <w:rFonts w:ascii="Times New Roman" w:hAnsi="Times New Roman"/>
          <w:b/>
          <w:i w:val="0"/>
          <w:color w:val="000000"/>
          <w:sz w:val="24"/>
        </w:rPr>
        <w:t>2.1 Document Understanding Models</w:t>
      </w:r>
    </w:p>
    <w:p>
      <w:pPr>
        <w:spacing w:after="120" w:before="0"/>
        <w:jc w:val="both"/>
      </w:pPr>
      <w:r>
        <w:rPr>
          <w:rFonts w:ascii="Times New Roman" w:hAnsi="Times New Roman"/>
          <w:b w:val="0"/>
          <w:i w:val="0"/>
          <w:sz w:val="22"/>
        </w:rPr>
        <w:t>Document understanding has evolved from OCR-centric pipelines to end-to-end neural approaches. LayoutLM [1] and its successors [2] combine text, layout, and visual features within a transformer architecture, achieving state-of-the-art results on FUNSD, CORD, and DocVQA benchmarks. However, these models require high-quality OCR as a prerequisite, limiting applicability to scanned documents with degraded text quality.</w:t>
      </w:r>
    </w:p>
    <w:p>
      <w:pPr>
        <w:spacing w:after="120" w:before="0"/>
        <w:jc w:val="both"/>
      </w:pPr>
      <w:r>
        <w:rPr>
          <w:rFonts w:ascii="Times New Roman" w:hAnsi="Times New Roman"/>
          <w:b w:val="0"/>
          <w:i w:val="0"/>
          <w:sz w:val="22"/>
        </w:rPr>
        <w:t>Donut [3] proposed an OCR-free encoder-decoder trained directly on document images, demonstrating competitive performance on document classification (RVL-CDIP) and VQA (DocVQA) tasks without OCR dependency. However, Donut is constrained to single-answer VQA-style outputs and does not support multi-field structured extraction or multi-page document processing.</w:t>
      </w:r>
    </w:p>
    <w:p>
      <w:pPr>
        <w:spacing w:after="120" w:before="0"/>
        <w:jc w:val="both"/>
      </w:pPr>
      <w:r>
        <w:rPr>
          <w:rFonts w:ascii="Times New Roman" w:hAnsi="Times New Roman"/>
          <w:b w:val="0"/>
          <w:i w:val="0"/>
          <w:sz w:val="22"/>
        </w:rPr>
        <w:t>Large vision-language models — notably LLaVA [6], Qwen2.5-VL [4], and InternVL2 [5] — leverage billion-scale vision-text pre-training to achieve strong zero-shot generalisation across diverse visual understanding tasks. These models are amenable to parameter-efficient domain adaptation via LoRA [7] and QLoRA [8], making them practical candidates for specialist applications.</w:t>
      </w:r>
    </w:p>
    <w:p>
      <w:pPr>
        <w:pStyle w:val="Heading2"/>
        <w:spacing w:before="240" w:after="80"/>
        <w:jc w:val="left"/>
      </w:pPr>
      <w:r>
        <w:rPr>
          <w:rFonts w:ascii="Times New Roman" w:hAnsi="Times New Roman"/>
          <w:b/>
          <w:i w:val="0"/>
          <w:color w:val="000000"/>
          <w:sz w:val="24"/>
        </w:rPr>
        <w:t>2.2 Logistics Document Processing</w:t>
      </w:r>
    </w:p>
    <w:p>
      <w:pPr>
        <w:spacing w:after="120" w:before="0"/>
        <w:jc w:val="both"/>
      </w:pPr>
      <w:r>
        <w:rPr>
          <w:rFonts w:ascii="Times New Roman" w:hAnsi="Times New Roman"/>
          <w:b w:val="0"/>
          <w:i w:val="0"/>
          <w:sz w:val="22"/>
        </w:rPr>
        <w:t>Logistics document processing has been addressed through rule-based template matching [citation], supervised classifiers on OCR output [citation], and more recently deep learning approaches [citation]. Prior work predominantly addresses document classification or key-value extraction in isolation. To our knowledge, no prior published system jointly addresses multi-page bundle splitting, classification, and structured extraction for freight documents in a single model, which is the primary methodological contribution of this work.</w:t>
      </w:r>
    </w:p>
    <w:p>
      <w:pPr>
        <w:pStyle w:val="Heading2"/>
        <w:spacing w:before="240" w:after="80"/>
        <w:jc w:val="left"/>
      </w:pPr>
      <w:r>
        <w:rPr>
          <w:rFonts w:ascii="Times New Roman" w:hAnsi="Times New Roman"/>
          <w:b/>
          <w:i w:val="0"/>
          <w:color w:val="000000"/>
          <w:sz w:val="24"/>
        </w:rPr>
        <w:t>2.3 Synthetic Data for Document AI</w:t>
      </w:r>
    </w:p>
    <w:p>
      <w:pPr>
        <w:spacing w:after="120" w:before="0"/>
        <w:jc w:val="both"/>
      </w:pPr>
      <w:r>
        <w:rPr>
          <w:rFonts w:ascii="Times New Roman" w:hAnsi="Times New Roman"/>
          <w:b w:val="0"/>
          <w:i w:val="0"/>
          <w:sz w:val="22"/>
        </w:rPr>
        <w:t>Synthetic data generation for document AI has been explored through template-based rendering [citation], layout-conditional generation [citation], and style transfer approaches. Our approach is closest to template rendering: we use ReportLab and domain-specific Faker distributions to produce visually realistic freight documents with guaranteed annotation accuracy, avoiding the noise and label inconsistency inherent in manually annotated real document datasets.</w:t>
      </w:r>
    </w:p>
    <w:p>
      <w:pPr>
        <w:pStyle w:val="Heading1"/>
        <w:spacing w:before="240" w:after="80"/>
        <w:jc w:val="left"/>
      </w:pPr>
      <w:r>
        <w:rPr>
          <w:rFonts w:ascii="Times New Roman" w:hAnsi="Times New Roman"/>
          <w:b/>
          <w:i w:val="0"/>
          <w:color w:val="000000"/>
          <w:sz w:val="26"/>
        </w:rPr>
        <w:t>3. Task Formulation</w:t>
      </w:r>
    </w:p>
    <w:p>
      <w:pPr>
        <w:spacing w:after="120" w:before="0"/>
        <w:jc w:val="both"/>
      </w:pPr>
      <w:r>
        <w:rPr>
          <w:rFonts w:ascii="Times New Roman" w:hAnsi="Times New Roman"/>
          <w:b w:val="0"/>
          <w:i w:val="0"/>
          <w:sz w:val="22"/>
        </w:rPr>
        <w:t>We define the Freight Document Intelligence task as follows. Given a sequence of document page images P = {p₁, p₂, ..., pₙ} comprising a multi-page bundle, and the preceding page's label as context, the model must produce for each page pᵢ a structured output yᵢ encoding three sub-tasks:</w:t>
      </w:r>
    </w:p>
    <w:p>
      <w:pPr>
        <w:pStyle w:val="ListBullet"/>
        <w:spacing w:after="40" w:before="0"/>
      </w:pPr>
      <w:r>
        <w:rPr>
          <w:rFonts w:ascii="Times New Roman" w:hAnsi="Times New Roman"/>
          <w:b w:val="0"/>
          <w:i w:val="0"/>
          <w:sz w:val="22"/>
        </w:rPr>
        <w:t>Classification: assign pᵢ to one of C = 12 predefined freight document classes.</w:t>
      </w:r>
    </w:p>
    <w:p>
      <w:pPr>
        <w:pStyle w:val="ListBullet"/>
        <w:spacing w:after="40" w:before="0"/>
      </w:pPr>
      <w:r>
        <w:rPr>
          <w:rFonts w:ascii="Times New Roman" w:hAnsi="Times New Roman"/>
          <w:b w:val="0"/>
          <w:i w:val="0"/>
          <w:sz w:val="22"/>
        </w:rPr>
        <w:t>Bundle Splitting: determine whether pᵢ is the first page (START) of a new document or a continuation (CONTINUATION) of the document begun on pᵢ₋₁.</w:t>
      </w:r>
    </w:p>
    <w:p>
      <w:pPr>
        <w:pStyle w:val="ListBullet"/>
        <w:spacing w:after="40" w:before="0"/>
      </w:pPr>
      <w:r>
        <w:rPr>
          <w:rFonts w:ascii="Times New Roman" w:hAnsi="Times New Roman"/>
          <w:b w:val="0"/>
          <w:i w:val="0"/>
          <w:sz w:val="22"/>
        </w:rPr>
        <w:t>Field Extraction: if pᵢ is a START page, extract values for each of F = 11 universal fields from the visible text on pᵢ, or output null if a field is absent or illegible.</w:t>
      </w:r>
    </w:p>
    <w:p>
      <w:pPr>
        <w:spacing w:after="120" w:before="0"/>
        <w:jc w:val="both"/>
      </w:pPr>
      <w:r>
        <w:rPr>
          <w:rFonts w:ascii="Times New Roman" w:hAnsi="Times New Roman"/>
          <w:b w:val="0"/>
          <w:i w:val="0"/>
          <w:sz w:val="22"/>
        </w:rPr>
        <w:t>These sub-tasks are unified into a single inference call by encoding yᵢ as a JSON object. For CONTINUATION pages, the output reduces to {class, position}. For START pages, the output extends to {class, position, f₁, f₂, ..., f₁₁}. This design exploits the instruction-following capabilities of VLMs to produce structured outputs without post-processing or output parsing beyond JSON decoding.</w:t>
      </w:r>
    </w:p>
    <w:p>
      <w:pPr>
        <w:spacing w:after="120" w:before="0"/>
        <w:jc w:val="both"/>
      </w:pPr>
      <w:r>
        <w:rPr>
          <w:rFonts w:ascii="Times New Roman" w:hAnsi="Times New Roman"/>
          <w:b w:val="0"/>
          <w:i w:val="0"/>
          <w:sz w:val="22"/>
        </w:rPr>
        <w:t>The previous-page label is provided in the prompt as a free-text string (e.g. 'Commercial Invoice | START'), enabling the model to leverage inter-page context for boundary detection without maintaining explicit document state.</w:t>
      </w:r>
    </w:p>
    <w:p>
      <w:pPr>
        <w:pStyle w:val="Heading1"/>
        <w:spacing w:before="240" w:after="80"/>
        <w:jc w:val="left"/>
      </w:pPr>
      <w:r>
        <w:rPr>
          <w:rFonts w:ascii="Times New Roman" w:hAnsi="Times New Roman"/>
          <w:b/>
          <w:i w:val="0"/>
          <w:color w:val="000000"/>
          <w:sz w:val="26"/>
        </w:rPr>
        <w:t>4. Universal Field Schema</w:t>
      </w:r>
    </w:p>
    <w:p>
      <w:pPr>
        <w:spacing w:after="120" w:before="0"/>
        <w:jc w:val="both"/>
      </w:pPr>
      <w:r>
        <w:rPr>
          <w:rFonts w:ascii="Times New Roman" w:hAnsi="Times New Roman"/>
          <w:b w:val="0"/>
          <w:i w:val="0"/>
          <w:sz w:val="22"/>
        </w:rPr>
        <w:t>A critical design decision is the definition of a universal field schema applicable across all 12 document classes. Rather than maintaining class-specific extraction templates, we define 11 fields representing the highest-value extractable information that spans the freight document domain. Fields not semantically applicable to a given document class are expected to return null.</w:t>
      </w:r>
    </w:p>
    <w:p>
      <w:pPr>
        <w:spacing w:after="120" w:before="0"/>
        <w:jc w:val="both"/>
      </w:pPr>
      <w:r>
        <w:rPr>
          <w:rFonts w:ascii="Times New Roman" w:hAnsi="Times New Roman"/>
          <w:b w:val="0"/>
          <w:i w:val="0"/>
          <w:sz w:val="22"/>
        </w:rPr>
        <w:t>Table 1 defines each field, its semantic description, and representative applicable classes.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2E4057" w:color="FFFFFF" w:val="clear"/>
          </w:tcPr>
          <w:p>
            <w:pPr>
              <w:jc w:val="center"/>
            </w:pPr>
            <w:r>
              <w:rPr>
                <w:rFonts w:ascii="Times New Roman" w:hAnsi="Times New Roman"/>
                <w:b/>
                <w:i w:val="0"/>
                <w:color w:val="FFFFFF"/>
                <w:sz w:val="20"/>
              </w:rPr>
              <w:t>Field</w:t>
            </w:r>
          </w:p>
        </w:tc>
        <w:tc>
          <w:tcPr>
            <w:tcW w:type="dxa" w:w="3744"/>
            <w:shd w:fill="2E4057" w:color="FFFFFF" w:val="clear"/>
          </w:tcPr>
          <w:p>
            <w:pPr>
              <w:jc w:val="center"/>
            </w:pPr>
            <w:r>
              <w:rPr>
                <w:rFonts w:ascii="Times New Roman" w:hAnsi="Times New Roman"/>
                <w:b/>
                <w:i w:val="0"/>
                <w:color w:val="FFFFFF"/>
                <w:sz w:val="20"/>
              </w:rPr>
              <w:t>Semantic Description</w:t>
            </w:r>
          </w:p>
        </w:tc>
        <w:tc>
          <w:tcPr>
            <w:tcW w:type="dxa" w:w="3168"/>
            <w:shd w:fill="2E4057" w:color="FFFFFF" w:val="clear"/>
          </w:tcPr>
          <w:p>
            <w:pPr>
              <w:jc w:val="center"/>
            </w:pPr>
            <w:r>
              <w:rPr>
                <w:rFonts w:ascii="Times New Roman" w:hAnsi="Times New Roman"/>
                <w:b/>
                <w:i w:val="0"/>
                <w:color w:val="FFFFFF"/>
                <w:sz w:val="20"/>
              </w:rPr>
              <w:t>Representative Applicable Classes</w:t>
            </w:r>
          </w:p>
        </w:tc>
      </w:tr>
      <w:tr>
        <w:tc>
          <w:tcPr>
            <w:tcW w:type="dxa" w:w="2592"/>
            <w:shd w:fill="F0F4F8" w:val="clear"/>
          </w:tcPr>
          <w:p>
            <w:pPr>
              <w:jc w:val="left"/>
            </w:pPr>
            <w:r>
              <w:rPr>
                <w:rFonts w:ascii="Times New Roman" w:hAnsi="Times New Roman"/>
                <w:b w:val="0"/>
                <w:i w:val="0"/>
                <w:sz w:val="20"/>
              </w:rPr>
              <w:t>shipper_name</w:t>
            </w:r>
          </w:p>
        </w:tc>
        <w:tc>
          <w:tcPr>
            <w:tcW w:type="dxa" w:w="3744"/>
            <w:shd w:fill="F0F4F8" w:val="clear"/>
          </w:tcPr>
          <w:p>
            <w:pPr>
              <w:jc w:val="center"/>
            </w:pPr>
            <w:r>
              <w:rPr>
                <w:rFonts w:ascii="Times New Roman" w:hAnsi="Times New Roman"/>
                <w:b w:val="0"/>
                <w:i w:val="0"/>
                <w:sz w:val="20"/>
              </w:rPr>
              <w:t>Legal name of the exporting entity/shipper</w:t>
            </w:r>
          </w:p>
        </w:tc>
        <w:tc>
          <w:tcPr>
            <w:tcW w:type="dxa" w:w="3168"/>
            <w:shd w:fill="F0F4F8" w:val="clear"/>
          </w:tcPr>
          <w:p>
            <w:pPr>
              <w:jc w:val="center"/>
            </w:pPr>
            <w:r>
              <w:rPr>
                <w:rFonts w:ascii="Times New Roman" w:hAnsi="Times New Roman"/>
                <w:b w:val="0"/>
                <w:i w:val="0"/>
                <w:sz w:val="20"/>
              </w:rPr>
              <w:t>All 12 classes</w:t>
            </w:r>
          </w:p>
        </w:tc>
      </w:tr>
      <w:tr>
        <w:tc>
          <w:tcPr>
            <w:tcW w:type="dxa" w:w="2592"/>
          </w:tcPr>
          <w:p>
            <w:pPr>
              <w:jc w:val="left"/>
            </w:pPr>
            <w:r>
              <w:rPr>
                <w:rFonts w:ascii="Times New Roman" w:hAnsi="Times New Roman"/>
                <w:b w:val="0"/>
                <w:i w:val="0"/>
                <w:sz w:val="20"/>
              </w:rPr>
              <w:t>consignee_name</w:t>
            </w:r>
          </w:p>
        </w:tc>
        <w:tc>
          <w:tcPr>
            <w:tcW w:type="dxa" w:w="3744"/>
          </w:tcPr>
          <w:p>
            <w:pPr>
              <w:jc w:val="center"/>
            </w:pPr>
            <w:r>
              <w:rPr>
                <w:rFonts w:ascii="Times New Roman" w:hAnsi="Times New Roman"/>
                <w:b w:val="0"/>
                <w:i w:val="0"/>
                <w:sz w:val="20"/>
              </w:rPr>
              <w:t>Legal name of the importing entity/consignee</w:t>
            </w:r>
          </w:p>
        </w:tc>
        <w:tc>
          <w:tcPr>
            <w:tcW w:type="dxa" w:w="3168"/>
          </w:tcPr>
          <w:p>
            <w:pPr>
              <w:jc w:val="center"/>
            </w:pPr>
            <w:r>
              <w:rPr>
                <w:rFonts w:ascii="Times New Roman" w:hAnsi="Times New Roman"/>
                <w:b w:val="0"/>
                <w:i w:val="0"/>
                <w:sz w:val="20"/>
              </w:rPr>
              <w:t>All 12 classes</w:t>
            </w:r>
          </w:p>
        </w:tc>
      </w:tr>
      <w:tr>
        <w:tc>
          <w:tcPr>
            <w:tcW w:type="dxa" w:w="2592"/>
            <w:shd w:fill="F0F4F8" w:val="clear"/>
          </w:tcPr>
          <w:p>
            <w:pPr>
              <w:jc w:val="left"/>
            </w:pPr>
            <w:r>
              <w:rPr>
                <w:rFonts w:ascii="Times New Roman" w:hAnsi="Times New Roman"/>
                <w:b w:val="0"/>
                <w:i w:val="0"/>
                <w:sz w:val="20"/>
              </w:rPr>
              <w:t>document_date</w:t>
            </w:r>
          </w:p>
        </w:tc>
        <w:tc>
          <w:tcPr>
            <w:tcW w:type="dxa" w:w="3744"/>
            <w:shd w:fill="F0F4F8" w:val="clear"/>
          </w:tcPr>
          <w:p>
            <w:pPr>
              <w:jc w:val="center"/>
            </w:pPr>
            <w:r>
              <w:rPr>
                <w:rFonts w:ascii="Times New Roman" w:hAnsi="Times New Roman"/>
                <w:b w:val="0"/>
                <w:i w:val="0"/>
                <w:sz w:val="20"/>
              </w:rPr>
              <w:t>Date of document issuance or execution</w:t>
            </w:r>
          </w:p>
        </w:tc>
        <w:tc>
          <w:tcPr>
            <w:tcW w:type="dxa" w:w="3168"/>
            <w:shd w:fill="F0F4F8" w:val="clear"/>
          </w:tcPr>
          <w:p>
            <w:pPr>
              <w:jc w:val="center"/>
            </w:pPr>
            <w:r>
              <w:rPr>
                <w:rFonts w:ascii="Times New Roman" w:hAnsi="Times New Roman"/>
                <w:b w:val="0"/>
                <w:i w:val="0"/>
                <w:sz w:val="20"/>
              </w:rPr>
              <w:t>All 12 classes</w:t>
            </w:r>
          </w:p>
        </w:tc>
      </w:tr>
      <w:tr>
        <w:tc>
          <w:tcPr>
            <w:tcW w:type="dxa" w:w="2592"/>
          </w:tcPr>
          <w:p>
            <w:pPr>
              <w:jc w:val="left"/>
            </w:pPr>
            <w:r>
              <w:rPr>
                <w:rFonts w:ascii="Times New Roman" w:hAnsi="Times New Roman"/>
                <w:b w:val="0"/>
                <w:i w:val="0"/>
                <w:sz w:val="20"/>
              </w:rPr>
              <w:t>document_number</w:t>
            </w:r>
          </w:p>
        </w:tc>
        <w:tc>
          <w:tcPr>
            <w:tcW w:type="dxa" w:w="3744"/>
          </w:tcPr>
          <w:p>
            <w:pPr>
              <w:jc w:val="center"/>
            </w:pPr>
            <w:r>
              <w:rPr>
                <w:rFonts w:ascii="Times New Roman" w:hAnsi="Times New Roman"/>
                <w:b w:val="0"/>
                <w:i w:val="0"/>
                <w:sz w:val="20"/>
              </w:rPr>
              <w:t>Unique reference number for the document</w:t>
            </w:r>
          </w:p>
        </w:tc>
        <w:tc>
          <w:tcPr>
            <w:tcW w:type="dxa" w:w="3168"/>
          </w:tcPr>
          <w:p>
            <w:pPr>
              <w:jc w:val="center"/>
            </w:pPr>
            <w:r>
              <w:rPr>
                <w:rFonts w:ascii="Times New Roman" w:hAnsi="Times New Roman"/>
                <w:b w:val="0"/>
                <w:i w:val="0"/>
                <w:sz w:val="20"/>
              </w:rPr>
              <w:t>All 12 classes</w:t>
            </w:r>
          </w:p>
        </w:tc>
      </w:tr>
      <w:tr>
        <w:tc>
          <w:tcPr>
            <w:tcW w:type="dxa" w:w="2592"/>
            <w:shd w:fill="F0F4F8" w:val="clear"/>
          </w:tcPr>
          <w:p>
            <w:pPr>
              <w:jc w:val="left"/>
            </w:pPr>
            <w:r>
              <w:rPr>
                <w:rFonts w:ascii="Times New Roman" w:hAnsi="Times New Roman"/>
                <w:b w:val="0"/>
                <w:i w:val="0"/>
                <w:sz w:val="20"/>
              </w:rPr>
              <w:t>country_of_origin</w:t>
            </w:r>
          </w:p>
        </w:tc>
        <w:tc>
          <w:tcPr>
            <w:tcW w:type="dxa" w:w="3744"/>
            <w:shd w:fill="F0F4F8" w:val="clear"/>
          </w:tcPr>
          <w:p>
            <w:pPr>
              <w:jc w:val="center"/>
            </w:pPr>
            <w:r>
              <w:rPr>
                <w:rFonts w:ascii="Times New Roman" w:hAnsi="Times New Roman"/>
                <w:b w:val="0"/>
                <w:i w:val="0"/>
                <w:sz w:val="20"/>
              </w:rPr>
              <w:t>Origin country or departure airport/port code</w:t>
            </w:r>
          </w:p>
        </w:tc>
        <w:tc>
          <w:tcPr>
            <w:tcW w:type="dxa" w:w="3168"/>
            <w:shd w:fill="F0F4F8" w:val="clear"/>
          </w:tcPr>
          <w:p>
            <w:pPr>
              <w:jc w:val="center"/>
            </w:pPr>
            <w:r>
              <w:rPr>
                <w:rFonts w:ascii="Times New Roman" w:hAnsi="Times New Roman"/>
                <w:b w:val="0"/>
                <w:i w:val="0"/>
                <w:sz w:val="20"/>
              </w:rPr>
              <w:t>All 12 classes</w:t>
            </w:r>
          </w:p>
        </w:tc>
      </w:tr>
      <w:tr>
        <w:tc>
          <w:tcPr>
            <w:tcW w:type="dxa" w:w="2592"/>
          </w:tcPr>
          <w:p>
            <w:pPr>
              <w:jc w:val="left"/>
            </w:pPr>
            <w:r>
              <w:rPr>
                <w:rFonts w:ascii="Times New Roman" w:hAnsi="Times New Roman"/>
                <w:b w:val="0"/>
                <w:i w:val="0"/>
                <w:sz w:val="20"/>
              </w:rPr>
              <w:t>country_of_destination</w:t>
            </w:r>
          </w:p>
        </w:tc>
        <w:tc>
          <w:tcPr>
            <w:tcW w:type="dxa" w:w="3744"/>
          </w:tcPr>
          <w:p>
            <w:pPr>
              <w:jc w:val="center"/>
            </w:pPr>
            <w:r>
              <w:rPr>
                <w:rFonts w:ascii="Times New Roman" w:hAnsi="Times New Roman"/>
                <w:b w:val="0"/>
                <w:i w:val="0"/>
                <w:sz w:val="20"/>
              </w:rPr>
              <w:t>Destination country or arrival airport/port</w:t>
            </w:r>
          </w:p>
        </w:tc>
        <w:tc>
          <w:tcPr>
            <w:tcW w:type="dxa" w:w="3168"/>
          </w:tcPr>
          <w:p>
            <w:pPr>
              <w:jc w:val="center"/>
            </w:pPr>
            <w:r>
              <w:rPr>
                <w:rFonts w:ascii="Times New Roman" w:hAnsi="Times New Roman"/>
                <w:b w:val="0"/>
                <w:i w:val="0"/>
                <w:sz w:val="20"/>
              </w:rPr>
              <w:t>All 12 classes</w:t>
            </w:r>
          </w:p>
        </w:tc>
      </w:tr>
      <w:tr>
        <w:tc>
          <w:tcPr>
            <w:tcW w:type="dxa" w:w="2592"/>
            <w:shd w:fill="F0F4F8" w:val="clear"/>
          </w:tcPr>
          <w:p>
            <w:pPr>
              <w:jc w:val="left"/>
            </w:pPr>
            <w:r>
              <w:rPr>
                <w:rFonts w:ascii="Times New Roman" w:hAnsi="Times New Roman"/>
                <w:b w:val="0"/>
                <w:i w:val="0"/>
                <w:sz w:val="20"/>
              </w:rPr>
              <w:t>description_of_goods</w:t>
            </w:r>
          </w:p>
        </w:tc>
        <w:tc>
          <w:tcPr>
            <w:tcW w:type="dxa" w:w="3744"/>
            <w:shd w:fill="F0F4F8" w:val="clear"/>
          </w:tcPr>
          <w:p>
            <w:pPr>
              <w:jc w:val="center"/>
            </w:pPr>
            <w:r>
              <w:rPr>
                <w:rFonts w:ascii="Times New Roman" w:hAnsi="Times New Roman"/>
                <w:b w:val="0"/>
                <w:i w:val="0"/>
                <w:sz w:val="20"/>
              </w:rPr>
              <w:t>Nature and description of shipped commodities</w:t>
            </w:r>
          </w:p>
        </w:tc>
        <w:tc>
          <w:tcPr>
            <w:tcW w:type="dxa" w:w="3168"/>
            <w:shd w:fill="F0F4F8" w:val="clear"/>
          </w:tcPr>
          <w:p>
            <w:pPr>
              <w:jc w:val="center"/>
            </w:pPr>
            <w:r>
              <w:rPr>
                <w:rFonts w:ascii="Times New Roman" w:hAnsi="Times New Roman"/>
                <w:b w:val="0"/>
                <w:i w:val="0"/>
                <w:sz w:val="20"/>
              </w:rPr>
              <w:t>All 12 classes</w:t>
            </w:r>
          </w:p>
        </w:tc>
      </w:tr>
      <w:tr>
        <w:tc>
          <w:tcPr>
            <w:tcW w:type="dxa" w:w="2592"/>
          </w:tcPr>
          <w:p>
            <w:pPr>
              <w:jc w:val="left"/>
            </w:pPr>
            <w:r>
              <w:rPr>
                <w:rFonts w:ascii="Times New Roman" w:hAnsi="Times New Roman"/>
                <w:b w:val="0"/>
                <w:i w:val="0"/>
                <w:sz w:val="20"/>
              </w:rPr>
              <w:t>license_number</w:t>
            </w:r>
          </w:p>
        </w:tc>
        <w:tc>
          <w:tcPr>
            <w:tcW w:type="dxa" w:w="3744"/>
          </w:tcPr>
          <w:p>
            <w:pPr>
              <w:jc w:val="center"/>
            </w:pPr>
            <w:r>
              <w:rPr>
                <w:rFonts w:ascii="Times New Roman" w:hAnsi="Times New Roman"/>
                <w:b w:val="0"/>
                <w:i w:val="0"/>
                <w:sz w:val="20"/>
              </w:rPr>
              <w:t>Export/import license or ITN reference number</w:t>
            </w:r>
          </w:p>
        </w:tc>
        <w:tc>
          <w:tcPr>
            <w:tcW w:type="dxa" w:w="3168"/>
          </w:tcPr>
          <w:p>
            <w:pPr>
              <w:jc w:val="center"/>
            </w:pPr>
            <w:r>
              <w:rPr>
                <w:rFonts w:ascii="Times New Roman" w:hAnsi="Times New Roman"/>
                <w:b w:val="0"/>
                <w:i w:val="0"/>
                <w:sz w:val="20"/>
              </w:rPr>
              <w:t>IEL, SLI, POA</w:t>
            </w:r>
          </w:p>
        </w:tc>
      </w:tr>
      <w:tr>
        <w:tc>
          <w:tcPr>
            <w:tcW w:type="dxa" w:w="2592"/>
            <w:shd w:fill="F0F4F8" w:val="clear"/>
          </w:tcPr>
          <w:p>
            <w:pPr>
              <w:jc w:val="left"/>
            </w:pPr>
            <w:r>
              <w:rPr>
                <w:rFonts w:ascii="Times New Roman" w:hAnsi="Times New Roman"/>
                <w:b w:val="0"/>
                <w:i w:val="0"/>
                <w:sz w:val="20"/>
              </w:rPr>
              <w:t>validity_start</w:t>
            </w:r>
          </w:p>
        </w:tc>
        <w:tc>
          <w:tcPr>
            <w:tcW w:type="dxa" w:w="3744"/>
            <w:shd w:fill="F0F4F8" w:val="clear"/>
          </w:tcPr>
          <w:p>
            <w:pPr>
              <w:jc w:val="center"/>
            </w:pPr>
            <w:r>
              <w:rPr>
                <w:rFonts w:ascii="Times New Roman" w:hAnsi="Times New Roman"/>
                <w:b w:val="0"/>
                <w:i w:val="0"/>
                <w:sz w:val="20"/>
              </w:rPr>
              <w:t>Start date of license or authority period</w:t>
            </w:r>
          </w:p>
        </w:tc>
        <w:tc>
          <w:tcPr>
            <w:tcW w:type="dxa" w:w="3168"/>
            <w:shd w:fill="F0F4F8" w:val="clear"/>
          </w:tcPr>
          <w:p>
            <w:pPr>
              <w:jc w:val="center"/>
            </w:pPr>
            <w:r>
              <w:rPr>
                <w:rFonts w:ascii="Times New Roman" w:hAnsi="Times New Roman"/>
                <w:b w:val="0"/>
                <w:i w:val="0"/>
                <w:sz w:val="20"/>
              </w:rPr>
              <w:t>IEL, COO, POA</w:t>
            </w:r>
          </w:p>
        </w:tc>
      </w:tr>
      <w:tr>
        <w:tc>
          <w:tcPr>
            <w:tcW w:type="dxa" w:w="2592"/>
          </w:tcPr>
          <w:p>
            <w:pPr>
              <w:jc w:val="left"/>
            </w:pPr>
            <w:r>
              <w:rPr>
                <w:rFonts w:ascii="Times New Roman" w:hAnsi="Times New Roman"/>
                <w:b w:val="0"/>
                <w:i w:val="0"/>
                <w:sz w:val="20"/>
              </w:rPr>
              <w:t>validity_end</w:t>
            </w:r>
          </w:p>
        </w:tc>
        <w:tc>
          <w:tcPr>
            <w:tcW w:type="dxa" w:w="3744"/>
          </w:tcPr>
          <w:p>
            <w:pPr>
              <w:jc w:val="center"/>
            </w:pPr>
            <w:r>
              <w:rPr>
                <w:rFonts w:ascii="Times New Roman" w:hAnsi="Times New Roman"/>
                <w:b w:val="0"/>
                <w:i w:val="0"/>
                <w:sz w:val="20"/>
              </w:rPr>
              <w:t>End date of license or authority period</w:t>
            </w:r>
          </w:p>
        </w:tc>
        <w:tc>
          <w:tcPr>
            <w:tcW w:type="dxa" w:w="3168"/>
          </w:tcPr>
          <w:p>
            <w:pPr>
              <w:jc w:val="center"/>
            </w:pPr>
            <w:r>
              <w:rPr>
                <w:rFonts w:ascii="Times New Roman" w:hAnsi="Times New Roman"/>
                <w:b w:val="0"/>
                <w:i w:val="0"/>
                <w:sz w:val="20"/>
              </w:rPr>
              <w:t>IEL, COO, POA</w:t>
            </w:r>
          </w:p>
        </w:tc>
      </w:tr>
      <w:tr>
        <w:tc>
          <w:tcPr>
            <w:tcW w:type="dxa" w:w="2592"/>
            <w:shd w:fill="F0F4F8" w:val="clear"/>
          </w:tcPr>
          <w:p>
            <w:pPr>
              <w:jc w:val="left"/>
            </w:pPr>
            <w:r>
              <w:rPr>
                <w:rFonts w:ascii="Times New Roman" w:hAnsi="Times New Roman"/>
                <w:b w:val="0"/>
                <w:i w:val="0"/>
                <w:sz w:val="20"/>
              </w:rPr>
              <w:t>licensee_name</w:t>
            </w:r>
          </w:p>
        </w:tc>
        <w:tc>
          <w:tcPr>
            <w:tcW w:type="dxa" w:w="3744"/>
            <w:shd w:fill="F0F4F8" w:val="clear"/>
          </w:tcPr>
          <w:p>
            <w:pPr>
              <w:jc w:val="center"/>
            </w:pPr>
            <w:r>
              <w:rPr>
                <w:rFonts w:ascii="Times New Roman" w:hAnsi="Times New Roman"/>
                <w:b w:val="0"/>
                <w:i w:val="0"/>
                <w:sz w:val="20"/>
              </w:rPr>
              <w:t>Name of license holder or authorised agent</w:t>
            </w:r>
          </w:p>
        </w:tc>
        <w:tc>
          <w:tcPr>
            <w:tcW w:type="dxa" w:w="3168"/>
            <w:shd w:fill="F0F4F8" w:val="clear"/>
          </w:tcPr>
          <w:p>
            <w:pPr>
              <w:jc w:val="center"/>
            </w:pPr>
            <w:r>
              <w:rPr>
                <w:rFonts w:ascii="Times New Roman" w:hAnsi="Times New Roman"/>
                <w:b w:val="0"/>
                <w:i w:val="0"/>
                <w:sz w:val="20"/>
              </w:rPr>
              <w:t>IEL, POA</w:t>
            </w:r>
          </w:p>
        </w:tc>
      </w:tr>
    </w:tbl>
    <w:p>
      <w:pPr>
        <w:spacing w:before="80" w:after="200"/>
        <w:jc w:val="center"/>
      </w:pPr>
      <w:r>
        <w:rPr>
          <w:rFonts w:ascii="Times New Roman" w:hAnsi="Times New Roman"/>
          <w:b w:val="0"/>
          <w:i/>
          <w:sz w:val="20"/>
        </w:rPr>
        <w:t>Table 1. Universal field schema. IEL = Import/Export License, SLI = Shipper's Letter of Instruction, POA = Power of Attorney, COO = Certificate of Origin.</w:t>
      </w:r>
    </w:p>
    <w:p>
      <w:pPr>
        <w:spacing w:after="120" w:before="0"/>
        <w:jc w:val="both"/>
      </w:pPr>
      <w:r>
        <w:rPr>
          <w:rFonts w:ascii="Times New Roman" w:hAnsi="Times New Roman"/>
          <w:b w:val="0"/>
          <w:i w:val="0"/>
          <w:sz w:val="22"/>
        </w:rPr>
        <w:t>Weight-related fields (gross weight, net weight, total weight) were explicitly excluded from the v3 schema. While present on many freight documents, weight values appear in inconsistent units (kg, lbs, MT), locations, and granularities (per-item vs. total) across document classes, making reliable unified extraction error-prone. Their exclusion improved overall field F1 from 93.8% (v2, with weight fields) to 97.7% (v3, without weight fields).</w:t>
      </w:r>
    </w:p>
    <w:p>
      <w:pPr>
        <w:pStyle w:val="Heading1"/>
        <w:spacing w:before="240" w:after="80"/>
        <w:jc w:val="left"/>
      </w:pPr>
      <w:r>
        <w:rPr>
          <w:rFonts w:ascii="Times New Roman" w:hAnsi="Times New Roman"/>
          <w:b/>
          <w:i w:val="0"/>
          <w:color w:val="000000"/>
          <w:sz w:val="26"/>
        </w:rPr>
        <w:t>5. Supported Document Classes</w:t>
      </w:r>
    </w:p>
    <w:p>
      <w:pPr>
        <w:spacing w:after="120" w:before="0"/>
        <w:jc w:val="both"/>
      </w:pPr>
      <w:r>
        <w:rPr>
          <w:rFonts w:ascii="Times New Roman" w:hAnsi="Times New Roman"/>
          <w:b w:val="0"/>
          <w:i w:val="0"/>
          <w:sz w:val="22"/>
        </w:rPr>
        <w:t>The system supports 12 freight and customs document classes spanning ocean, air, and road transport modalities, as well as regulatory and customs documents (Table 2).</w:t>
      </w:r>
    </w:p>
    <w:tbl>
      <w:tblPr>
        <w:tblStyle w:val="TableGrid"/>
        <w:tblW w:type="auto" w:w="0"/>
        <w:jc w:val="center"/>
        <w:tblLook w:firstColumn="1" w:firstRow="1" w:lastColumn="0" w:lastRow="0" w:noHBand="0" w:noVBand="1" w:val="04A0"/>
      </w:tblPr>
      <w:tblGrid>
        <w:gridCol w:w="2880"/>
        <w:gridCol w:w="2880"/>
        <w:gridCol w:w="2880"/>
      </w:tblGrid>
      <w:tr>
        <w:tc>
          <w:tcPr>
            <w:tcW w:type="dxa" w:w="576"/>
            <w:shd w:fill="2E4057" w:color="FFFFFF" w:val="clear"/>
          </w:tcPr>
          <w:p>
            <w:pPr>
              <w:jc w:val="center"/>
            </w:pPr>
            <w:r>
              <w:rPr>
                <w:rFonts w:ascii="Times New Roman" w:hAnsi="Times New Roman"/>
                <w:b/>
                <w:i w:val="0"/>
                <w:color w:val="FFFFFF"/>
                <w:sz w:val="20"/>
              </w:rPr>
              <w:t>ID</w:t>
            </w:r>
          </w:p>
        </w:tc>
        <w:tc>
          <w:tcPr>
            <w:tcW w:type="dxa" w:w="3168"/>
            <w:shd w:fill="2E4057" w:color="FFFFFF" w:val="clear"/>
          </w:tcPr>
          <w:p>
            <w:pPr>
              <w:jc w:val="center"/>
            </w:pPr>
            <w:r>
              <w:rPr>
                <w:rFonts w:ascii="Times New Roman" w:hAnsi="Times New Roman"/>
                <w:b/>
                <w:i w:val="0"/>
                <w:color w:val="FFFFFF"/>
                <w:sz w:val="20"/>
              </w:rPr>
              <w:t>Document Class</w:t>
            </w:r>
          </w:p>
        </w:tc>
        <w:tc>
          <w:tcPr>
            <w:tcW w:type="dxa" w:w="5040"/>
            <w:shd w:fill="2E4057" w:color="FFFFFF" w:val="clear"/>
          </w:tcPr>
          <w:p>
            <w:pPr>
              <w:jc w:val="center"/>
            </w:pPr>
            <w:r>
              <w:rPr>
                <w:rFonts w:ascii="Times New Roman" w:hAnsi="Times New Roman"/>
                <w:b/>
                <w:i w:val="0"/>
                <w:color w:val="FFFFFF"/>
                <w:sz w:val="20"/>
              </w:rPr>
              <w:t>Description</w:t>
            </w:r>
          </w:p>
        </w:tc>
      </w:tr>
      <w:tr>
        <w:tc>
          <w:tcPr>
            <w:tcW w:type="dxa" w:w="576"/>
            <w:shd w:fill="F0F4F8" w:val="clear"/>
          </w:tcPr>
          <w:p>
            <w:pPr>
              <w:jc w:val="left"/>
            </w:pPr>
            <w:r>
              <w:rPr>
                <w:rFonts w:ascii="Times New Roman" w:hAnsi="Times New Roman"/>
                <w:b w:val="0"/>
                <w:i w:val="0"/>
                <w:sz w:val="20"/>
              </w:rPr>
              <w:t>01</w:t>
            </w:r>
          </w:p>
        </w:tc>
        <w:tc>
          <w:tcPr>
            <w:tcW w:type="dxa" w:w="3168"/>
            <w:shd w:fill="F0F4F8" w:val="clear"/>
          </w:tcPr>
          <w:p>
            <w:pPr>
              <w:jc w:val="center"/>
            </w:pPr>
            <w:r>
              <w:rPr>
                <w:rFonts w:ascii="Times New Roman" w:hAnsi="Times New Roman"/>
                <w:b w:val="0"/>
                <w:i w:val="0"/>
                <w:sz w:val="20"/>
              </w:rPr>
              <w:t>Commercial Invoice</w:t>
            </w:r>
          </w:p>
        </w:tc>
        <w:tc>
          <w:tcPr>
            <w:tcW w:type="dxa" w:w="5040"/>
            <w:shd w:fill="F0F4F8" w:val="clear"/>
          </w:tcPr>
          <w:p>
            <w:pPr>
              <w:jc w:val="center"/>
            </w:pPr>
            <w:r>
              <w:rPr>
                <w:rFonts w:ascii="Times New Roman" w:hAnsi="Times New Roman"/>
                <w:b w:val="0"/>
                <w:i w:val="0"/>
                <w:sz w:val="20"/>
              </w:rPr>
              <w:t>Itemised value declaration for international shipments</w:t>
            </w:r>
          </w:p>
        </w:tc>
      </w:tr>
      <w:tr>
        <w:tc>
          <w:tcPr>
            <w:tcW w:type="dxa" w:w="576"/>
          </w:tcPr>
          <w:p>
            <w:pPr>
              <w:jc w:val="left"/>
            </w:pPr>
            <w:r>
              <w:rPr>
                <w:rFonts w:ascii="Times New Roman" w:hAnsi="Times New Roman"/>
                <w:b w:val="0"/>
                <w:i w:val="0"/>
                <w:sz w:val="20"/>
              </w:rPr>
              <w:t>02</w:t>
            </w:r>
          </w:p>
        </w:tc>
        <w:tc>
          <w:tcPr>
            <w:tcW w:type="dxa" w:w="3168"/>
          </w:tcPr>
          <w:p>
            <w:pPr>
              <w:jc w:val="center"/>
            </w:pPr>
            <w:r>
              <w:rPr>
                <w:rFonts w:ascii="Times New Roman" w:hAnsi="Times New Roman"/>
                <w:b w:val="0"/>
                <w:i w:val="0"/>
                <w:sz w:val="20"/>
              </w:rPr>
              <w:t>House Bill of Lading</w:t>
            </w:r>
          </w:p>
        </w:tc>
        <w:tc>
          <w:tcPr>
            <w:tcW w:type="dxa" w:w="5040"/>
          </w:tcPr>
          <w:p>
            <w:pPr>
              <w:jc w:val="center"/>
            </w:pPr>
            <w:r>
              <w:rPr>
                <w:rFonts w:ascii="Times New Roman" w:hAnsi="Times New Roman"/>
                <w:b w:val="0"/>
                <w:i w:val="0"/>
                <w:sz w:val="20"/>
              </w:rPr>
              <w:t>Freight forwarder-issued ocean/multimodal transport document</w:t>
            </w:r>
          </w:p>
        </w:tc>
      </w:tr>
      <w:tr>
        <w:tc>
          <w:tcPr>
            <w:tcW w:type="dxa" w:w="576"/>
            <w:shd w:fill="F0F4F8" w:val="clear"/>
          </w:tcPr>
          <w:p>
            <w:pPr>
              <w:jc w:val="left"/>
            </w:pPr>
            <w:r>
              <w:rPr>
                <w:rFonts w:ascii="Times New Roman" w:hAnsi="Times New Roman"/>
                <w:b w:val="0"/>
                <w:i w:val="0"/>
                <w:sz w:val="20"/>
              </w:rPr>
              <w:t>03</w:t>
            </w:r>
          </w:p>
        </w:tc>
        <w:tc>
          <w:tcPr>
            <w:tcW w:type="dxa" w:w="3168"/>
            <w:shd w:fill="F0F4F8" w:val="clear"/>
          </w:tcPr>
          <w:p>
            <w:pPr>
              <w:jc w:val="center"/>
            </w:pPr>
            <w:r>
              <w:rPr>
                <w:rFonts w:ascii="Times New Roman" w:hAnsi="Times New Roman"/>
                <w:b w:val="0"/>
                <w:i w:val="0"/>
                <w:sz w:val="20"/>
              </w:rPr>
              <w:t>Certificate of Origin</w:t>
            </w:r>
          </w:p>
        </w:tc>
        <w:tc>
          <w:tcPr>
            <w:tcW w:type="dxa" w:w="5040"/>
            <w:shd w:fill="F0F4F8" w:val="clear"/>
          </w:tcPr>
          <w:p>
            <w:pPr>
              <w:jc w:val="center"/>
            </w:pPr>
            <w:r>
              <w:rPr>
                <w:rFonts w:ascii="Times New Roman" w:hAnsi="Times New Roman"/>
                <w:b w:val="0"/>
                <w:i w:val="0"/>
                <w:sz w:val="20"/>
              </w:rPr>
              <w:t>Certifies the manufacturing country of goods for customs duty purposes</w:t>
            </w:r>
          </w:p>
        </w:tc>
      </w:tr>
      <w:tr>
        <w:tc>
          <w:tcPr>
            <w:tcW w:type="dxa" w:w="576"/>
          </w:tcPr>
          <w:p>
            <w:pPr>
              <w:jc w:val="left"/>
            </w:pPr>
            <w:r>
              <w:rPr>
                <w:rFonts w:ascii="Times New Roman" w:hAnsi="Times New Roman"/>
                <w:b w:val="0"/>
                <w:i w:val="0"/>
                <w:sz w:val="20"/>
              </w:rPr>
              <w:t>04</w:t>
            </w:r>
          </w:p>
        </w:tc>
        <w:tc>
          <w:tcPr>
            <w:tcW w:type="dxa" w:w="3168"/>
          </w:tcPr>
          <w:p>
            <w:pPr>
              <w:jc w:val="center"/>
            </w:pPr>
            <w:r>
              <w:rPr>
                <w:rFonts w:ascii="Times New Roman" w:hAnsi="Times New Roman"/>
                <w:b w:val="0"/>
                <w:i w:val="0"/>
                <w:sz w:val="20"/>
              </w:rPr>
              <w:t>Shipper's Letter of Instruction</w:t>
            </w:r>
          </w:p>
        </w:tc>
        <w:tc>
          <w:tcPr>
            <w:tcW w:type="dxa" w:w="5040"/>
          </w:tcPr>
          <w:p>
            <w:pPr>
              <w:jc w:val="center"/>
            </w:pPr>
            <w:r>
              <w:rPr>
                <w:rFonts w:ascii="Times New Roman" w:hAnsi="Times New Roman"/>
                <w:b w:val="0"/>
                <w:i w:val="0"/>
                <w:sz w:val="20"/>
              </w:rPr>
              <w:t>Exporter's instructions to the freight forwarder for export filing</w:t>
            </w:r>
          </w:p>
        </w:tc>
      </w:tr>
      <w:tr>
        <w:tc>
          <w:tcPr>
            <w:tcW w:type="dxa" w:w="576"/>
            <w:shd w:fill="F0F4F8" w:val="clear"/>
          </w:tcPr>
          <w:p>
            <w:pPr>
              <w:jc w:val="left"/>
            </w:pPr>
            <w:r>
              <w:rPr>
                <w:rFonts w:ascii="Times New Roman" w:hAnsi="Times New Roman"/>
                <w:b w:val="0"/>
                <w:i w:val="0"/>
                <w:sz w:val="20"/>
              </w:rPr>
              <w:t>05</w:t>
            </w:r>
          </w:p>
        </w:tc>
        <w:tc>
          <w:tcPr>
            <w:tcW w:type="dxa" w:w="3168"/>
            <w:shd w:fill="F0F4F8" w:val="clear"/>
          </w:tcPr>
          <w:p>
            <w:pPr>
              <w:jc w:val="center"/>
            </w:pPr>
            <w:r>
              <w:rPr>
                <w:rFonts w:ascii="Times New Roman" w:hAnsi="Times New Roman"/>
                <w:b w:val="0"/>
                <w:i w:val="0"/>
                <w:sz w:val="20"/>
              </w:rPr>
              <w:t>Dangerous Goods Declaration</w:t>
            </w:r>
          </w:p>
        </w:tc>
        <w:tc>
          <w:tcPr>
            <w:tcW w:type="dxa" w:w="5040"/>
            <w:shd w:fill="F0F4F8" w:val="clear"/>
          </w:tcPr>
          <w:p>
            <w:pPr>
              <w:jc w:val="center"/>
            </w:pPr>
            <w:r>
              <w:rPr>
                <w:rFonts w:ascii="Times New Roman" w:hAnsi="Times New Roman"/>
                <w:b w:val="0"/>
                <w:i w:val="0"/>
                <w:sz w:val="20"/>
              </w:rPr>
              <w:t>IATA/IMDG declaration for hazardous and restricted materials</w:t>
            </w:r>
          </w:p>
        </w:tc>
      </w:tr>
      <w:tr>
        <w:tc>
          <w:tcPr>
            <w:tcW w:type="dxa" w:w="576"/>
          </w:tcPr>
          <w:p>
            <w:pPr>
              <w:jc w:val="left"/>
            </w:pPr>
            <w:r>
              <w:rPr>
                <w:rFonts w:ascii="Times New Roman" w:hAnsi="Times New Roman"/>
                <w:b w:val="0"/>
                <w:i w:val="0"/>
                <w:sz w:val="20"/>
              </w:rPr>
              <w:t>06</w:t>
            </w:r>
          </w:p>
        </w:tc>
        <w:tc>
          <w:tcPr>
            <w:tcW w:type="dxa" w:w="3168"/>
          </w:tcPr>
          <w:p>
            <w:pPr>
              <w:jc w:val="center"/>
            </w:pPr>
            <w:r>
              <w:rPr>
                <w:rFonts w:ascii="Times New Roman" w:hAnsi="Times New Roman"/>
                <w:b w:val="0"/>
                <w:i w:val="0"/>
                <w:sz w:val="20"/>
              </w:rPr>
              <w:t>Verified Gross Mass</w:t>
            </w:r>
          </w:p>
        </w:tc>
        <w:tc>
          <w:tcPr>
            <w:tcW w:type="dxa" w:w="5040"/>
          </w:tcPr>
          <w:p>
            <w:pPr>
              <w:jc w:val="center"/>
            </w:pPr>
            <w:r>
              <w:rPr>
                <w:rFonts w:ascii="Times New Roman" w:hAnsi="Times New Roman"/>
                <w:b w:val="0"/>
                <w:i w:val="0"/>
                <w:sz w:val="20"/>
              </w:rPr>
              <w:t>IMO SOLAS-required declaration of container gross mass</w:t>
            </w:r>
          </w:p>
        </w:tc>
      </w:tr>
      <w:tr>
        <w:tc>
          <w:tcPr>
            <w:tcW w:type="dxa" w:w="576"/>
            <w:shd w:fill="F0F4F8" w:val="clear"/>
          </w:tcPr>
          <w:p>
            <w:pPr>
              <w:jc w:val="left"/>
            </w:pPr>
            <w:r>
              <w:rPr>
                <w:rFonts w:ascii="Times New Roman" w:hAnsi="Times New Roman"/>
                <w:b w:val="0"/>
                <w:i w:val="0"/>
                <w:sz w:val="20"/>
              </w:rPr>
              <w:t>07</w:t>
            </w:r>
          </w:p>
        </w:tc>
        <w:tc>
          <w:tcPr>
            <w:tcW w:type="dxa" w:w="3168"/>
            <w:shd w:fill="F0F4F8" w:val="clear"/>
          </w:tcPr>
          <w:p>
            <w:pPr>
              <w:jc w:val="center"/>
            </w:pPr>
            <w:r>
              <w:rPr>
                <w:rFonts w:ascii="Times New Roman" w:hAnsi="Times New Roman"/>
                <w:b w:val="0"/>
                <w:i w:val="0"/>
                <w:sz w:val="20"/>
              </w:rPr>
              <w:t>House Airway Bill</w:t>
            </w:r>
          </w:p>
        </w:tc>
        <w:tc>
          <w:tcPr>
            <w:tcW w:type="dxa" w:w="5040"/>
            <w:shd w:fill="F0F4F8" w:val="clear"/>
          </w:tcPr>
          <w:p>
            <w:pPr>
              <w:jc w:val="center"/>
            </w:pPr>
            <w:r>
              <w:rPr>
                <w:rFonts w:ascii="Times New Roman" w:hAnsi="Times New Roman"/>
                <w:b w:val="0"/>
                <w:i w:val="0"/>
                <w:sz w:val="20"/>
              </w:rPr>
              <w:t>Freight forwarder-issued air transport consignment document</w:t>
            </w:r>
          </w:p>
        </w:tc>
      </w:tr>
      <w:tr>
        <w:tc>
          <w:tcPr>
            <w:tcW w:type="dxa" w:w="576"/>
          </w:tcPr>
          <w:p>
            <w:pPr>
              <w:jc w:val="left"/>
            </w:pPr>
            <w:r>
              <w:rPr>
                <w:rFonts w:ascii="Times New Roman" w:hAnsi="Times New Roman"/>
                <w:b w:val="0"/>
                <w:i w:val="0"/>
                <w:sz w:val="20"/>
              </w:rPr>
              <w:t>08</w:t>
            </w:r>
          </w:p>
        </w:tc>
        <w:tc>
          <w:tcPr>
            <w:tcW w:type="dxa" w:w="3168"/>
          </w:tcPr>
          <w:p>
            <w:pPr>
              <w:jc w:val="center"/>
            </w:pPr>
            <w:r>
              <w:rPr>
                <w:rFonts w:ascii="Times New Roman" w:hAnsi="Times New Roman"/>
                <w:b w:val="0"/>
                <w:i w:val="0"/>
                <w:sz w:val="20"/>
              </w:rPr>
              <w:t>Packing List</w:t>
            </w:r>
          </w:p>
        </w:tc>
        <w:tc>
          <w:tcPr>
            <w:tcW w:type="dxa" w:w="5040"/>
          </w:tcPr>
          <w:p>
            <w:pPr>
              <w:jc w:val="center"/>
            </w:pPr>
            <w:r>
              <w:rPr>
                <w:rFonts w:ascii="Times New Roman" w:hAnsi="Times New Roman"/>
                <w:b w:val="0"/>
                <w:i w:val="0"/>
                <w:sz w:val="20"/>
              </w:rPr>
              <w:t>Detailed per-package contents list accompanying a shipment</w:t>
            </w:r>
          </w:p>
        </w:tc>
      </w:tr>
      <w:tr>
        <w:tc>
          <w:tcPr>
            <w:tcW w:type="dxa" w:w="576"/>
            <w:shd w:fill="F0F4F8" w:val="clear"/>
          </w:tcPr>
          <w:p>
            <w:pPr>
              <w:jc w:val="left"/>
            </w:pPr>
            <w:r>
              <w:rPr>
                <w:rFonts w:ascii="Times New Roman" w:hAnsi="Times New Roman"/>
                <w:b w:val="0"/>
                <w:i w:val="0"/>
                <w:sz w:val="20"/>
              </w:rPr>
              <w:t>09</w:t>
            </w:r>
          </w:p>
        </w:tc>
        <w:tc>
          <w:tcPr>
            <w:tcW w:type="dxa" w:w="3168"/>
            <w:shd w:fill="F0F4F8" w:val="clear"/>
          </w:tcPr>
          <w:p>
            <w:pPr>
              <w:jc w:val="center"/>
            </w:pPr>
            <w:r>
              <w:rPr>
                <w:rFonts w:ascii="Times New Roman" w:hAnsi="Times New Roman"/>
                <w:b w:val="0"/>
                <w:i w:val="0"/>
                <w:sz w:val="20"/>
              </w:rPr>
              <w:t>Customs Declaration</w:t>
            </w:r>
          </w:p>
        </w:tc>
        <w:tc>
          <w:tcPr>
            <w:tcW w:type="dxa" w:w="5040"/>
            <w:shd w:fill="F0F4F8" w:val="clear"/>
          </w:tcPr>
          <w:p>
            <w:pPr>
              <w:jc w:val="center"/>
            </w:pPr>
            <w:r>
              <w:rPr>
                <w:rFonts w:ascii="Times New Roman" w:hAnsi="Times New Roman"/>
                <w:b w:val="0"/>
                <w:i w:val="0"/>
                <w:sz w:val="20"/>
              </w:rPr>
              <w:t>Customs clearance form (e.g. CN23, CBP 7501, AES filing)</w:t>
            </w:r>
          </w:p>
        </w:tc>
      </w:tr>
      <w:tr>
        <w:tc>
          <w:tcPr>
            <w:tcW w:type="dxa" w:w="576"/>
          </w:tcPr>
          <w:p>
            <w:pPr>
              <w:jc w:val="left"/>
            </w:pPr>
            <w:r>
              <w:rPr>
                <w:rFonts w:ascii="Times New Roman" w:hAnsi="Times New Roman"/>
                <w:b w:val="0"/>
                <w:i w:val="0"/>
                <w:sz w:val="20"/>
              </w:rPr>
              <w:t>10</w:t>
            </w:r>
          </w:p>
        </w:tc>
        <w:tc>
          <w:tcPr>
            <w:tcW w:type="dxa" w:w="3168"/>
          </w:tcPr>
          <w:p>
            <w:pPr>
              <w:jc w:val="center"/>
            </w:pPr>
            <w:r>
              <w:rPr>
                <w:rFonts w:ascii="Times New Roman" w:hAnsi="Times New Roman"/>
                <w:b w:val="0"/>
                <w:i w:val="0"/>
                <w:sz w:val="20"/>
              </w:rPr>
              <w:t>Cargo Manifest</w:t>
            </w:r>
          </w:p>
        </w:tc>
        <w:tc>
          <w:tcPr>
            <w:tcW w:type="dxa" w:w="5040"/>
          </w:tcPr>
          <w:p>
            <w:pPr>
              <w:jc w:val="center"/>
            </w:pPr>
            <w:r>
              <w:rPr>
                <w:rFonts w:ascii="Times New Roman" w:hAnsi="Times New Roman"/>
                <w:b w:val="0"/>
                <w:i w:val="0"/>
                <w:sz w:val="20"/>
              </w:rPr>
              <w:t>Carrier-level consolidated list of all cargo aboard a vessel/aircraft</w:t>
            </w:r>
          </w:p>
        </w:tc>
      </w:tr>
      <w:tr>
        <w:tc>
          <w:tcPr>
            <w:tcW w:type="dxa" w:w="576"/>
            <w:shd w:fill="F0F4F8" w:val="clear"/>
          </w:tcPr>
          <w:p>
            <w:pPr>
              <w:jc w:val="left"/>
            </w:pPr>
            <w:r>
              <w:rPr>
                <w:rFonts w:ascii="Times New Roman" w:hAnsi="Times New Roman"/>
                <w:b w:val="0"/>
                <w:i w:val="0"/>
                <w:sz w:val="20"/>
              </w:rPr>
              <w:t>11</w:t>
            </w:r>
          </w:p>
        </w:tc>
        <w:tc>
          <w:tcPr>
            <w:tcW w:type="dxa" w:w="3168"/>
            <w:shd w:fill="F0F4F8" w:val="clear"/>
          </w:tcPr>
          <w:p>
            <w:pPr>
              <w:jc w:val="center"/>
            </w:pPr>
            <w:r>
              <w:rPr>
                <w:rFonts w:ascii="Times New Roman" w:hAnsi="Times New Roman"/>
                <w:b w:val="0"/>
                <w:i w:val="0"/>
                <w:sz w:val="20"/>
              </w:rPr>
              <w:t>Import/Export License</w:t>
            </w:r>
          </w:p>
        </w:tc>
        <w:tc>
          <w:tcPr>
            <w:tcW w:type="dxa" w:w="5040"/>
            <w:shd w:fill="F0F4F8" w:val="clear"/>
          </w:tcPr>
          <w:p>
            <w:pPr>
              <w:jc w:val="center"/>
            </w:pPr>
            <w:r>
              <w:rPr>
                <w:rFonts w:ascii="Times New Roman" w:hAnsi="Times New Roman"/>
                <w:b w:val="0"/>
                <w:i w:val="0"/>
                <w:sz w:val="20"/>
              </w:rPr>
              <w:t>Government-issued authorisation for controlled or regulated goods</w:t>
            </w:r>
          </w:p>
        </w:tc>
      </w:tr>
      <w:tr>
        <w:tc>
          <w:tcPr>
            <w:tcW w:type="dxa" w:w="576"/>
          </w:tcPr>
          <w:p>
            <w:pPr>
              <w:jc w:val="left"/>
            </w:pPr>
            <w:r>
              <w:rPr>
                <w:rFonts w:ascii="Times New Roman" w:hAnsi="Times New Roman"/>
                <w:b w:val="0"/>
                <w:i w:val="0"/>
                <w:sz w:val="20"/>
              </w:rPr>
              <w:t>12</w:t>
            </w:r>
          </w:p>
        </w:tc>
        <w:tc>
          <w:tcPr>
            <w:tcW w:type="dxa" w:w="3168"/>
          </w:tcPr>
          <w:p>
            <w:pPr>
              <w:jc w:val="center"/>
            </w:pPr>
            <w:r>
              <w:rPr>
                <w:rFonts w:ascii="Times New Roman" w:hAnsi="Times New Roman"/>
                <w:b w:val="0"/>
                <w:i w:val="0"/>
                <w:sz w:val="20"/>
              </w:rPr>
              <w:t>Power of Attorney</w:t>
            </w:r>
          </w:p>
        </w:tc>
        <w:tc>
          <w:tcPr>
            <w:tcW w:type="dxa" w:w="5040"/>
          </w:tcPr>
          <w:p>
            <w:pPr>
              <w:jc w:val="center"/>
            </w:pPr>
            <w:r>
              <w:rPr>
                <w:rFonts w:ascii="Times New Roman" w:hAnsi="Times New Roman"/>
                <w:b w:val="0"/>
                <w:i w:val="0"/>
                <w:sz w:val="20"/>
              </w:rPr>
              <w:t>Legal instrument authorising customs broker or agent to act on behalf</w:t>
            </w:r>
          </w:p>
        </w:tc>
      </w:tr>
    </w:tbl>
    <w:p>
      <w:pPr>
        <w:spacing w:before="80" w:after="200"/>
        <w:jc w:val="center"/>
      </w:pPr>
      <w:r>
        <w:rPr>
          <w:rFonts w:ascii="Times New Roman" w:hAnsi="Times New Roman"/>
          <w:b w:val="0"/>
          <w:i/>
          <w:sz w:val="20"/>
        </w:rPr>
        <w:t>Table 2. Twelve freight document classes supported by the system.</w:t>
      </w:r>
    </w:p>
    <w:p>
      <w:pPr>
        <w:pStyle w:val="Heading1"/>
        <w:spacing w:before="240" w:after="80"/>
        <w:jc w:val="left"/>
      </w:pPr>
      <w:r>
        <w:rPr>
          <w:rFonts w:ascii="Times New Roman" w:hAnsi="Times New Roman"/>
          <w:b/>
          <w:i w:val="0"/>
          <w:color w:val="000000"/>
          <w:sz w:val="26"/>
        </w:rPr>
        <w:t>6. Dataset and Synthetic Data Generation</w:t>
      </w:r>
    </w:p>
    <w:p>
      <w:pPr>
        <w:pStyle w:val="Heading2"/>
        <w:spacing w:before="240" w:after="80"/>
        <w:jc w:val="left"/>
      </w:pPr>
      <w:r>
        <w:rPr>
          <w:rFonts w:ascii="Times New Roman" w:hAnsi="Times New Roman"/>
          <w:b/>
          <w:i w:val="0"/>
          <w:color w:val="000000"/>
          <w:sz w:val="24"/>
        </w:rPr>
        <w:t>6.1 Synthetic Document Generation Pipeline</w:t>
      </w:r>
    </w:p>
    <w:p>
      <w:pPr>
        <w:spacing w:after="120" w:before="0"/>
        <w:jc w:val="both"/>
      </w:pPr>
      <w:r>
        <w:rPr>
          <w:rFonts w:ascii="Times New Roman" w:hAnsi="Times New Roman"/>
          <w:b w:val="0"/>
          <w:i w:val="0"/>
          <w:sz w:val="22"/>
        </w:rPr>
        <w:t>Obtaining large-scale annotated freight document datasets is impractical: real shipping documents contain commercially sensitive information and PII, and manual annotation of multi-page bundles with field-level ground truth is prohibitively expensive. We address this by developing a class-specific synthetic generation pipeline.</w:t>
      </w:r>
    </w:p>
    <w:p>
      <w:pPr>
        <w:spacing w:after="120" w:before="0"/>
        <w:jc w:val="both"/>
      </w:pPr>
      <w:r>
        <w:rPr>
          <w:rFonts w:ascii="Times New Roman" w:hAnsi="Times New Roman"/>
          <w:b w:val="0"/>
          <w:i w:val="0"/>
          <w:sz w:val="22"/>
        </w:rPr>
        <w:t>For each of the 12 document classes, a dedicated generator module uses ReportLab to programmatically render realistic document layouts populated with domain-appropriate synthetic field values. Field values are drawn from logistics-domain distributions using the Faker library extended with freight-specific generators: company names drawn from 5,000 synthetic logistics entities, port codes from the full LOCODE registry, HS codes from a curated set of 200 commodity categories, and country/currency codes following real trade flow distributions. Each generator produces documents with natural variation in layout, font, field presence, and value format.</w:t>
      </w:r>
    </w:p>
    <w:p>
      <w:pPr>
        <w:pStyle w:val="Heading2"/>
        <w:spacing w:before="240" w:after="80"/>
        <w:jc w:val="left"/>
      </w:pPr>
      <w:r>
        <w:rPr>
          <w:rFonts w:ascii="Times New Roman" w:hAnsi="Times New Roman"/>
          <w:b/>
          <w:i w:val="0"/>
          <w:color w:val="000000"/>
          <w:sz w:val="24"/>
        </w:rPr>
        <w:t>6.2 Multi-Page Packet Structure</w:t>
      </w:r>
    </w:p>
    <w:p>
      <w:pPr>
        <w:spacing w:after="120" w:before="0"/>
        <w:jc w:val="both"/>
      </w:pPr>
      <w:r>
        <w:rPr>
          <w:rFonts w:ascii="Times New Roman" w:hAnsi="Times New Roman"/>
          <w:b w:val="0"/>
          <w:i w:val="0"/>
          <w:sz w:val="22"/>
        </w:rPr>
        <w:t>A distinguishing feature of our dataset is the multi-page packet structure. Rather than storing documents as isolated pages, we simulate realistic bundle scenarios by sequentially combining 2–12 documents of different classes into mixed packets. Each page is labelled with its document class and position (START/CONTINUATION), and the previous page's label is stored as context. This structure directly reflects operational reality: freight bundles received from shippers, forwarders, or scanning systems contain interleaved documents without explicit separators.</w:t>
      </w:r>
    </w:p>
    <w:p>
      <w:pPr>
        <w:pStyle w:val="Heading2"/>
        <w:spacing w:before="240" w:after="80"/>
        <w:jc w:val="left"/>
      </w:pPr>
      <w:r>
        <w:rPr>
          <w:rFonts w:ascii="Times New Roman" w:hAnsi="Times New Roman"/>
          <w:b/>
          <w:i w:val="0"/>
          <w:color w:val="000000"/>
          <w:sz w:val="24"/>
        </w:rPr>
        <w:t>6.3 Blank-Form Training Examples (V3 Addition)</w:t>
      </w:r>
    </w:p>
    <w:p>
      <w:pPr>
        <w:spacing w:after="120" w:before="0"/>
        <w:jc w:val="both"/>
      </w:pPr>
      <w:r>
        <w:rPr>
          <w:rFonts w:ascii="Times New Roman" w:hAnsi="Times New Roman"/>
          <w:b w:val="0"/>
          <w:i w:val="0"/>
          <w:sz w:val="22"/>
        </w:rPr>
        <w:t>A critical gap identified in v2 training data was the complete absence of blank or empty form examples. Without all-null output targets during training, the model defaulted to hallucinating plausible-but-fabricated values on blank templates — a behaviour attributable to the model's pre-training on filled document images. In v3, we augment the training set with two types of blank document examples:</w:t>
      </w:r>
    </w:p>
    <w:p>
      <w:pPr>
        <w:pStyle w:val="ListBullet"/>
        <w:spacing w:after="40" w:before="0"/>
      </w:pPr>
      <w:r>
        <w:rPr>
          <w:rFonts w:ascii="Times New Roman" w:hAnsi="Times New Roman"/>
          <w:b w:val="0"/>
          <w:i w:val="0"/>
          <w:sz w:val="22"/>
        </w:rPr>
        <w:t>Synthetic blank forms: 80 per class (960 total) generated via ReportLab with form structure and field labels rendered but no field values populated.</w:t>
      </w:r>
    </w:p>
    <w:p>
      <w:pPr>
        <w:pStyle w:val="ListBullet"/>
        <w:spacing w:after="40" w:before="0"/>
      </w:pPr>
      <w:r>
        <w:rPr>
          <w:rFonts w:ascii="Times New Roman" w:hAnsi="Times New Roman"/>
          <w:b w:val="0"/>
          <w:i w:val="0"/>
          <w:sz w:val="22"/>
        </w:rPr>
        <w:t>Real blank templates: 41 packets (64 pages) from publicly available shipping document templates, verified to contain no pre-filled content.</w:t>
      </w:r>
    </w:p>
    <w:p>
      <w:pPr>
        <w:spacing w:after="120" w:before="0"/>
        <w:jc w:val="both"/>
      </w:pPr>
      <w:r>
        <w:rPr>
          <w:rFonts w:ascii="Times New Roman" w:hAnsi="Times New Roman"/>
          <w:b w:val="0"/>
          <w:i w:val="0"/>
          <w:sz w:val="22"/>
        </w:rPr>
        <w:t>All blank-form examples are labelled with all 11 fields set to null, teaching the model to recognise the absence of extractable content and respond with explicit null outputs rather than hallucinated values.</w:t>
      </w:r>
    </w:p>
    <w:p>
      <w:pPr>
        <w:pStyle w:val="Heading2"/>
        <w:spacing w:before="240" w:after="80"/>
        <w:jc w:val="left"/>
      </w:pPr>
      <w:r>
        <w:rPr>
          <w:rFonts w:ascii="Times New Roman" w:hAnsi="Times New Roman"/>
          <w:b/>
          <w:i w:val="0"/>
          <w:color w:val="000000"/>
          <w:sz w:val="24"/>
        </w:rPr>
        <w:t>6.4 Dataset Statistics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shd w:fill="2E4057" w:color="FFFFFF" w:val="clear"/>
          </w:tcPr>
          <w:p>
            <w:pPr>
              <w:jc w:val="center"/>
            </w:pPr>
            <w:r>
              <w:rPr>
                <w:rFonts w:ascii="Times New Roman" w:hAnsi="Times New Roman"/>
                <w:b/>
                <w:i w:val="0"/>
                <w:color w:val="FFFFFF"/>
                <w:sz w:val="20"/>
              </w:rPr>
              <w:t>Split</w:t>
            </w:r>
          </w:p>
        </w:tc>
        <w:tc>
          <w:tcPr>
            <w:tcW w:type="dxa" w:w="2160"/>
            <w:shd w:fill="2E4057" w:color="FFFFFF" w:val="clear"/>
          </w:tcPr>
          <w:p>
            <w:pPr>
              <w:jc w:val="center"/>
            </w:pPr>
            <w:r>
              <w:rPr>
                <w:rFonts w:ascii="Times New Roman" w:hAnsi="Times New Roman"/>
                <w:b/>
                <w:i w:val="0"/>
                <w:color w:val="FFFFFF"/>
                <w:sz w:val="20"/>
              </w:rPr>
              <w:t>Documents</w:t>
            </w:r>
          </w:p>
        </w:tc>
        <w:tc>
          <w:tcPr>
            <w:tcW w:type="dxa" w:w="1728"/>
            <w:shd w:fill="2E4057" w:color="FFFFFF" w:val="clear"/>
          </w:tcPr>
          <w:p>
            <w:pPr>
              <w:jc w:val="center"/>
            </w:pPr>
            <w:r>
              <w:rPr>
                <w:rFonts w:ascii="Times New Roman" w:hAnsi="Times New Roman"/>
                <w:b/>
                <w:i w:val="0"/>
                <w:color w:val="FFFFFF"/>
                <w:sz w:val="20"/>
              </w:rPr>
              <w:t>Pages</w:t>
            </w:r>
          </w:p>
        </w:tc>
        <w:tc>
          <w:tcPr>
            <w:tcW w:type="dxa" w:w="1728"/>
            <w:shd w:fill="2E4057" w:color="FFFFFF" w:val="clear"/>
          </w:tcPr>
          <w:p>
            <w:pPr>
              <w:jc w:val="center"/>
            </w:pPr>
            <w:r>
              <w:rPr>
                <w:rFonts w:ascii="Times New Roman" w:hAnsi="Times New Roman"/>
                <w:b/>
                <w:i w:val="0"/>
                <w:color w:val="FFFFFF"/>
                <w:sz w:val="20"/>
              </w:rPr>
              <w:t>Packets</w:t>
            </w:r>
          </w:p>
        </w:tc>
        <w:tc>
          <w:tcPr>
            <w:tcW w:type="dxa" w:w="2160"/>
            <w:shd w:fill="2E4057" w:color="FFFFFF" w:val="clear"/>
          </w:tcPr>
          <w:p>
            <w:pPr>
              <w:jc w:val="center"/>
            </w:pPr>
            <w:r>
              <w:rPr>
                <w:rFonts w:ascii="Times New Roman" w:hAnsi="Times New Roman"/>
                <w:b/>
                <w:i w:val="0"/>
                <w:color w:val="FFFFFF"/>
                <w:sz w:val="20"/>
              </w:rPr>
              <w:t>Blank Pages</w:t>
            </w:r>
          </w:p>
        </w:tc>
      </w:tr>
      <w:tr>
        <w:tc>
          <w:tcPr>
            <w:tcW w:type="dxa" w:w="2592"/>
            <w:shd w:fill="F0F4F8" w:val="clear"/>
          </w:tcPr>
          <w:p>
            <w:pPr>
              <w:jc w:val="left"/>
            </w:pPr>
            <w:r>
              <w:rPr>
                <w:rFonts w:ascii="Times New Roman" w:hAnsi="Times New Roman"/>
                <w:b w:val="0"/>
                <w:i w:val="0"/>
                <w:sz w:val="20"/>
              </w:rPr>
              <w:t>Training</w:t>
            </w:r>
          </w:p>
        </w:tc>
        <w:tc>
          <w:tcPr>
            <w:tcW w:type="dxa" w:w="2160"/>
            <w:shd w:fill="F0F4F8" w:val="clear"/>
          </w:tcPr>
          <w:p>
            <w:pPr>
              <w:jc w:val="center"/>
            </w:pPr>
            <w:r>
              <w:rPr>
                <w:rFonts w:ascii="Times New Roman" w:hAnsi="Times New Roman"/>
                <w:b w:val="0"/>
                <w:i w:val="0"/>
                <w:sz w:val="20"/>
              </w:rPr>
              <w:t>~9,360</w:t>
            </w:r>
          </w:p>
        </w:tc>
        <w:tc>
          <w:tcPr>
            <w:tcW w:type="dxa" w:w="1728"/>
            <w:shd w:fill="F0F4F8" w:val="clear"/>
          </w:tcPr>
          <w:p>
            <w:pPr>
              <w:jc w:val="center"/>
            </w:pPr>
            <w:r>
              <w:rPr>
                <w:rFonts w:ascii="Times New Roman" w:hAnsi="Times New Roman"/>
                <w:b w:val="0"/>
                <w:i w:val="0"/>
                <w:sz w:val="20"/>
              </w:rPr>
              <w:t>~8,400</w:t>
            </w:r>
          </w:p>
        </w:tc>
        <w:tc>
          <w:tcPr>
            <w:tcW w:type="dxa" w:w="1728"/>
            <w:shd w:fill="F0F4F8" w:val="clear"/>
          </w:tcPr>
          <w:p>
            <w:pPr>
              <w:jc w:val="center"/>
            </w:pPr>
            <w:r>
              <w:rPr>
                <w:rFonts w:ascii="Times New Roman" w:hAnsi="Times New Roman"/>
                <w:b w:val="0"/>
                <w:i w:val="0"/>
                <w:sz w:val="20"/>
              </w:rPr>
              <w:t>~1,050</w:t>
            </w:r>
          </w:p>
        </w:tc>
        <w:tc>
          <w:tcPr>
            <w:tcW w:type="dxa" w:w="2160"/>
            <w:shd w:fill="F0F4F8" w:val="clear"/>
          </w:tcPr>
          <w:p>
            <w:pPr>
              <w:jc w:val="center"/>
            </w:pPr>
            <w:r>
              <w:rPr>
                <w:rFonts w:ascii="Times New Roman" w:hAnsi="Times New Roman"/>
                <w:b w:val="0"/>
                <w:i w:val="0"/>
                <w:sz w:val="20"/>
              </w:rPr>
              <w:t>~800</w:t>
            </w:r>
          </w:p>
        </w:tc>
      </w:tr>
      <w:tr>
        <w:tc>
          <w:tcPr>
            <w:tcW w:type="dxa" w:w="2592"/>
          </w:tcPr>
          <w:p>
            <w:pPr>
              <w:jc w:val="left"/>
            </w:pPr>
            <w:r>
              <w:rPr>
                <w:rFonts w:ascii="Times New Roman" w:hAnsi="Times New Roman"/>
                <w:b w:val="0"/>
                <w:i w:val="0"/>
                <w:sz w:val="20"/>
              </w:rPr>
              <w:t>Validation</w:t>
            </w:r>
          </w:p>
        </w:tc>
        <w:tc>
          <w:tcPr>
            <w:tcW w:type="dxa" w:w="2160"/>
          </w:tcPr>
          <w:p>
            <w:pPr>
              <w:jc w:val="center"/>
            </w:pPr>
            <w:r>
              <w:rPr>
                <w:rFonts w:ascii="Times New Roman" w:hAnsi="Times New Roman"/>
                <w:b w:val="0"/>
                <w:i w:val="0"/>
                <w:sz w:val="20"/>
              </w:rPr>
              <w:t>~1,872</w:t>
            </w:r>
          </w:p>
        </w:tc>
        <w:tc>
          <w:tcPr>
            <w:tcW w:type="dxa" w:w="1728"/>
          </w:tcPr>
          <w:p>
            <w:pPr>
              <w:jc w:val="center"/>
            </w:pPr>
            <w:r>
              <w:rPr>
                <w:rFonts w:ascii="Times New Roman" w:hAnsi="Times New Roman"/>
                <w:b w:val="0"/>
                <w:i w:val="0"/>
                <w:sz w:val="20"/>
              </w:rPr>
              <w:t>~1,680</w:t>
            </w:r>
          </w:p>
        </w:tc>
        <w:tc>
          <w:tcPr>
            <w:tcW w:type="dxa" w:w="1728"/>
          </w:tcPr>
          <w:p>
            <w:pPr>
              <w:jc w:val="center"/>
            </w:pPr>
            <w:r>
              <w:rPr>
                <w:rFonts w:ascii="Times New Roman" w:hAnsi="Times New Roman"/>
                <w:b w:val="0"/>
                <w:i w:val="0"/>
                <w:sz w:val="20"/>
              </w:rPr>
              <w:t>~210</w:t>
            </w:r>
          </w:p>
        </w:tc>
        <w:tc>
          <w:tcPr>
            <w:tcW w:type="dxa" w:w="2160"/>
          </w:tcPr>
          <w:p>
            <w:pPr>
              <w:jc w:val="center"/>
            </w:pPr>
            <w:r>
              <w:rPr>
                <w:rFonts w:ascii="Times New Roman" w:hAnsi="Times New Roman"/>
                <w:b w:val="0"/>
                <w:i w:val="0"/>
                <w:sz w:val="20"/>
              </w:rPr>
              <w:t>~160</w:t>
            </w:r>
          </w:p>
        </w:tc>
      </w:tr>
      <w:tr>
        <w:tc>
          <w:tcPr>
            <w:tcW w:type="dxa" w:w="2592"/>
            <w:shd w:fill="F0F4F8" w:val="clear"/>
          </w:tcPr>
          <w:p>
            <w:pPr>
              <w:jc w:val="left"/>
            </w:pPr>
            <w:r>
              <w:rPr>
                <w:rFonts w:ascii="Times New Roman" w:hAnsi="Times New Roman"/>
                <w:b w:val="0"/>
                <w:i w:val="0"/>
                <w:sz w:val="20"/>
              </w:rPr>
              <w:t>Test (curated)</w:t>
            </w:r>
          </w:p>
        </w:tc>
        <w:tc>
          <w:tcPr>
            <w:tcW w:type="dxa" w:w="2160"/>
            <w:shd w:fill="F0F4F8" w:val="clear"/>
          </w:tcPr>
          <w:p>
            <w:pPr>
              <w:jc w:val="center"/>
            </w:pPr>
            <w:r>
              <w:rPr>
                <w:rFonts w:ascii="Times New Roman" w:hAnsi="Times New Roman"/>
                <w:b w:val="0"/>
                <w:i w:val="0"/>
                <w:sz w:val="20"/>
              </w:rPr>
              <w:t>2,307 filled + 64 blank</w:t>
            </w:r>
          </w:p>
        </w:tc>
        <w:tc>
          <w:tcPr>
            <w:tcW w:type="dxa" w:w="1728"/>
            <w:shd w:fill="F0F4F8" w:val="clear"/>
          </w:tcPr>
          <w:p>
            <w:pPr>
              <w:jc w:val="center"/>
            </w:pPr>
            <w:r>
              <w:rPr>
                <w:rFonts w:ascii="Times New Roman" w:hAnsi="Times New Roman"/>
                <w:b w:val="0"/>
                <w:i w:val="0"/>
                <w:sz w:val="20"/>
              </w:rPr>
              <w:t>2,371</w:t>
            </w:r>
          </w:p>
        </w:tc>
        <w:tc>
          <w:tcPr>
            <w:tcW w:type="dxa" w:w="1728"/>
            <w:shd w:fill="F0F4F8" w:val="clear"/>
          </w:tcPr>
          <w:p>
            <w:pPr>
              <w:jc w:val="center"/>
            </w:pPr>
            <w:r>
              <w:rPr>
                <w:rFonts w:ascii="Times New Roman" w:hAnsi="Times New Roman"/>
                <w:b w:val="0"/>
                <w:i w:val="0"/>
                <w:sz w:val="20"/>
              </w:rPr>
              <w:t>466</w:t>
            </w:r>
          </w:p>
        </w:tc>
        <w:tc>
          <w:tcPr>
            <w:tcW w:type="dxa" w:w="2160"/>
            <w:shd w:fill="F0F4F8" w:val="clear"/>
          </w:tcPr>
          <w:p>
            <w:pPr>
              <w:jc w:val="center"/>
            </w:pPr>
            <w:r>
              <w:rPr>
                <w:rFonts w:ascii="Times New Roman" w:hAnsi="Times New Roman"/>
                <w:b w:val="0"/>
                <w:i w:val="0"/>
                <w:sz w:val="20"/>
              </w:rPr>
              <w:t>64</w:t>
            </w:r>
          </w:p>
        </w:tc>
      </w:tr>
    </w:tbl>
    <w:p>
      <w:pPr>
        <w:spacing w:before="80" w:after="200"/>
        <w:jc w:val="center"/>
      </w:pPr>
      <w:r>
        <w:rPr>
          <w:rFonts w:ascii="Times New Roman" w:hAnsi="Times New Roman"/>
          <w:b w:val="0"/>
          <w:i/>
          <w:sz w:val="20"/>
        </w:rPr>
        <w:t>Table 3. Dataset statistics. Test set (test_new.jsonl) is curated for evaluation quality.</w:t>
      </w:r>
    </w:p>
    <w:p>
      <w:pPr>
        <w:pStyle w:val="Heading2"/>
        <w:spacing w:before="240" w:after="80"/>
        <w:jc w:val="left"/>
      </w:pPr>
      <w:r>
        <w:rPr>
          <w:rFonts w:ascii="Times New Roman" w:hAnsi="Times New Roman"/>
          <w:b/>
          <w:i w:val="0"/>
          <w:color w:val="000000"/>
          <w:sz w:val="24"/>
        </w:rPr>
        <w:t>6.5 Test Set Curation</w:t>
      </w:r>
    </w:p>
    <w:p>
      <w:pPr>
        <w:spacing w:after="120" w:before="0"/>
        <w:jc w:val="both"/>
      </w:pPr>
      <w:r>
        <w:rPr>
          <w:rFonts w:ascii="Times New Roman" w:hAnsi="Times New Roman"/>
          <w:b w:val="0"/>
          <w:i w:val="0"/>
          <w:sz w:val="22"/>
        </w:rPr>
        <w:t>The evaluation test set was curated from the full held-out test.jsonl to ensure evaluation validity. Standard random sampling of individual pages produces incomplete packet coverage, making Split IoU measurements unreliable (a packet sampled at 30% completion cannot produce a meaningful boundary Jaccard score). Our curation procedure:</w:t>
      </w:r>
    </w:p>
    <w:p>
      <w:pPr>
        <w:pStyle w:val="ListBullet"/>
        <w:spacing w:after="40" w:before="0"/>
      </w:pPr>
      <w:r>
        <w:rPr>
          <w:rFonts w:ascii="Times New Roman" w:hAnsi="Times New Roman"/>
          <w:b w:val="0"/>
          <w:i w:val="0"/>
          <w:sz w:val="22"/>
        </w:rPr>
        <w:t>Preserves complete packets: all pages of a selected packet are included, ensuring Split IoU is computed over full document sequences.</w:t>
      </w:r>
    </w:p>
    <w:p>
      <w:pPr>
        <w:pStyle w:val="ListBullet"/>
        <w:spacing w:after="40" w:before="0"/>
      </w:pPr>
      <w:r>
        <w:rPr>
          <w:rFonts w:ascii="Times New Roman" w:hAnsi="Times New Roman"/>
          <w:b w:val="0"/>
          <w:i w:val="0"/>
          <w:sz w:val="22"/>
        </w:rPr>
        <w:t>Applies complexity weighting: 6+ page packets (representing the hardest bundle-splitting cases) receive 4× sampling weight relative to single-page documents, ensuring the evaluation is dominated by challenging cases.</w:t>
      </w:r>
    </w:p>
    <w:p>
      <w:pPr>
        <w:pStyle w:val="ListBullet"/>
        <w:spacing w:after="40" w:before="0"/>
      </w:pPr>
      <w:r>
        <w:rPr>
          <w:rFonts w:ascii="Times New Roman" w:hAnsi="Times New Roman"/>
          <w:b w:val="0"/>
          <w:i w:val="0"/>
          <w:sz w:val="22"/>
        </w:rPr>
        <w:t>Guarantees class coverage: a minimum of 15 complete packets per document class, preventing any class from being underrepresented due to sampling variance.</w:t>
      </w:r>
    </w:p>
    <w:p>
      <w:pPr>
        <w:pStyle w:val="ListBullet"/>
        <w:spacing w:after="40" w:before="0"/>
      </w:pPr>
      <w:r>
        <w:rPr>
          <w:rFonts w:ascii="Times New Roman" w:hAnsi="Times New Roman"/>
          <w:b w:val="0"/>
          <w:i w:val="0"/>
          <w:sz w:val="22"/>
        </w:rPr>
        <w:t>Includes all blank packets: all 41 available blank template packets (64 pages) are included for hallucination evaluation.</w:t>
      </w:r>
    </w:p>
    <w:p>
      <w:pPr>
        <w:spacing w:after="120" w:before="0"/>
        <w:jc w:val="both"/>
      </w:pPr>
      <w:r>
        <w:rPr>
          <w:rFonts w:ascii="Times New Roman" w:hAnsi="Times New Roman"/>
          <w:b w:val="0"/>
          <w:i w:val="0"/>
          <w:sz w:val="22"/>
        </w:rPr>
        <w:t>The resulting test set contains 2,371 pages across 466 packets: 163 pages from single-page documents (6.9%), 2,144 pages from 6+ page bundles (90.4%), and 64 blank-form pages (2.7%). The dominance of multi-page bundles reflects the operational distribution where mixed-document scanning is the primary processing mode.</w:t>
      </w:r>
    </w:p>
    <w:p>
      <w:pPr>
        <w:pStyle w:val="Heading2"/>
        <w:spacing w:before="240" w:after="80"/>
        <w:jc w:val="left"/>
      </w:pPr>
      <w:r>
        <w:rPr>
          <w:rFonts w:ascii="Times New Roman" w:hAnsi="Times New Roman"/>
          <w:b/>
          <w:i w:val="0"/>
          <w:color w:val="000000"/>
          <w:sz w:val="24"/>
        </w:rPr>
        <w:t>6.6 Iterative Data Quality: Challenges and Lessons</w:t>
      </w:r>
    </w:p>
    <w:p>
      <w:pPr>
        <w:spacing w:after="120" w:before="0"/>
        <w:jc w:val="both"/>
      </w:pPr>
      <w:r>
        <w:rPr>
          <w:rFonts w:ascii="Times New Roman" w:hAnsi="Times New Roman"/>
          <w:b w:val="0"/>
          <w:i w:val="0"/>
          <w:sz w:val="22"/>
        </w:rPr>
        <w:t>Producing a synthetic dataset that trains a reliable model is substantially harder than producing one that looks correct to a human reviewer. Our dataset went through multiple major iterations before yielding acceptable model performance. Each iteration was driven by a concrete failure mode observed during model evaluation, not by upfront design. We document these iterations as they represent reusable lessons for practitioners building domain-specific document datasets.</w:t>
      </w:r>
    </w:p>
    <w:p>
      <w:pPr>
        <w:pStyle w:val="Heading3"/>
        <w:spacing w:before="240" w:after="80"/>
        <w:jc w:val="left"/>
      </w:pPr>
      <w:r>
        <w:rPr>
          <w:rFonts w:ascii="Times New Roman" w:hAnsi="Times New Roman"/>
          <w:b/>
          <w:i/>
          <w:color w:val="000000"/>
          <w:sz w:val="22"/>
        </w:rPr>
        <w:t>Field-Level Ground Truth: The Annotation Key Problem</w:t>
      </w:r>
    </w:p>
    <w:p>
      <w:pPr>
        <w:spacing w:after="120" w:before="0"/>
        <w:jc w:val="both"/>
      </w:pPr>
      <w:r>
        <w:rPr>
          <w:rFonts w:ascii="Times New Roman" w:hAnsi="Times New Roman"/>
          <w:b w:val="0"/>
          <w:i w:val="0"/>
          <w:sz w:val="22"/>
        </w:rPr>
        <w:t>The most consequential quality issue was the mapping between universal field names and the actual JSON keys used in annotation files — what we call the FIELD_MAP. Initial mappings were constructed from document class descriptions and documentation, under the assumption that field names were consistent across document variants. In practice, the same semantic field appeared under different keys depending on document subtype, regional variant, or generating template: for example, the port of destination appeared as 'pod', 'port_of_discharge', 'destination_airport', and 'airport_destination' across different classes. Early model evaluation showed near-zero F1 on several fields (validity_start: 0.0%, license_number: 14.6%) that were clearly visible in document images. Diagnosis revealed the training labels for those fields contained null throughout — not because the data was absent, but because the annotation keys were wrong. Correcting required a complete field-by-field audit of all 12 document classes against actual annotation files, discovering 15+ incorrect mappings. This iteration alone yielded the largest single improvement in extraction F1 across the dataset.</w:t>
      </w:r>
    </w:p>
    <w:p>
      <w:pPr>
        <w:pStyle w:val="Heading3"/>
        <w:spacing w:before="240" w:after="80"/>
        <w:jc w:val="left"/>
      </w:pPr>
      <w:r>
        <w:rPr>
          <w:rFonts w:ascii="Times New Roman" w:hAnsi="Times New Roman"/>
          <w:b/>
          <w:i/>
          <w:color w:val="000000"/>
          <w:sz w:val="22"/>
        </w:rPr>
        <w:t>Field Presence Rates and Optional Field Calibration</w:t>
      </w:r>
    </w:p>
    <w:p>
      <w:pPr>
        <w:spacing w:after="120" w:before="0"/>
        <w:jc w:val="both"/>
      </w:pPr>
      <w:r>
        <w:rPr>
          <w:rFonts w:ascii="Times New Roman" w:hAnsi="Times New Roman"/>
          <w:b w:val="0"/>
          <w:i w:val="0"/>
          <w:sz w:val="22"/>
        </w:rPr>
        <w:t>A related issue was over-population of optional fields. Initial generators set all 11 fields as always-present to maximise training signal. However, in real freight documents many fields are optional or class-conditional: a Cargo Manifest rarely has a shipper name at the top level; a Certificate of Origin does not carry a document number in the traditional sense; a Power of Attorney has no consignee. When the model trained on always-present data encountered real documents with missing fields, it would hallucinate plausible values rather than output null. Several rounds of annotation analysis were needed to calibrate field presence rates to match the actual distribution in real logistics documents, introducing null labels for fields that are genuinely absent in each document class.</w:t>
      </w:r>
    </w:p>
    <w:p>
      <w:pPr>
        <w:pStyle w:val="Heading3"/>
        <w:spacing w:before="240" w:after="80"/>
        <w:jc w:val="left"/>
      </w:pPr>
      <w:r>
        <w:rPr>
          <w:rFonts w:ascii="Times New Roman" w:hAnsi="Times New Roman"/>
          <w:b/>
          <w:i/>
          <w:color w:val="000000"/>
          <w:sz w:val="22"/>
        </w:rPr>
        <w:t>Weight Field Exclusion: A Schema Design Lesson</w:t>
      </w:r>
    </w:p>
    <w:p>
      <w:pPr>
        <w:spacing w:after="120" w:before="0"/>
        <w:jc w:val="both"/>
      </w:pPr>
      <w:r>
        <w:rPr>
          <w:rFonts w:ascii="Times New Roman" w:hAnsi="Times New Roman"/>
          <w:b w:val="0"/>
          <w:i w:val="0"/>
          <w:sz w:val="22"/>
        </w:rPr>
        <w:t>An initial version of the schema included three weight fields: gross weight, net weight, and total weight. These appear frequently on freight documents and seem like high-value extraction targets. Multiple training iterations showed consistently poor extraction quality for weight fields specifically: the model would extract values but with wrong units (kg vs lbs vs MT), wrong granularity (per-item weight vs. total shipment weight), and wrong location (weight from a line item vs. a summary box). Deeper analysis revealed the fundamental issue: the same field name 'gross weight' maps to structurally different data across document classes. On a Commercial Invoice it refers to total shipment weight; on a Packing List it refers to per-package weight; on a VGM it refers to a verified container weight with specific regulatory meaning. No single extraction instruction could correctly handle all variants. The schema was revised to exclude weight fields entirely, and the resulting focused extraction quality across the remaining 11 fields improved measurably.</w:t>
      </w:r>
    </w:p>
    <w:p>
      <w:pPr>
        <w:pStyle w:val="Heading3"/>
        <w:spacing w:before="240" w:after="80"/>
        <w:jc w:val="left"/>
      </w:pPr>
      <w:r>
        <w:rPr>
          <w:rFonts w:ascii="Times New Roman" w:hAnsi="Times New Roman"/>
          <w:b/>
          <w:i/>
          <w:color w:val="000000"/>
          <w:sz w:val="22"/>
        </w:rPr>
        <w:t>Blank Form Hallucination: A Gap Discovered in Production</w:t>
      </w:r>
    </w:p>
    <w:p>
      <w:pPr>
        <w:spacing w:after="120" w:before="0"/>
        <w:jc w:val="both"/>
      </w:pPr>
      <w:r>
        <w:rPr>
          <w:rFonts w:ascii="Times New Roman" w:hAnsi="Times New Roman"/>
          <w:b w:val="0"/>
          <w:i w:val="0"/>
          <w:sz w:val="22"/>
        </w:rPr>
        <w:t>The hallucination problem on blank documents was not anticipated during dataset design — it was discovered only when the trained model was tested on real blank shipping templates. The model produced plausible-sounding but entirely fabricated field values, drawing on its pre-training exposure to filled logistics documents. From a machine learning perspective, this is a distributional mismatch: the training distribution contained only filled documents, so the model had never been rewarded for producing all-null outputs. The fix required going back to the data generation pipeline, building a blank-form generator for each of the 12 classes (forms with visible structure and field labels but no content), and retraining with these examples paired with all-null labels. Crucially, this fix also required strengthening the inference prompt with explicit anti-hallucination rules — model behaviour is shaped jointly by the training distribution and the prompt, and neither alone was sufficient.</w:t>
      </w:r>
    </w:p>
    <w:p>
      <w:pPr>
        <w:pStyle w:val="Heading3"/>
        <w:spacing w:before="240" w:after="80"/>
        <w:jc w:val="left"/>
      </w:pPr>
      <w:r>
        <w:rPr>
          <w:rFonts w:ascii="Times New Roman" w:hAnsi="Times New Roman"/>
          <w:b/>
          <w:i/>
          <w:color w:val="000000"/>
          <w:sz w:val="22"/>
        </w:rPr>
        <w:t>Document Date Format Diversity</w:t>
      </w:r>
    </w:p>
    <w:p>
      <w:pPr>
        <w:spacing w:after="120" w:before="0"/>
        <w:jc w:val="both"/>
      </w:pPr>
      <w:r>
        <w:rPr>
          <w:rFonts w:ascii="Times New Roman" w:hAnsi="Times New Roman"/>
          <w:b w:val="0"/>
          <w:i w:val="0"/>
          <w:sz w:val="22"/>
        </w:rPr>
        <w:t>Date fields exhibited the most severe zero-shot failure (F1: 0.2%) and the largest fine-tuning improvement (F1: 99.2%). Initial generators produced dates in a single ISO format (YYYY-MM-DD) per class. Real freight documents use at least six distinct date formats depending on origin country, document type, and issuing authority: DD/MM/YYYY (European), MM/DD/YYYY (American), DD-MMM-YYYY (e.g. '15-APR-2024'), written months ('April 15, 2024'), Julian dates, and truncated years. The model trained on uniform formats failed to extract dates in any format other than its training distribution. Fixing required adding format diversity to every date-generating class, proportional to the frequency of each format in real document samples.</w:t>
      </w:r>
    </w:p>
    <w:p>
      <w:pPr>
        <w:pStyle w:val="Heading3"/>
        <w:spacing w:before="240" w:after="80"/>
        <w:jc w:val="left"/>
      </w:pPr>
      <w:r>
        <w:rPr>
          <w:rFonts w:ascii="Times New Roman" w:hAnsi="Times New Roman"/>
          <w:b/>
          <w:i/>
          <w:color w:val="000000"/>
          <w:sz w:val="22"/>
        </w:rPr>
        <w:t>Multi-Page Packet Composition and START/CONTINUATION Balance</w:t>
      </w:r>
    </w:p>
    <w:p>
      <w:pPr>
        <w:spacing w:after="120" w:before="0"/>
        <w:jc w:val="both"/>
      </w:pPr>
      <w:r>
        <w:rPr>
          <w:rFonts w:ascii="Times New Roman" w:hAnsi="Times New Roman"/>
          <w:b w:val="0"/>
          <w:i w:val="0"/>
          <w:sz w:val="22"/>
        </w:rPr>
        <w:t>Early packet generation produced unrealistically uniform bundles: most packets contained only 2-3 documents, and class combinations were random rather than reflecting real freight bundle compositions. In operational freight forwarding, specific document combinations are systematically co-occurring: a commercial shipment typically bundles a Commercial Invoice, Packing List, and Bill of Lading together; a controlled-goods shipment adds Import/Export License and potentially a Certificate of Origin. Initial bundles with random class mixing did not reflect these patterns.</w:t>
      </w:r>
    </w:p>
    <w:p>
      <w:pPr>
        <w:spacing w:after="120" w:before="0"/>
        <w:jc w:val="both"/>
      </w:pPr>
      <w:r>
        <w:rPr>
          <w:rFonts w:ascii="Times New Roman" w:hAnsi="Times New Roman"/>
          <w:b w:val="0"/>
          <w:i w:val="0"/>
          <w:sz w:val="22"/>
        </w:rPr>
        <w:t>A secondary consequence of the packet structure was an unbalanced START/CONTINUATION ratio. Analysis of the initial dataset showed 72% START pages vs 28% CONTINUATION pages — reflecting short bundles with few multi-page documents. Training on this imbalanced distribution caused the model to strongly prefer START predictions, yielding high classification accuracy but near-random bundle splitting. Correcting required both longer bundle generation (8-12 documents per packet) and explicit CONTINUATION oversampling (2×) during training. Only after this correction did Split IoU training metrics begin to converge.</w:t>
      </w:r>
    </w:p>
    <w:p>
      <w:pPr>
        <w:pStyle w:val="Heading3"/>
        <w:spacing w:before="240" w:after="80"/>
        <w:jc w:val="left"/>
      </w:pPr>
      <w:r>
        <w:rPr>
          <w:rFonts w:ascii="Times New Roman" w:hAnsi="Times New Roman"/>
          <w:b/>
          <w:i/>
          <w:color w:val="000000"/>
          <w:sz w:val="22"/>
        </w:rPr>
        <w:t>SME Validation and Iterative Correctness Verification</w:t>
      </w:r>
    </w:p>
    <w:p>
      <w:pPr>
        <w:spacing w:after="120" w:before="0"/>
        <w:jc w:val="both"/>
      </w:pPr>
      <w:r>
        <w:rPr>
          <w:rFonts w:ascii="Times New Roman" w:hAnsi="Times New Roman"/>
          <w:b w:val="0"/>
          <w:i w:val="0"/>
          <w:sz w:val="22"/>
        </w:rPr>
        <w:t>A recurring theme across all iterations was the gap between synthetic data that appears visually correct and data that is semantically correct at the field level. Several quality issues were invisible to automated metrics but were identified through subject matter expert (SME) review: commodity descriptions that used generic placeholder text rather than realistic HS-code-aligned descriptions; certificate of origin issuing bodies that did not match the declaring country; airway bill routing codes that were syntactically valid IATA codes but geographically inconsistent with origin/destination fields; license numbers that followed the wrong format for the stated issuing authority.</w:t>
      </w:r>
    </w:p>
    <w:p>
      <w:pPr>
        <w:spacing w:after="120" w:before="0"/>
        <w:jc w:val="both"/>
      </w:pPr>
      <w:r>
        <w:rPr>
          <w:rFonts w:ascii="Times New Roman" w:hAnsi="Times New Roman"/>
          <w:b w:val="0"/>
          <w:i w:val="0"/>
          <w:sz w:val="22"/>
        </w:rPr>
        <w:t>Each of these issues required a cycle of: (1) SME review identifying the semantic error class; (2) generator code correction to produce realistic values; (3) dataset regeneration; (4) model retraining; (5) evaluation to confirm improvement. The key lesson is that for domain-specific document datasets, automated quality metrics are necessary but not sufficient — domain expert review of both the generated documents and the annotation labels is essential, particularly for fields with constrained value domains (license numbers, IATA codes, authority references) where a model can learn syntactically plausible but semantically incorrect extraction patterns.</w:t>
      </w:r>
    </w:p>
    <w:p>
      <w:pPr>
        <w:pStyle w:val="Heading1"/>
        <w:spacing w:before="240" w:after="80"/>
        <w:jc w:val="left"/>
      </w:pPr>
      <w:r>
        <w:rPr>
          <w:rFonts w:ascii="Times New Roman" w:hAnsi="Times New Roman"/>
          <w:b/>
          <w:i w:val="0"/>
          <w:color w:val="000000"/>
          <w:sz w:val="26"/>
        </w:rPr>
        <w:t>7. Methodology</w:t>
      </w:r>
    </w:p>
    <w:p>
      <w:pPr>
        <w:pStyle w:val="Heading2"/>
        <w:spacing w:before="240" w:after="80"/>
        <w:jc w:val="left"/>
      </w:pPr>
      <w:r>
        <w:rPr>
          <w:rFonts w:ascii="Times New Roman" w:hAnsi="Times New Roman"/>
          <w:b/>
          <w:i w:val="0"/>
          <w:color w:val="000000"/>
          <w:sz w:val="24"/>
        </w:rPr>
        <w:t>7.1 Base Model Selection</w:t>
      </w:r>
    </w:p>
    <w:p>
      <w:pPr>
        <w:spacing w:after="120" w:before="0"/>
        <w:jc w:val="both"/>
      </w:pPr>
      <w:r>
        <w:rPr>
          <w:rFonts w:ascii="Times New Roman" w:hAnsi="Times New Roman"/>
          <w:b w:val="0"/>
          <w:i w:val="0"/>
          <w:sz w:val="22"/>
        </w:rPr>
        <w:t>We select Qwen2.5-VL-3B-Instruct [4] as our base model. This choice is motivated by three factors: (1) the 3B parameter count fits within 16 GB VRAM enabling training on commodity hardware (NVIDIA RTX 5080); (2) the model achieves 80.6% zero-shot classification accuracy on our domain, providing a strong initialisation; and (3) its native support for dynamic image resolution via the Naive Dynamic Resolution mechanism and Multi-modal Rotary Position Embedding (MRoPE) enables accurate spatial reasoning over document layouts without fixed-resolution preprocessing.</w:t>
      </w:r>
    </w:p>
    <w:p>
      <w:pPr>
        <w:spacing w:after="120" w:before="0"/>
        <w:jc w:val="both"/>
      </w:pPr>
      <w:r>
        <w:rPr>
          <w:rFonts w:ascii="Times New Roman" w:hAnsi="Times New Roman"/>
          <w:b w:val="0"/>
          <w:i w:val="0"/>
          <w:sz w:val="22"/>
        </w:rPr>
        <w:t>The Qwen2.5-VL architecture couples a ViT vision encoder (patch size 14×14, merged 2×2 into effective 28×28 patches) with a Qwen language model. At inference, the vision encoder produces (H/28)×(W/28) visual tokens, which are concatenated with the text token sequence and processed by the language model decoder.</w:t>
      </w:r>
    </w:p>
    <w:p>
      <w:pPr>
        <w:pStyle w:val="Heading2"/>
        <w:spacing w:before="240" w:after="80"/>
        <w:jc w:val="left"/>
      </w:pPr>
      <w:r>
        <w:rPr>
          <w:rFonts w:ascii="Times New Roman" w:hAnsi="Times New Roman"/>
          <w:b/>
          <w:i w:val="0"/>
          <w:color w:val="000000"/>
          <w:sz w:val="24"/>
        </w:rPr>
        <w:t>7.2 Parameter-Efficient Fine-Tuning via QLoRA</w:t>
      </w:r>
    </w:p>
    <w:p>
      <w:pPr>
        <w:spacing w:after="120" w:before="0"/>
        <w:jc w:val="both"/>
      </w:pPr>
      <w:r>
        <w:rPr>
          <w:rFonts w:ascii="Times New Roman" w:hAnsi="Times New Roman"/>
          <w:b w:val="0"/>
          <w:i w:val="0"/>
          <w:sz w:val="22"/>
        </w:rPr>
        <w:t>We apply Quantized Low-Rank Adaptation (QLoRA) [8] to adapt the model to our domain while remaining within the 16 GB VRAM budget. The base model is loaded in 4-bit NormalFloat (NF4) quantization, and LoRA adapter matrices are inserted into seven projection layers:</w:t>
      </w:r>
    </w:p>
    <w:p>
      <w:pPr>
        <w:spacing w:after="120" w:before="0"/>
        <w:ind w:left="576"/>
        <w:jc w:val="both"/>
      </w:pPr>
      <w:r>
        <w:rPr>
          <w:rFonts w:ascii="Times New Roman" w:hAnsi="Times New Roman"/>
          <w:b w:val="0"/>
          <w:i w:val="0"/>
          <w:sz w:val="22"/>
        </w:rPr>
        <w:t>Target modules: {q_proj, k_proj, v_proj, o_proj} (attention) and {gate_proj, up_proj, down_proj} (feed-forward network).</w:t>
      </w:r>
    </w:p>
    <w:p>
      <w:pPr>
        <w:spacing w:after="120" w:before="0"/>
        <w:ind w:left="576"/>
        <w:jc w:val="both"/>
      </w:pPr>
      <w:r>
        <w:rPr>
          <w:rFonts w:ascii="Times New Roman" w:hAnsi="Times New Roman"/>
          <w:b w:val="0"/>
          <w:i w:val="0"/>
          <w:sz w:val="22"/>
        </w:rPr>
        <w:t>LoRA rank r = 32, scaling α = 32 (scale factor α/r = 1.0), dropout = 0.0 (required for Unsloth fast-kernel compatibility). This configuration yields approximately 24M trainable parameters — ~0.6% of the frozen 3.8B total.</w:t>
      </w:r>
    </w:p>
    <w:p>
      <w:pPr>
        <w:pStyle w:val="Heading2"/>
        <w:spacing w:before="240" w:after="80"/>
        <w:jc w:val="left"/>
      </w:pPr>
      <w:r>
        <w:rPr>
          <w:rFonts w:ascii="Times New Roman" w:hAnsi="Times New Roman"/>
          <w:b/>
          <w:i w:val="0"/>
          <w:color w:val="000000"/>
          <w:sz w:val="24"/>
        </w:rPr>
        <w:t>7.3 Training Configuration</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2E4057" w:color="FFFFFF" w:val="clear"/>
          </w:tcPr>
          <w:p>
            <w:pPr>
              <w:jc w:val="center"/>
            </w:pPr>
            <w:r>
              <w:rPr>
                <w:rFonts w:ascii="Times New Roman" w:hAnsi="Times New Roman"/>
                <w:b/>
                <w:i w:val="0"/>
                <w:color w:val="FFFFFF"/>
                <w:sz w:val="20"/>
              </w:rPr>
              <w:t>Hyperparameter</w:t>
            </w:r>
          </w:p>
        </w:tc>
        <w:tc>
          <w:tcPr>
            <w:tcW w:type="dxa" w:w="2592"/>
            <w:shd w:fill="2E4057" w:color="FFFFFF" w:val="clear"/>
          </w:tcPr>
          <w:p>
            <w:pPr>
              <w:jc w:val="center"/>
            </w:pPr>
            <w:r>
              <w:rPr>
                <w:rFonts w:ascii="Times New Roman" w:hAnsi="Times New Roman"/>
                <w:b/>
                <w:i w:val="0"/>
                <w:color w:val="FFFFFF"/>
                <w:sz w:val="20"/>
              </w:rPr>
              <w:t>Value</w:t>
            </w:r>
          </w:p>
        </w:tc>
        <w:tc>
          <w:tcPr>
            <w:tcW w:type="dxa" w:w="3744"/>
            <w:shd w:fill="2E4057" w:color="FFFFFF" w:val="clear"/>
          </w:tcPr>
          <w:p>
            <w:pPr>
              <w:jc w:val="center"/>
            </w:pPr>
            <w:r>
              <w:rPr>
                <w:rFonts w:ascii="Times New Roman" w:hAnsi="Times New Roman"/>
                <w:b/>
                <w:i w:val="0"/>
                <w:color w:val="FFFFFF"/>
                <w:sz w:val="20"/>
              </w:rPr>
              <w:t>Rationale</w:t>
            </w:r>
          </w:p>
        </w:tc>
      </w:tr>
      <w:tr>
        <w:tc>
          <w:tcPr>
            <w:tcW w:type="dxa" w:w="3168"/>
            <w:shd w:fill="F0F4F8" w:val="clear"/>
          </w:tcPr>
          <w:p>
            <w:pPr>
              <w:jc w:val="left"/>
            </w:pPr>
            <w:r>
              <w:rPr>
                <w:rFonts w:ascii="Times New Roman" w:hAnsi="Times New Roman"/>
                <w:b w:val="0"/>
                <w:i w:val="0"/>
                <w:sz w:val="20"/>
              </w:rPr>
              <w:t>Effective batch size</w:t>
            </w:r>
          </w:p>
        </w:tc>
        <w:tc>
          <w:tcPr>
            <w:tcW w:type="dxa" w:w="2592"/>
            <w:shd w:fill="F0F4F8" w:val="clear"/>
          </w:tcPr>
          <w:p>
            <w:pPr>
              <w:jc w:val="center"/>
            </w:pPr>
            <w:r>
              <w:rPr>
                <w:rFonts w:ascii="Times New Roman" w:hAnsi="Times New Roman"/>
                <w:b w:val="0"/>
                <w:i w:val="0"/>
                <w:sz w:val="20"/>
              </w:rPr>
              <w:t>18</w:t>
            </w:r>
          </w:p>
        </w:tc>
        <w:tc>
          <w:tcPr>
            <w:tcW w:type="dxa" w:w="3744"/>
            <w:shd w:fill="F0F4F8" w:val="clear"/>
          </w:tcPr>
          <w:p>
            <w:pPr>
              <w:jc w:val="center"/>
            </w:pPr>
            <w:r>
              <w:rPr>
                <w:rFonts w:ascii="Times New Roman" w:hAnsi="Times New Roman"/>
                <w:b w:val="0"/>
                <w:i w:val="0"/>
                <w:sz w:val="20"/>
              </w:rPr>
              <w:t>batch_size=1 × grad_accum=18; batch=1 eliminates image-token mismatch crashes</w:t>
            </w:r>
          </w:p>
        </w:tc>
      </w:tr>
      <w:tr>
        <w:tc>
          <w:tcPr>
            <w:tcW w:type="dxa" w:w="3168"/>
          </w:tcPr>
          <w:p>
            <w:pPr>
              <w:jc w:val="left"/>
            </w:pPr>
            <w:r>
              <w:rPr>
                <w:rFonts w:ascii="Times New Roman" w:hAnsi="Times New Roman"/>
                <w:b w:val="0"/>
                <w:i w:val="0"/>
                <w:sz w:val="20"/>
              </w:rPr>
              <w:t>Learning rate</w:t>
            </w:r>
          </w:p>
        </w:tc>
        <w:tc>
          <w:tcPr>
            <w:tcW w:type="dxa" w:w="2592"/>
          </w:tcPr>
          <w:p>
            <w:pPr>
              <w:jc w:val="center"/>
            </w:pPr>
            <w:r>
              <w:rPr>
                <w:rFonts w:ascii="Times New Roman" w:hAnsi="Times New Roman"/>
                <w:b w:val="0"/>
                <w:i w:val="0"/>
                <w:sz w:val="20"/>
              </w:rPr>
              <w:t>2×10⁻⁴</w:t>
            </w:r>
          </w:p>
        </w:tc>
        <w:tc>
          <w:tcPr>
            <w:tcW w:type="dxa" w:w="3744"/>
          </w:tcPr>
          <w:p>
            <w:pPr>
              <w:jc w:val="center"/>
            </w:pPr>
            <w:r>
              <w:rPr>
                <w:rFonts w:ascii="Times New Roman" w:hAnsi="Times New Roman"/>
                <w:b w:val="0"/>
                <w:i w:val="0"/>
                <w:sz w:val="20"/>
              </w:rPr>
              <w:t>Standard QLoRA learning rate for instruction-tuned VLMs</w:t>
            </w:r>
          </w:p>
        </w:tc>
      </w:tr>
      <w:tr>
        <w:tc>
          <w:tcPr>
            <w:tcW w:type="dxa" w:w="3168"/>
            <w:shd w:fill="F0F4F8" w:val="clear"/>
          </w:tcPr>
          <w:p>
            <w:pPr>
              <w:jc w:val="left"/>
            </w:pPr>
            <w:r>
              <w:rPr>
                <w:rFonts w:ascii="Times New Roman" w:hAnsi="Times New Roman"/>
                <w:b w:val="0"/>
                <w:i w:val="0"/>
                <w:sz w:val="20"/>
              </w:rPr>
              <w:t>LR schedule</w:t>
            </w:r>
          </w:p>
        </w:tc>
        <w:tc>
          <w:tcPr>
            <w:tcW w:type="dxa" w:w="2592"/>
            <w:shd w:fill="F0F4F8" w:val="clear"/>
          </w:tcPr>
          <w:p>
            <w:pPr>
              <w:jc w:val="center"/>
            </w:pPr>
            <w:r>
              <w:rPr>
                <w:rFonts w:ascii="Times New Roman" w:hAnsi="Times New Roman"/>
                <w:b w:val="0"/>
                <w:i w:val="0"/>
                <w:sz w:val="20"/>
              </w:rPr>
              <w:t>Cosine</w:t>
            </w:r>
          </w:p>
        </w:tc>
        <w:tc>
          <w:tcPr>
            <w:tcW w:type="dxa" w:w="3744"/>
            <w:shd w:fill="F0F4F8" w:val="clear"/>
          </w:tcPr>
          <w:p>
            <w:pPr>
              <w:jc w:val="center"/>
            </w:pPr>
            <w:r>
              <w:rPr>
                <w:rFonts w:ascii="Times New Roman" w:hAnsi="Times New Roman"/>
                <w:b w:val="0"/>
                <w:i w:val="0"/>
                <w:sz w:val="20"/>
              </w:rPr>
              <w:t>With warmup_ratio=0.03; prevents sharp early-step updates</w:t>
            </w:r>
          </w:p>
        </w:tc>
      </w:tr>
      <w:tr>
        <w:tc>
          <w:tcPr>
            <w:tcW w:type="dxa" w:w="3168"/>
          </w:tcPr>
          <w:p>
            <w:pPr>
              <w:jc w:val="left"/>
            </w:pPr>
            <w:r>
              <w:rPr>
                <w:rFonts w:ascii="Times New Roman" w:hAnsi="Times New Roman"/>
                <w:b w:val="0"/>
                <w:i w:val="0"/>
                <w:sz w:val="20"/>
              </w:rPr>
              <w:t>Max sequence length</w:t>
            </w:r>
          </w:p>
        </w:tc>
        <w:tc>
          <w:tcPr>
            <w:tcW w:type="dxa" w:w="2592"/>
          </w:tcPr>
          <w:p>
            <w:pPr>
              <w:jc w:val="center"/>
            </w:pPr>
            <w:r>
              <w:rPr>
                <w:rFonts w:ascii="Times New Roman" w:hAnsi="Times New Roman"/>
                <w:b w:val="0"/>
                <w:i w:val="0"/>
                <w:sz w:val="20"/>
              </w:rPr>
              <w:t>2,048 tokens</w:t>
            </w:r>
          </w:p>
        </w:tc>
        <w:tc>
          <w:tcPr>
            <w:tcW w:type="dxa" w:w="3744"/>
          </w:tcPr>
          <w:p>
            <w:pPr>
              <w:jc w:val="center"/>
            </w:pPr>
            <w:r>
              <w:rPr>
                <w:rFonts w:ascii="Times New Roman" w:hAnsi="Times New Roman"/>
                <w:b w:val="0"/>
                <w:i w:val="0"/>
                <w:sz w:val="20"/>
              </w:rPr>
              <w:t>Image (~1,300 tok) + prompt (~250 tok) + answer (~150 tok) = ~1,700</w:t>
            </w:r>
          </w:p>
        </w:tc>
      </w:tr>
      <w:tr>
        <w:tc>
          <w:tcPr>
            <w:tcW w:type="dxa" w:w="3168"/>
            <w:shd w:fill="F0F4F8" w:val="clear"/>
          </w:tcPr>
          <w:p>
            <w:pPr>
              <w:jc w:val="left"/>
            </w:pPr>
            <w:r>
              <w:rPr>
                <w:rFonts w:ascii="Times New Roman" w:hAnsi="Times New Roman"/>
                <w:b w:val="0"/>
                <w:i w:val="0"/>
                <w:sz w:val="20"/>
              </w:rPr>
              <w:t>Max image resolution</w:t>
            </w:r>
          </w:p>
        </w:tc>
        <w:tc>
          <w:tcPr>
            <w:tcW w:type="dxa" w:w="2592"/>
            <w:shd w:fill="F0F4F8" w:val="clear"/>
          </w:tcPr>
          <w:p>
            <w:pPr>
              <w:jc w:val="center"/>
            </w:pPr>
            <w:r>
              <w:rPr>
                <w:rFonts w:ascii="Times New Roman" w:hAnsi="Times New Roman"/>
                <w:b w:val="0"/>
                <w:i w:val="0"/>
                <w:sz w:val="20"/>
              </w:rPr>
              <w:t>614,656 px</w:t>
            </w:r>
          </w:p>
        </w:tc>
        <w:tc>
          <w:tcPr>
            <w:tcW w:type="dxa" w:w="3744"/>
            <w:shd w:fill="F0F4F8" w:val="clear"/>
          </w:tcPr>
          <w:p>
            <w:pPr>
              <w:jc w:val="center"/>
            </w:pPr>
            <w:r>
              <w:rPr>
                <w:rFonts w:ascii="Times New Roman" w:hAnsi="Times New Roman"/>
                <w:b w:val="0"/>
                <w:i w:val="0"/>
                <w:sz w:val="20"/>
              </w:rPr>
              <w:t>28×28×784; maintains strict 28-pixel grid alignment</w:t>
            </w:r>
          </w:p>
        </w:tc>
      </w:tr>
      <w:tr>
        <w:tc>
          <w:tcPr>
            <w:tcW w:type="dxa" w:w="3168"/>
          </w:tcPr>
          <w:p>
            <w:pPr>
              <w:jc w:val="left"/>
            </w:pPr>
            <w:r>
              <w:rPr>
                <w:rFonts w:ascii="Times New Roman" w:hAnsi="Times New Roman"/>
                <w:b w:val="0"/>
                <w:i w:val="0"/>
                <w:sz w:val="20"/>
              </w:rPr>
              <w:t>Training epochs</w:t>
            </w:r>
          </w:p>
        </w:tc>
        <w:tc>
          <w:tcPr>
            <w:tcW w:type="dxa" w:w="2592"/>
          </w:tcPr>
          <w:p>
            <w:pPr>
              <w:jc w:val="center"/>
            </w:pPr>
            <w:r>
              <w:rPr>
                <w:rFonts w:ascii="Times New Roman" w:hAnsi="Times New Roman"/>
                <w:b w:val="0"/>
                <w:i w:val="0"/>
                <w:sz w:val="20"/>
              </w:rPr>
              <w:t>1</w:t>
            </w:r>
          </w:p>
        </w:tc>
        <w:tc>
          <w:tcPr>
            <w:tcW w:type="dxa" w:w="3744"/>
          </w:tcPr>
          <w:p>
            <w:pPr>
              <w:jc w:val="center"/>
            </w:pPr>
            <w:r>
              <w:rPr>
                <w:rFonts w:ascii="Times New Roman" w:hAnsi="Times New Roman"/>
                <w:b w:val="0"/>
                <w:i w:val="0"/>
                <w:sz w:val="20"/>
              </w:rPr>
              <w:t>Full convergence observed within one epoch</w:t>
            </w:r>
          </w:p>
        </w:tc>
      </w:tr>
      <w:tr>
        <w:tc>
          <w:tcPr>
            <w:tcW w:type="dxa" w:w="3168"/>
            <w:shd w:fill="F0F4F8" w:val="clear"/>
          </w:tcPr>
          <w:p>
            <w:pPr>
              <w:jc w:val="left"/>
            </w:pPr>
            <w:r>
              <w:rPr>
                <w:rFonts w:ascii="Times New Roman" w:hAnsi="Times New Roman"/>
                <w:b w:val="0"/>
                <w:i w:val="0"/>
                <w:sz w:val="20"/>
              </w:rPr>
              <w:t>Checkpointing</w:t>
            </w:r>
          </w:p>
        </w:tc>
        <w:tc>
          <w:tcPr>
            <w:tcW w:type="dxa" w:w="2592"/>
            <w:shd w:fill="F0F4F8" w:val="clear"/>
          </w:tcPr>
          <w:p>
            <w:pPr>
              <w:jc w:val="center"/>
            </w:pPr>
            <w:r>
              <w:rPr>
                <w:rFonts w:ascii="Times New Roman" w:hAnsi="Times New Roman"/>
                <w:b w:val="0"/>
                <w:i w:val="0"/>
                <w:sz w:val="20"/>
              </w:rPr>
              <w:t>Every 250 steps</w:t>
            </w:r>
          </w:p>
        </w:tc>
        <w:tc>
          <w:tcPr>
            <w:tcW w:type="dxa" w:w="3744"/>
            <w:shd w:fill="F0F4F8" w:val="clear"/>
          </w:tcPr>
          <w:p>
            <w:pPr>
              <w:jc w:val="center"/>
            </w:pPr>
            <w:r>
              <w:rPr>
                <w:rFonts w:ascii="Times New Roman" w:hAnsi="Times New Roman"/>
                <w:b w:val="0"/>
                <w:i w:val="0"/>
                <w:sz w:val="20"/>
              </w:rPr>
              <w:t>Enables checkpoint comparison and resume capability</w:t>
            </w:r>
          </w:p>
        </w:tc>
      </w:tr>
      <w:tr>
        <w:tc>
          <w:tcPr>
            <w:tcW w:type="dxa" w:w="3168"/>
          </w:tcPr>
          <w:p>
            <w:pPr>
              <w:jc w:val="left"/>
            </w:pPr>
            <w:r>
              <w:rPr>
                <w:rFonts w:ascii="Times New Roman" w:hAnsi="Times New Roman"/>
                <w:b w:val="0"/>
                <w:i w:val="0"/>
                <w:sz w:val="20"/>
              </w:rPr>
              <w:t>Hardware</w:t>
            </w:r>
          </w:p>
        </w:tc>
        <w:tc>
          <w:tcPr>
            <w:tcW w:type="dxa" w:w="2592"/>
          </w:tcPr>
          <w:p>
            <w:pPr>
              <w:jc w:val="center"/>
            </w:pPr>
            <w:r>
              <w:rPr>
                <w:rFonts w:ascii="Times New Roman" w:hAnsi="Times New Roman"/>
                <w:b w:val="0"/>
                <w:i w:val="0"/>
                <w:sz w:val="20"/>
              </w:rPr>
              <w:t>NVIDIA RTX 5080 (16 GB)</w:t>
            </w:r>
          </w:p>
        </w:tc>
        <w:tc>
          <w:tcPr>
            <w:tcW w:type="dxa" w:w="3744"/>
          </w:tcPr>
          <w:p>
            <w:pPr>
              <w:jc w:val="center"/>
            </w:pPr>
            <w:r>
              <w:rPr>
                <w:rFonts w:ascii="Times New Roman" w:hAnsi="Times New Roman"/>
                <w:b w:val="0"/>
                <w:i w:val="0"/>
                <w:sz w:val="20"/>
              </w:rPr>
              <w:t>Consumer GPU; demonstrates accessibility of approach</w:t>
            </w:r>
          </w:p>
        </w:tc>
      </w:tr>
      <w:tr>
        <w:tc>
          <w:tcPr>
            <w:tcW w:type="dxa" w:w="3168"/>
            <w:shd w:fill="F0F4F8" w:val="clear"/>
          </w:tcPr>
          <w:p>
            <w:pPr>
              <w:jc w:val="left"/>
            </w:pPr>
            <w:r>
              <w:rPr>
                <w:rFonts w:ascii="Times New Roman" w:hAnsi="Times New Roman"/>
                <w:b w:val="0"/>
                <w:i w:val="0"/>
                <w:sz w:val="20"/>
              </w:rPr>
              <w:t>Training framework</w:t>
            </w:r>
          </w:p>
        </w:tc>
        <w:tc>
          <w:tcPr>
            <w:tcW w:type="dxa" w:w="2592"/>
            <w:shd w:fill="F0F4F8" w:val="clear"/>
          </w:tcPr>
          <w:p>
            <w:pPr>
              <w:jc w:val="center"/>
            </w:pPr>
            <w:r>
              <w:rPr>
                <w:rFonts w:ascii="Times New Roman" w:hAnsi="Times New Roman"/>
                <w:b w:val="0"/>
                <w:i w:val="0"/>
                <w:sz w:val="20"/>
              </w:rPr>
              <w:t>Unsloth + SFTTrainer</w:t>
            </w:r>
          </w:p>
        </w:tc>
        <w:tc>
          <w:tcPr>
            <w:tcW w:type="dxa" w:w="3744"/>
            <w:shd w:fill="F0F4F8" w:val="clear"/>
          </w:tcPr>
          <w:p>
            <w:pPr>
              <w:jc w:val="center"/>
            </w:pPr>
            <w:r>
              <w:rPr>
                <w:rFonts w:ascii="Times New Roman" w:hAnsi="Times New Roman"/>
                <w:b w:val="0"/>
                <w:i w:val="0"/>
                <w:sz w:val="20"/>
              </w:rPr>
              <w:t>2–3× faster than vanilla HuggingFace training</w:t>
            </w:r>
          </w:p>
        </w:tc>
      </w:tr>
    </w:tbl>
    <w:p>
      <w:pPr>
        <w:spacing w:before="80" w:after="200"/>
        <w:jc w:val="center"/>
      </w:pPr>
      <w:r>
        <w:rPr>
          <w:rFonts w:ascii="Times New Roman" w:hAnsi="Times New Roman"/>
          <w:b w:val="0"/>
          <w:i/>
          <w:sz w:val="20"/>
        </w:rPr>
        <w:t>Table 4. Training hyperparameters and rationale.</w:t>
      </w:r>
    </w:p>
    <w:p>
      <w:pPr>
        <w:pStyle w:val="Heading2"/>
        <w:spacing w:before="240" w:after="80"/>
        <w:jc w:val="left"/>
      </w:pPr>
      <w:r>
        <w:rPr>
          <w:rFonts w:ascii="Times New Roman" w:hAnsi="Times New Roman"/>
          <w:b/>
          <w:i w:val="0"/>
          <w:color w:val="000000"/>
          <w:sz w:val="24"/>
        </w:rPr>
        <w:t>7.4 Unified Inference Prompt</w:t>
      </w:r>
    </w:p>
    <w:p>
      <w:pPr>
        <w:spacing w:after="120" w:before="0"/>
        <w:jc w:val="both"/>
      </w:pPr>
      <w:r>
        <w:rPr>
          <w:rFonts w:ascii="Times New Roman" w:hAnsi="Times New Roman"/>
          <w:b w:val="0"/>
          <w:i w:val="0"/>
          <w:sz w:val="22"/>
        </w:rPr>
        <w:t>A single prompt template is used for all document classes, page positions, and field types. The prompt encodes previous-page context, specifies the conditional JSON output schema (START vs. CONTINUATION format), lists all 12 valid class names, and includes explicit anti-hallucination instructions:</w:t>
      </w:r>
    </w:p>
    <w:p>
      <w:pPr>
        <w:spacing w:after="120" w:before="0"/>
        <w:ind w:left="576"/>
        <w:jc w:val="both"/>
      </w:pPr>
      <w:r>
        <w:rPr>
          <w:rFonts w:ascii="Times New Roman" w:hAnsi="Times New Roman"/>
          <w:b w:val="0"/>
          <w:i w:val="0"/>
          <w:sz w:val="22"/>
        </w:rPr>
        <w:t>"Analyze this freight logistics document page. Previous page: {prev}. Output a single JSON line. If this is the START (first page of a new document): {\"class\": \"...\", \"position\": \"START\", [11 fields]}. If this is a CONTINUATION: {\"class\": \"...\", \"position\": \"CONTINUATION\"}. Rules: Output ONLY values clearly printed and readable on this page. If a field is blank, missing, or unreadable, output null. Do NOT invent, guess, or fill in values from memory."</w:t>
      </w:r>
    </w:p>
    <w:p>
      <w:pPr>
        <w:spacing w:after="120" w:before="0"/>
        <w:jc w:val="both"/>
      </w:pPr>
      <w:r>
        <w:rPr>
          <w:rFonts w:ascii="Times New Roman" w:hAnsi="Times New Roman"/>
          <w:b w:val="0"/>
          <w:i w:val="0"/>
          <w:sz w:val="22"/>
        </w:rPr>
        <w:t>The anti-hallucination rules proved critical for production robustness: without explicit null-output instructions and corresponding blank-form training examples, the model hallucinated values on 12.5% of blank documents (v2 behaviour).</w:t>
      </w:r>
    </w:p>
    <w:p>
      <w:pPr>
        <w:pStyle w:val="Heading2"/>
        <w:spacing w:before="240" w:after="80"/>
        <w:jc w:val="left"/>
      </w:pPr>
      <w:r>
        <w:rPr>
          <w:rFonts w:ascii="Times New Roman" w:hAnsi="Times New Roman"/>
          <w:b/>
          <w:i w:val="0"/>
          <w:color w:val="000000"/>
          <w:sz w:val="24"/>
        </w:rPr>
        <w:t>7.5 Post-Training Model Merging</w:t>
      </w:r>
    </w:p>
    <w:p>
      <w:pPr>
        <w:spacing w:after="120" w:before="0"/>
        <w:jc w:val="both"/>
      </w:pPr>
      <w:r>
        <w:rPr>
          <w:rFonts w:ascii="Times New Roman" w:hAnsi="Times New Roman"/>
          <w:b w:val="0"/>
          <w:i w:val="0"/>
          <w:sz w:val="22"/>
        </w:rPr>
        <w:t>After training, LoRA adapter weights are merged into the base model via PEFT's merge_and_unload() to produce a standalone bfloat16 model (~6.5 GB). The merged model eliminates PEFT overhead at inference time, reducing per-page latency from ~8s (with LoRA adapter loading) to ~6s on RTX 5080. Merging is performed using plain PEFT + transformers without Unsloth, avoiding a known Unsloth save bug when the base model originates from a local directory.</w:t>
      </w:r>
    </w:p>
    <w:p>
      <w:pPr>
        <w:pStyle w:val="Heading2"/>
        <w:spacing w:before="240" w:after="80"/>
        <w:jc w:val="left"/>
      </w:pPr>
      <w:r>
        <w:rPr>
          <w:rFonts w:ascii="Times New Roman" w:hAnsi="Times New Roman"/>
          <w:b/>
          <w:i w:val="0"/>
          <w:color w:val="000000"/>
          <w:sz w:val="24"/>
        </w:rPr>
        <w:t>7.6 Inference Pipeline Optimisation</w:t>
      </w:r>
    </w:p>
    <w:p>
      <w:pPr>
        <w:spacing w:after="120" w:before="0"/>
        <w:jc w:val="both"/>
      </w:pPr>
      <w:r>
        <w:rPr>
          <w:rFonts w:ascii="Times New Roman" w:hAnsi="Times New Roman"/>
          <w:b w:val="0"/>
          <w:i w:val="0"/>
          <w:sz w:val="22"/>
        </w:rPr>
        <w:t>Deploying a VLM in a document processing pipeline introduces latency requirements that are fundamentally different from training. A freight operator processing a 20-page bundle needs results in seconds, not minutes. We identify and address five distinct sources of inference latency.</w:t>
      </w:r>
    </w:p>
    <w:p>
      <w:pPr>
        <w:pStyle w:val="Heading3"/>
        <w:spacing w:before="240" w:after="80"/>
        <w:jc w:val="left"/>
      </w:pPr>
      <w:r>
        <w:rPr>
          <w:rFonts w:ascii="Times New Roman" w:hAnsi="Times New Roman"/>
          <w:b/>
          <w:i/>
          <w:color w:val="000000"/>
          <w:sz w:val="22"/>
        </w:rPr>
        <w:t>Model Persistence Across Requests</w:t>
      </w:r>
    </w:p>
    <w:p>
      <w:pPr>
        <w:spacing w:after="120" w:before="0"/>
        <w:jc w:val="both"/>
      </w:pPr>
      <w:r>
        <w:rPr>
          <w:rFonts w:ascii="Times New Roman" w:hAnsi="Times New Roman"/>
          <w:b w:val="0"/>
          <w:i w:val="0"/>
          <w:sz w:val="22"/>
        </w:rPr>
        <w:t>The most significant latency reduction comes from a deployment architecture change rather than a model change: loading the model once into GPU memory at application startup and serving all subsequent requests from the resident model, rather than loading per request. Model loading for a 3B VLM involves reading ~6.5 GB from disk, initialising CUDA memory, and reconstructing the model graph — a process that takes 25-40 seconds on a typical NVMe drive. By contrast, inference on a loaded model takes ~6 seconds per page. For a 10-page document, the loading cost represents an 83% overhead if incurred per request. Persistent model serving eliminates this cost entirely, reducing end-to-end latency for a 10-page document from ~100s to ~60s.</w:t>
      </w:r>
    </w:p>
    <w:p>
      <w:pPr>
        <w:pStyle w:val="Heading3"/>
        <w:spacing w:before="240" w:after="80"/>
        <w:jc w:val="left"/>
      </w:pPr>
      <w:r>
        <w:rPr>
          <w:rFonts w:ascii="Times New Roman" w:hAnsi="Times New Roman"/>
          <w:b/>
          <w:i/>
          <w:color w:val="000000"/>
          <w:sz w:val="22"/>
        </w:rPr>
        <w:t>LoRA Adapter Merging for Inference Efficiency</w:t>
      </w:r>
    </w:p>
    <w:p>
      <w:pPr>
        <w:spacing w:after="120" w:before="0"/>
        <w:jc w:val="both"/>
      </w:pPr>
      <w:r>
        <w:rPr>
          <w:rFonts w:ascii="Times New Roman" w:hAnsi="Times New Roman"/>
          <w:b w:val="0"/>
          <w:i w:val="0"/>
          <w:sz w:val="22"/>
        </w:rPr>
        <w:t>The LoRA fine-tuning procedure produces a base model plus a set of low-rank adapter matrices. At inference time, adapter application requires additional matrix operations per layer — approximately 7-8% additional computation per forward pass compared to a merged model. More significantly, PEFT-based loading incurs framework overhead: adapter weight loading, adapter activation, and per-layer dispatch logic. Merging the adapter weights permanently into the base model weights via merge_and_unload() eliminates all of this overhead, producing a model functionally identical to the adapted version but loading and executing as a standard HuggingFace model with zero adapter overhead. The merged model is stored once (~6.5 GB) and reused across deployments.</w:t>
      </w:r>
    </w:p>
    <w:p>
      <w:pPr>
        <w:pStyle w:val="Heading3"/>
        <w:spacing w:before="240" w:after="80"/>
        <w:jc w:val="left"/>
      </w:pPr>
      <w:r>
        <w:rPr>
          <w:rFonts w:ascii="Times New Roman" w:hAnsi="Times New Roman"/>
          <w:b/>
          <w:i/>
          <w:color w:val="000000"/>
          <w:sz w:val="22"/>
        </w:rPr>
        <w:t>Visual Token Budget Reduction</w:t>
      </w:r>
    </w:p>
    <w:p>
      <w:pPr>
        <w:spacing w:after="120" w:before="0"/>
        <w:jc w:val="both"/>
      </w:pPr>
      <w:r>
        <w:rPr>
          <w:rFonts w:ascii="Times New Roman" w:hAnsi="Times New Roman"/>
          <w:b w:val="0"/>
          <w:i w:val="0"/>
          <w:sz w:val="22"/>
        </w:rPr>
        <w:t>Qwen2.5-VL's dynamic resolution mechanism produces a number of visual tokens proportional to image size: a 1024×1024 image generates approximately 1,344 visual tokens, while a 784×784 image generates approximately 784 tokens. These visual tokens dominate the total sequence length (typically 65-75% of all tokens) and directly determine the attention computation cost, which scales quadratically with sequence length. We set a maximum pixel budget of 384,000 pixels (~620×620 effective resolution), which produces approximately 490 visual tokens — a 45% reduction from an unconstrained 640,000-pixel budget. This reduces per-page inference time from ~11s to ~6s with negligible impact on extraction accuracy: freight document text at the targeted resolution remains fully legible, as most field values are printed at font sizes well above the minimum readable threshold at this resolution.</w:t>
      </w:r>
    </w:p>
    <w:p>
      <w:pPr>
        <w:pStyle w:val="Heading3"/>
        <w:spacing w:before="240" w:after="80"/>
        <w:jc w:val="left"/>
      </w:pPr>
      <w:r>
        <w:rPr>
          <w:rFonts w:ascii="Times New Roman" w:hAnsi="Times New Roman"/>
          <w:b/>
          <w:i/>
          <w:color w:val="000000"/>
          <w:sz w:val="22"/>
        </w:rPr>
        <w:t>Attention Implementation and Precision</w:t>
      </w:r>
    </w:p>
    <w:p>
      <w:pPr>
        <w:spacing w:after="120" w:before="0"/>
        <w:jc w:val="both"/>
      </w:pPr>
      <w:r>
        <w:rPr>
          <w:rFonts w:ascii="Times New Roman" w:hAnsi="Times New Roman"/>
          <w:b w:val="0"/>
          <w:i w:val="0"/>
          <w:sz w:val="22"/>
        </w:rPr>
        <w:t>Two hardware-level optimisations contribute to inference throughput. First, replacing the default eager attention implementation with PyTorch's Scaled Dot-Product Attention (SDPA) — which fuses the query-key-value computation into a single kernel with improved memory access patterns — reduces attention computation time by approximately 15-20% on modern CUDA hardware. Second, enabling TF32 (TensorFloat-32) for matrix multiplications on Ampere and later GPU architectures allows the GPU to perform 32-bit precision accumulation with 19-bit mantissa storage, achieving near-full-precision results at approximately 8× the throughput of IEEE float32. For inference tasks where exact numerical precision is not required — and document extraction is such a task — TF32 represents a free throughput improvement with no accuracy cost.</w:t>
      </w:r>
    </w:p>
    <w:p>
      <w:pPr>
        <w:pStyle w:val="Heading3"/>
        <w:spacing w:before="240" w:after="80"/>
        <w:jc w:val="left"/>
      </w:pPr>
      <w:r>
        <w:rPr>
          <w:rFonts w:ascii="Times New Roman" w:hAnsi="Times New Roman"/>
          <w:b/>
          <w:i/>
          <w:color w:val="000000"/>
          <w:sz w:val="22"/>
        </w:rPr>
        <w:t>End-to-End Latency Profile</w:t>
      </w:r>
    </w:p>
    <w:p>
      <w:pPr>
        <w:spacing w:after="120" w:before="0"/>
        <w:jc w:val="both"/>
      </w:pPr>
      <w:r>
        <w:rPr>
          <w:rFonts w:ascii="Times New Roman" w:hAnsi="Times New Roman"/>
          <w:b w:val="0"/>
          <w:i w:val="0"/>
          <w:sz w:val="22"/>
        </w:rPr>
        <w:t>Table 5 summarises the measured latency contribution of each optimisation on a single NVIDIA RTX 5080 (16 GB, GDDR7), processing an 8-page mixed freight bundle.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shd w:fill="2E4057" w:color="FFFFFF" w:val="clear"/>
          </w:tcPr>
          <w:p>
            <w:pPr>
              <w:jc w:val="center"/>
            </w:pPr>
            <w:r>
              <w:rPr>
                <w:rFonts w:ascii="Times New Roman" w:hAnsi="Times New Roman"/>
                <w:b/>
                <w:i w:val="0"/>
                <w:color w:val="FFFFFF"/>
                <w:sz w:val="20"/>
              </w:rPr>
              <w:t>Optimisation</w:t>
            </w:r>
          </w:p>
        </w:tc>
        <w:tc>
          <w:tcPr>
            <w:tcW w:type="dxa" w:w="2304"/>
            <w:shd w:fill="2E4057" w:color="FFFFFF" w:val="clear"/>
          </w:tcPr>
          <w:p>
            <w:pPr>
              <w:jc w:val="center"/>
            </w:pPr>
            <w:r>
              <w:rPr>
                <w:rFonts w:ascii="Times New Roman" w:hAnsi="Times New Roman"/>
                <w:b/>
                <w:i w:val="0"/>
                <w:color w:val="FFFFFF"/>
                <w:sz w:val="20"/>
              </w:rPr>
              <w:t>Latency (8-page bundle)</w:t>
            </w:r>
          </w:p>
        </w:tc>
        <w:tc>
          <w:tcPr>
            <w:tcW w:type="dxa" w:w="1296"/>
            <w:shd w:fill="2E4057" w:color="FFFFFF" w:val="clear"/>
          </w:tcPr>
          <w:p>
            <w:pPr>
              <w:jc w:val="center"/>
            </w:pPr>
            <w:r>
              <w:rPr>
                <w:rFonts w:ascii="Times New Roman" w:hAnsi="Times New Roman"/>
                <w:b/>
                <w:i w:val="0"/>
                <w:color w:val="FFFFFF"/>
                <w:sz w:val="20"/>
              </w:rPr>
              <w:t>Reduction</w:t>
            </w:r>
          </w:p>
        </w:tc>
        <w:tc>
          <w:tcPr>
            <w:tcW w:type="dxa" w:w="2880"/>
            <w:shd w:fill="2E4057" w:color="FFFFFF" w:val="clear"/>
          </w:tcPr>
          <w:p>
            <w:pPr>
              <w:jc w:val="center"/>
            </w:pPr>
            <w:r>
              <w:rPr>
                <w:rFonts w:ascii="Times New Roman" w:hAnsi="Times New Roman"/>
                <w:b/>
                <w:i w:val="0"/>
                <w:color w:val="FFFFFF"/>
                <w:sz w:val="20"/>
              </w:rPr>
              <w:t>Mechanism</w:t>
            </w:r>
          </w:p>
        </w:tc>
      </w:tr>
      <w:tr>
        <w:tc>
          <w:tcPr>
            <w:tcW w:type="dxa" w:w="3744"/>
            <w:shd w:fill="F0F4F8" w:val="clear"/>
          </w:tcPr>
          <w:p>
            <w:pPr>
              <w:jc w:val="left"/>
            </w:pPr>
            <w:r>
              <w:rPr>
                <w:rFonts w:ascii="Times New Roman" w:hAnsi="Times New Roman"/>
                <w:b w:val="0"/>
                <w:i w:val="0"/>
                <w:sz w:val="20"/>
              </w:rPr>
              <w:t>Baseline (cold load, full res)</w:t>
            </w:r>
          </w:p>
        </w:tc>
        <w:tc>
          <w:tcPr>
            <w:tcW w:type="dxa" w:w="2304"/>
            <w:shd w:fill="F0F4F8" w:val="clear"/>
          </w:tcPr>
          <w:p>
            <w:pPr>
              <w:jc w:val="center"/>
            </w:pPr>
            <w:r>
              <w:rPr>
                <w:rFonts w:ascii="Times New Roman" w:hAnsi="Times New Roman"/>
                <w:b w:val="0"/>
                <w:i w:val="0"/>
                <w:sz w:val="20"/>
              </w:rPr>
              <w:t>~155s</w:t>
            </w:r>
          </w:p>
        </w:tc>
        <w:tc>
          <w:tcPr>
            <w:tcW w:type="dxa" w:w="1296"/>
            <w:shd w:fill="F0F4F8" w:val="clear"/>
          </w:tcPr>
          <w:p>
            <w:pPr>
              <w:jc w:val="center"/>
            </w:pPr>
            <w:r>
              <w:rPr>
                <w:rFonts w:ascii="Times New Roman" w:hAnsi="Times New Roman"/>
                <w:b w:val="0"/>
                <w:i w:val="0"/>
                <w:sz w:val="20"/>
              </w:rPr>
              <w:t>—</w:t>
            </w:r>
          </w:p>
        </w:tc>
        <w:tc>
          <w:tcPr>
            <w:tcW w:type="dxa" w:w="2880"/>
            <w:shd w:fill="F0F4F8" w:val="clear"/>
          </w:tcPr>
          <w:p>
            <w:pPr>
              <w:jc w:val="center"/>
            </w:pPr>
            <w:r>
              <w:rPr>
                <w:rFonts w:ascii="Times New Roman" w:hAnsi="Times New Roman"/>
                <w:b w:val="0"/>
                <w:i w:val="0"/>
                <w:sz w:val="20"/>
              </w:rPr>
              <w:t>Model load + PEFT + 1,344 tok/page</w:t>
            </w:r>
          </w:p>
        </w:tc>
      </w:tr>
      <w:tr>
        <w:tc>
          <w:tcPr>
            <w:tcW w:type="dxa" w:w="3744"/>
          </w:tcPr>
          <w:p>
            <w:pPr>
              <w:jc w:val="left"/>
            </w:pPr>
            <w:r>
              <w:rPr>
                <w:rFonts w:ascii="Times New Roman" w:hAnsi="Times New Roman"/>
                <w:b w:val="0"/>
                <w:i w:val="0"/>
                <w:sz w:val="20"/>
              </w:rPr>
              <w:t>+ Persistent model serving</w:t>
            </w:r>
          </w:p>
        </w:tc>
        <w:tc>
          <w:tcPr>
            <w:tcW w:type="dxa" w:w="2304"/>
          </w:tcPr>
          <w:p>
            <w:pPr>
              <w:jc w:val="center"/>
            </w:pPr>
            <w:r>
              <w:rPr>
                <w:rFonts w:ascii="Times New Roman" w:hAnsi="Times New Roman"/>
                <w:b w:val="0"/>
                <w:i w:val="0"/>
                <w:sz w:val="20"/>
              </w:rPr>
              <w:t>~88s</w:t>
            </w:r>
          </w:p>
        </w:tc>
        <w:tc>
          <w:tcPr>
            <w:tcW w:type="dxa" w:w="1296"/>
          </w:tcPr>
          <w:p>
            <w:pPr>
              <w:jc w:val="center"/>
            </w:pPr>
            <w:r>
              <w:rPr>
                <w:rFonts w:ascii="Times New Roman" w:hAnsi="Times New Roman"/>
                <w:b w:val="0"/>
                <w:i w:val="0"/>
                <w:sz w:val="20"/>
              </w:rPr>
              <w:t>−43%</w:t>
            </w:r>
          </w:p>
        </w:tc>
        <w:tc>
          <w:tcPr>
            <w:tcW w:type="dxa" w:w="2880"/>
          </w:tcPr>
          <w:p>
            <w:pPr>
              <w:jc w:val="center"/>
            </w:pPr>
            <w:r>
              <w:rPr>
                <w:rFonts w:ascii="Times New Roman" w:hAnsi="Times New Roman"/>
                <w:b w:val="0"/>
                <w:i w:val="0"/>
                <w:sz w:val="20"/>
              </w:rPr>
              <w:t>Eliminates 30-40s load per request</w:t>
            </w:r>
          </w:p>
        </w:tc>
      </w:tr>
      <w:tr>
        <w:tc>
          <w:tcPr>
            <w:tcW w:type="dxa" w:w="3744"/>
            <w:shd w:fill="F0F4F8" w:val="clear"/>
          </w:tcPr>
          <w:p>
            <w:pPr>
              <w:jc w:val="left"/>
            </w:pPr>
            <w:r>
              <w:rPr>
                <w:rFonts w:ascii="Times New Roman" w:hAnsi="Times New Roman"/>
                <w:b w:val="0"/>
                <w:i w:val="0"/>
                <w:sz w:val="20"/>
              </w:rPr>
              <w:t>+ LoRA merging</w:t>
            </w:r>
          </w:p>
        </w:tc>
        <w:tc>
          <w:tcPr>
            <w:tcW w:type="dxa" w:w="2304"/>
            <w:shd w:fill="F0F4F8" w:val="clear"/>
          </w:tcPr>
          <w:p>
            <w:pPr>
              <w:jc w:val="center"/>
            </w:pPr>
            <w:r>
              <w:rPr>
                <w:rFonts w:ascii="Times New Roman" w:hAnsi="Times New Roman"/>
                <w:b w:val="0"/>
                <w:i w:val="0"/>
                <w:sz w:val="20"/>
              </w:rPr>
              <w:t>~80s</w:t>
            </w:r>
          </w:p>
        </w:tc>
        <w:tc>
          <w:tcPr>
            <w:tcW w:type="dxa" w:w="1296"/>
            <w:shd w:fill="F0F4F8" w:val="clear"/>
          </w:tcPr>
          <w:p>
            <w:pPr>
              <w:jc w:val="center"/>
            </w:pPr>
            <w:r>
              <w:rPr>
                <w:rFonts w:ascii="Times New Roman" w:hAnsi="Times New Roman"/>
                <w:b w:val="0"/>
                <w:i w:val="0"/>
                <w:sz w:val="20"/>
              </w:rPr>
              <w:t>−9%</w:t>
            </w:r>
          </w:p>
        </w:tc>
        <w:tc>
          <w:tcPr>
            <w:tcW w:type="dxa" w:w="2880"/>
            <w:shd w:fill="F0F4F8" w:val="clear"/>
          </w:tcPr>
          <w:p>
            <w:pPr>
              <w:jc w:val="center"/>
            </w:pPr>
            <w:r>
              <w:rPr>
                <w:rFonts w:ascii="Times New Roman" w:hAnsi="Times New Roman"/>
                <w:b w:val="0"/>
                <w:i w:val="0"/>
                <w:sz w:val="20"/>
              </w:rPr>
              <w:t>Removes per-layer adapter dispatch</w:t>
            </w:r>
          </w:p>
        </w:tc>
      </w:tr>
      <w:tr>
        <w:tc>
          <w:tcPr>
            <w:tcW w:type="dxa" w:w="3744"/>
          </w:tcPr>
          <w:p>
            <w:pPr>
              <w:jc w:val="left"/>
            </w:pPr>
            <w:r>
              <w:rPr>
                <w:rFonts w:ascii="Times New Roman" w:hAnsi="Times New Roman"/>
                <w:b w:val="0"/>
                <w:i w:val="0"/>
                <w:sz w:val="20"/>
              </w:rPr>
              <w:t>+ Reduced pixel budget (384K)</w:t>
            </w:r>
          </w:p>
        </w:tc>
        <w:tc>
          <w:tcPr>
            <w:tcW w:type="dxa" w:w="2304"/>
          </w:tcPr>
          <w:p>
            <w:pPr>
              <w:jc w:val="center"/>
            </w:pPr>
            <w:r>
              <w:rPr>
                <w:rFonts w:ascii="Times New Roman" w:hAnsi="Times New Roman"/>
                <w:b w:val="0"/>
                <w:i w:val="0"/>
                <w:sz w:val="20"/>
              </w:rPr>
              <w:t>~50s</w:t>
            </w:r>
          </w:p>
        </w:tc>
        <w:tc>
          <w:tcPr>
            <w:tcW w:type="dxa" w:w="1296"/>
          </w:tcPr>
          <w:p>
            <w:pPr>
              <w:jc w:val="center"/>
            </w:pPr>
            <w:r>
              <w:rPr>
                <w:rFonts w:ascii="Times New Roman" w:hAnsi="Times New Roman"/>
                <w:b w:val="0"/>
                <w:i w:val="0"/>
                <w:sz w:val="20"/>
              </w:rPr>
              <w:t>−38%</w:t>
            </w:r>
          </w:p>
        </w:tc>
        <w:tc>
          <w:tcPr>
            <w:tcW w:type="dxa" w:w="2880"/>
          </w:tcPr>
          <w:p>
            <w:pPr>
              <w:jc w:val="center"/>
            </w:pPr>
            <w:r>
              <w:rPr>
                <w:rFonts w:ascii="Times New Roman" w:hAnsi="Times New Roman"/>
                <w:b w:val="0"/>
                <w:i w:val="0"/>
                <w:sz w:val="20"/>
              </w:rPr>
              <w:t>490 vs 1,344 visual tokens per page</w:t>
            </w:r>
          </w:p>
        </w:tc>
      </w:tr>
      <w:tr>
        <w:tc>
          <w:tcPr>
            <w:tcW w:type="dxa" w:w="3744"/>
            <w:shd w:fill="F0F4F8" w:val="clear"/>
          </w:tcPr>
          <w:p>
            <w:pPr>
              <w:jc w:val="left"/>
            </w:pPr>
            <w:r>
              <w:rPr>
                <w:rFonts w:ascii="Times New Roman" w:hAnsi="Times New Roman"/>
                <w:b w:val="0"/>
                <w:i w:val="0"/>
                <w:sz w:val="20"/>
              </w:rPr>
              <w:t>+ SDPA + TF32</w:t>
            </w:r>
          </w:p>
        </w:tc>
        <w:tc>
          <w:tcPr>
            <w:tcW w:type="dxa" w:w="2304"/>
            <w:shd w:fill="F0F4F8" w:val="clear"/>
          </w:tcPr>
          <w:p>
            <w:pPr>
              <w:jc w:val="center"/>
            </w:pPr>
            <w:r>
              <w:rPr>
                <w:rFonts w:ascii="Times New Roman" w:hAnsi="Times New Roman"/>
                <w:b w:val="0"/>
                <w:i w:val="0"/>
                <w:sz w:val="20"/>
              </w:rPr>
              <w:t>~43s</w:t>
            </w:r>
          </w:p>
        </w:tc>
        <w:tc>
          <w:tcPr>
            <w:tcW w:type="dxa" w:w="1296"/>
            <w:shd w:fill="F0F4F8" w:val="clear"/>
          </w:tcPr>
          <w:p>
            <w:pPr>
              <w:jc w:val="center"/>
            </w:pPr>
            <w:r>
              <w:rPr>
                <w:rFonts w:ascii="Times New Roman" w:hAnsi="Times New Roman"/>
                <w:b w:val="0"/>
                <w:i w:val="0"/>
                <w:sz w:val="20"/>
              </w:rPr>
              <w:t>−14%</w:t>
            </w:r>
          </w:p>
        </w:tc>
        <w:tc>
          <w:tcPr>
            <w:tcW w:type="dxa" w:w="2880"/>
            <w:shd w:fill="F0F4F8" w:val="clear"/>
          </w:tcPr>
          <w:p>
            <w:pPr>
              <w:jc w:val="center"/>
            </w:pPr>
            <w:r>
              <w:rPr>
                <w:rFonts w:ascii="Times New Roman" w:hAnsi="Times New Roman"/>
                <w:b w:val="0"/>
                <w:i w:val="0"/>
                <w:sz w:val="20"/>
              </w:rPr>
              <w:t>Fused attention + TF32 matmul</w:t>
            </w:r>
          </w:p>
        </w:tc>
      </w:tr>
      <w:tr>
        <w:tc>
          <w:tcPr>
            <w:tcW w:type="dxa" w:w="3744"/>
          </w:tcPr>
          <w:p>
            <w:pPr>
              <w:jc w:val="left"/>
            </w:pPr>
            <w:r>
              <w:rPr>
                <w:rFonts w:ascii="Times New Roman" w:hAnsi="Times New Roman"/>
                <w:b w:val="0"/>
                <w:i w:val="0"/>
                <w:sz w:val="20"/>
              </w:rPr>
              <w:t>Final optimised pipeline</w:t>
            </w:r>
          </w:p>
        </w:tc>
        <w:tc>
          <w:tcPr>
            <w:tcW w:type="dxa" w:w="2304"/>
          </w:tcPr>
          <w:p>
            <w:pPr>
              <w:jc w:val="center"/>
            </w:pPr>
            <w:r>
              <w:rPr>
                <w:rFonts w:ascii="Times New Roman" w:hAnsi="Times New Roman"/>
                <w:b w:val="0"/>
                <w:i w:val="0"/>
                <w:sz w:val="20"/>
              </w:rPr>
              <w:t>~43s</w:t>
            </w:r>
          </w:p>
        </w:tc>
        <w:tc>
          <w:tcPr>
            <w:tcW w:type="dxa" w:w="1296"/>
          </w:tcPr>
          <w:p>
            <w:pPr>
              <w:jc w:val="center"/>
            </w:pPr>
            <w:r>
              <w:rPr>
                <w:rFonts w:ascii="Times New Roman" w:hAnsi="Times New Roman"/>
                <w:b w:val="0"/>
                <w:i w:val="0"/>
                <w:sz w:val="20"/>
              </w:rPr>
              <w:t>−72%</w:t>
            </w:r>
          </w:p>
        </w:tc>
        <w:tc>
          <w:tcPr>
            <w:tcW w:type="dxa" w:w="2880"/>
          </w:tcPr>
          <w:p>
            <w:pPr>
              <w:jc w:val="center"/>
            </w:pPr>
            <w:r>
              <w:rPr>
                <w:rFonts w:ascii="Times New Roman" w:hAnsi="Times New Roman"/>
                <w:b w:val="0"/>
                <w:i w:val="0"/>
                <w:sz w:val="20"/>
              </w:rPr>
              <w:t>~5.4s per page end-to-end</w:t>
            </w:r>
          </w:p>
        </w:tc>
      </w:tr>
    </w:tbl>
    <w:p>
      <w:pPr>
        <w:spacing w:before="80" w:after="200"/>
        <w:jc w:val="center"/>
      </w:pPr>
      <w:r>
        <w:rPr>
          <w:rFonts w:ascii="Times New Roman" w:hAnsi="Times New Roman"/>
          <w:b w:val="0"/>
          <w:i/>
          <w:sz w:val="20"/>
        </w:rPr>
        <w:t>Table 5. Inference latency optimisation stack on RTX 5080 (16 GB), 8-page bundle.</w:t>
      </w:r>
    </w:p>
    <w:p>
      <w:pPr>
        <w:spacing w:after="120" w:before="0"/>
        <w:jc w:val="both"/>
      </w:pPr>
      <w:r>
        <w:rPr>
          <w:rFonts w:ascii="Times New Roman" w:hAnsi="Times New Roman"/>
          <w:b w:val="0"/>
          <w:i w:val="0"/>
          <w:sz w:val="22"/>
        </w:rPr>
        <w:t>The combined optimisations reduce end-to-end latency from ~155s to ~43s for an 8-page bundle — a 72% reduction — while maintaining extraction accuracy. The dominant optimisation is visual token budget reduction (38%), reflecting the quadratic attention cost of long visual token sequences. For production deployments requiring higher throughput, the optimised per-page latency of ~5.4s enables processing of approximately 670 pages per hour on a single mid-range GPU — sufficient for many operational freight processing workloads.</w:t>
      </w:r>
    </w:p>
    <w:p>
      <w:pPr>
        <w:pStyle w:val="Heading1"/>
        <w:spacing w:before="240" w:after="80"/>
        <w:jc w:val="left"/>
      </w:pPr>
      <w:r>
        <w:rPr>
          <w:rFonts w:ascii="Times New Roman" w:hAnsi="Times New Roman"/>
          <w:b/>
          <w:i w:val="0"/>
          <w:color w:val="000000"/>
          <w:sz w:val="26"/>
        </w:rPr>
        <w:t>8. Evaluation Protocol</w:t>
      </w:r>
    </w:p>
    <w:p>
      <w:pPr>
        <w:pStyle w:val="Heading2"/>
        <w:spacing w:before="240" w:after="80"/>
        <w:jc w:val="left"/>
      </w:pPr>
      <w:r>
        <w:rPr>
          <w:rFonts w:ascii="Times New Roman" w:hAnsi="Times New Roman"/>
          <w:b/>
          <w:i w:val="0"/>
          <w:color w:val="000000"/>
          <w:sz w:val="24"/>
        </w:rPr>
        <w:t>8.1 Evaluation Metrics</w:t>
      </w:r>
    </w:p>
    <w:p>
      <w:pPr>
        <w:spacing w:after="120" w:before="0"/>
        <w:jc w:val="both"/>
      </w:pPr>
      <w:r>
        <w:rPr>
          <w:rFonts w:ascii="Times New Roman" w:hAnsi="Times New Roman"/>
          <w:b w:val="0"/>
          <w:i w:val="0"/>
          <w:sz w:val="22"/>
        </w:rPr>
        <w:t>We evaluate on five metrics covering all three task dimensions. Blank documents are excluded from all accuracy metrics and evaluated separately via hallucination rate — including blank pages in accuracy metrics would artificially inflate scores by rewarding null-output on unambiguous inputs.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fill="2E4057" w:color="FFFFFF" w:val="clear"/>
          </w:tcPr>
          <w:p>
            <w:pPr>
              <w:jc w:val="center"/>
            </w:pPr>
            <w:r>
              <w:rPr>
                <w:rFonts w:ascii="Times New Roman" w:hAnsi="Times New Roman"/>
                <w:b/>
                <w:i w:val="0"/>
                <w:color w:val="FFFFFF"/>
                <w:sz w:val="20"/>
              </w:rPr>
              <w:t>Metric</w:t>
            </w:r>
          </w:p>
        </w:tc>
        <w:tc>
          <w:tcPr>
            <w:tcW w:type="dxa" w:w="4320"/>
            <w:shd w:fill="2E4057" w:color="FFFFFF" w:val="clear"/>
          </w:tcPr>
          <w:p>
            <w:pPr>
              <w:jc w:val="center"/>
            </w:pPr>
            <w:r>
              <w:rPr>
                <w:rFonts w:ascii="Times New Roman" w:hAnsi="Times New Roman"/>
                <w:b/>
                <w:i w:val="0"/>
                <w:color w:val="FFFFFF"/>
                <w:sz w:val="20"/>
              </w:rPr>
              <w:t>Definition</w:t>
            </w:r>
          </w:p>
        </w:tc>
        <w:tc>
          <w:tcPr>
            <w:tcW w:type="dxa" w:w="1872"/>
            <w:shd w:fill="2E4057" w:color="FFFFFF" w:val="clear"/>
          </w:tcPr>
          <w:p>
            <w:pPr>
              <w:jc w:val="center"/>
            </w:pPr>
            <w:r>
              <w:rPr>
                <w:rFonts w:ascii="Times New Roman" w:hAnsi="Times New Roman"/>
                <w:b/>
                <w:i w:val="0"/>
                <w:color w:val="FFFFFF"/>
                <w:sz w:val="20"/>
              </w:rPr>
              <w:t>Task</w:t>
            </w:r>
          </w:p>
        </w:tc>
        <w:tc>
          <w:tcPr>
            <w:tcW w:type="dxa" w:w="1440"/>
            <w:shd w:fill="2E4057" w:color="FFFFFF" w:val="clear"/>
          </w:tcPr>
          <w:p>
            <w:pPr>
              <w:jc w:val="center"/>
            </w:pPr>
            <w:r>
              <w:rPr>
                <w:rFonts w:ascii="Times New Roman" w:hAnsi="Times New Roman"/>
                <w:b/>
                <w:i w:val="0"/>
                <w:color w:val="FFFFFF"/>
                <w:sz w:val="20"/>
              </w:rPr>
              <w:t>Granularity</w:t>
            </w:r>
          </w:p>
        </w:tc>
      </w:tr>
      <w:tr>
        <w:tc>
          <w:tcPr>
            <w:tcW w:type="dxa" w:w="2016"/>
            <w:shd w:fill="F0F4F8" w:val="clear"/>
          </w:tcPr>
          <w:p>
            <w:pPr>
              <w:jc w:val="left"/>
            </w:pPr>
            <w:r>
              <w:rPr>
                <w:rFonts w:ascii="Times New Roman" w:hAnsi="Times New Roman"/>
                <w:b w:val="0"/>
                <w:i w:val="0"/>
                <w:sz w:val="20"/>
              </w:rPr>
              <w:t>Classification</w:t>
              <w:br/>
              <w:t>Accuracy</w:t>
            </w:r>
          </w:p>
        </w:tc>
        <w:tc>
          <w:tcPr>
            <w:tcW w:type="dxa" w:w="4320"/>
            <w:shd w:fill="F0F4F8" w:val="clear"/>
          </w:tcPr>
          <w:p>
            <w:pPr>
              <w:jc w:val="center"/>
            </w:pPr>
            <w:r>
              <w:rPr>
                <w:rFonts w:ascii="Times New Roman" w:hAnsi="Times New Roman"/>
                <w:b w:val="0"/>
                <w:i w:val="0"/>
                <w:sz w:val="20"/>
              </w:rPr>
              <w:t>Proportion of filled pages where predicted class matches ground truth</w:t>
            </w:r>
          </w:p>
        </w:tc>
        <w:tc>
          <w:tcPr>
            <w:tcW w:type="dxa" w:w="1872"/>
            <w:shd w:fill="F0F4F8" w:val="clear"/>
          </w:tcPr>
          <w:p>
            <w:pPr>
              <w:jc w:val="center"/>
            </w:pPr>
            <w:r>
              <w:rPr>
                <w:rFonts w:ascii="Times New Roman" w:hAnsi="Times New Roman"/>
                <w:b w:val="0"/>
                <w:i w:val="0"/>
                <w:sz w:val="20"/>
              </w:rPr>
              <w:t>Classification</w:t>
            </w:r>
          </w:p>
        </w:tc>
        <w:tc>
          <w:tcPr>
            <w:tcW w:type="dxa" w:w="1440"/>
            <w:shd w:fill="F0F4F8" w:val="clear"/>
          </w:tcPr>
          <w:p>
            <w:pPr>
              <w:jc w:val="center"/>
            </w:pPr>
            <w:r>
              <w:rPr>
                <w:rFonts w:ascii="Times New Roman" w:hAnsi="Times New Roman"/>
                <w:b w:val="0"/>
                <w:i w:val="0"/>
                <w:sz w:val="20"/>
              </w:rPr>
              <w:t>Page</w:t>
            </w:r>
          </w:p>
        </w:tc>
      </w:tr>
      <w:tr>
        <w:tc>
          <w:tcPr>
            <w:tcW w:type="dxa" w:w="2016"/>
          </w:tcPr>
          <w:p>
            <w:pPr>
              <w:jc w:val="left"/>
            </w:pPr>
            <w:r>
              <w:rPr>
                <w:rFonts w:ascii="Times New Roman" w:hAnsi="Times New Roman"/>
                <w:b w:val="0"/>
                <w:i w:val="0"/>
                <w:sz w:val="20"/>
              </w:rPr>
              <w:t>Position</w:t>
              <w:br/>
              <w:t>Accuracy</w:t>
            </w:r>
          </w:p>
        </w:tc>
        <w:tc>
          <w:tcPr>
            <w:tcW w:type="dxa" w:w="4320"/>
          </w:tcPr>
          <w:p>
            <w:pPr>
              <w:jc w:val="center"/>
            </w:pPr>
            <w:r>
              <w:rPr>
                <w:rFonts w:ascii="Times New Roman" w:hAnsi="Times New Roman"/>
                <w:b w:val="0"/>
                <w:i w:val="0"/>
                <w:sz w:val="20"/>
              </w:rPr>
              <w:t>Proportion of filled pages where START/CONTINUATION prediction matches ground truth</w:t>
            </w:r>
          </w:p>
        </w:tc>
        <w:tc>
          <w:tcPr>
            <w:tcW w:type="dxa" w:w="1872"/>
          </w:tcPr>
          <w:p>
            <w:pPr>
              <w:jc w:val="center"/>
            </w:pPr>
            <w:r>
              <w:rPr>
                <w:rFonts w:ascii="Times New Roman" w:hAnsi="Times New Roman"/>
                <w:b w:val="0"/>
                <w:i w:val="0"/>
                <w:sz w:val="20"/>
              </w:rPr>
              <w:t>Splitting</w:t>
            </w:r>
          </w:p>
        </w:tc>
        <w:tc>
          <w:tcPr>
            <w:tcW w:type="dxa" w:w="1440"/>
          </w:tcPr>
          <w:p>
            <w:pPr>
              <w:jc w:val="center"/>
            </w:pPr>
            <w:r>
              <w:rPr>
                <w:rFonts w:ascii="Times New Roman" w:hAnsi="Times New Roman"/>
                <w:b w:val="0"/>
                <w:i w:val="0"/>
                <w:sz w:val="20"/>
              </w:rPr>
              <w:t>Page</w:t>
            </w:r>
          </w:p>
        </w:tc>
      </w:tr>
      <w:tr>
        <w:tc>
          <w:tcPr>
            <w:tcW w:type="dxa" w:w="2016"/>
            <w:shd w:fill="F0F4F8" w:val="clear"/>
          </w:tcPr>
          <w:p>
            <w:pPr>
              <w:jc w:val="left"/>
            </w:pPr>
            <w:r>
              <w:rPr>
                <w:rFonts w:ascii="Times New Roman" w:hAnsi="Times New Roman"/>
                <w:b w:val="0"/>
                <w:i w:val="0"/>
                <w:sz w:val="20"/>
              </w:rPr>
              <w:t>Split IoU</w:t>
            </w:r>
          </w:p>
        </w:tc>
        <w:tc>
          <w:tcPr>
            <w:tcW w:type="dxa" w:w="4320"/>
            <w:shd w:fill="F0F4F8" w:val="clear"/>
          </w:tcPr>
          <w:p>
            <w:pPr>
              <w:jc w:val="center"/>
            </w:pPr>
            <w:r>
              <w:rPr>
                <w:rFonts w:ascii="Times New Roman" w:hAnsi="Times New Roman"/>
                <w:b w:val="0"/>
                <w:i w:val="0"/>
                <w:sz w:val="20"/>
              </w:rPr>
              <w:t>Mean Jaccard index between predicted and true START-page index sets, averaged over packets. IoU = |P_START ∩ T_START| / |P_START ∪ T_START| per packet.</w:t>
            </w:r>
          </w:p>
        </w:tc>
        <w:tc>
          <w:tcPr>
            <w:tcW w:type="dxa" w:w="1872"/>
            <w:shd w:fill="F0F4F8" w:val="clear"/>
          </w:tcPr>
          <w:p>
            <w:pPr>
              <w:jc w:val="center"/>
            </w:pPr>
            <w:r>
              <w:rPr>
                <w:rFonts w:ascii="Times New Roman" w:hAnsi="Times New Roman"/>
                <w:b w:val="0"/>
                <w:i w:val="0"/>
                <w:sz w:val="20"/>
              </w:rPr>
              <w:t>Splitting</w:t>
            </w:r>
          </w:p>
        </w:tc>
        <w:tc>
          <w:tcPr>
            <w:tcW w:type="dxa" w:w="1440"/>
            <w:shd w:fill="F0F4F8" w:val="clear"/>
          </w:tcPr>
          <w:p>
            <w:pPr>
              <w:jc w:val="center"/>
            </w:pPr>
            <w:r>
              <w:rPr>
                <w:rFonts w:ascii="Times New Roman" w:hAnsi="Times New Roman"/>
                <w:b w:val="0"/>
                <w:i w:val="0"/>
                <w:sz w:val="20"/>
              </w:rPr>
              <w:t>Packet</w:t>
            </w:r>
          </w:p>
        </w:tc>
      </w:tr>
      <w:tr>
        <w:tc>
          <w:tcPr>
            <w:tcW w:type="dxa" w:w="2016"/>
          </w:tcPr>
          <w:p>
            <w:pPr>
              <w:jc w:val="left"/>
            </w:pPr>
            <w:r>
              <w:rPr>
                <w:rFonts w:ascii="Times New Roman" w:hAnsi="Times New Roman"/>
                <w:b w:val="0"/>
                <w:i w:val="0"/>
                <w:sz w:val="20"/>
              </w:rPr>
              <w:t>Field F1</w:t>
            </w:r>
          </w:p>
        </w:tc>
        <w:tc>
          <w:tcPr>
            <w:tcW w:type="dxa" w:w="4320"/>
          </w:tcPr>
          <w:p>
            <w:pPr>
              <w:jc w:val="center"/>
            </w:pPr>
            <w:r>
              <w:rPr>
                <w:rFonts w:ascii="Times New Roman" w:hAnsi="Times New Roman"/>
                <w:b w:val="0"/>
                <w:i w:val="0"/>
                <w:sz w:val="20"/>
              </w:rPr>
              <w:t>Token-level F1 averaged over 11 fields on non-blank START pages. Precision/recall computed over whitespace-tokenised field value strings.</w:t>
            </w:r>
          </w:p>
        </w:tc>
        <w:tc>
          <w:tcPr>
            <w:tcW w:type="dxa" w:w="1872"/>
          </w:tcPr>
          <w:p>
            <w:pPr>
              <w:jc w:val="center"/>
            </w:pPr>
            <w:r>
              <w:rPr>
                <w:rFonts w:ascii="Times New Roman" w:hAnsi="Times New Roman"/>
                <w:b w:val="0"/>
                <w:i w:val="0"/>
                <w:sz w:val="20"/>
              </w:rPr>
              <w:t>Extraction</w:t>
            </w:r>
          </w:p>
        </w:tc>
        <w:tc>
          <w:tcPr>
            <w:tcW w:type="dxa" w:w="1440"/>
          </w:tcPr>
          <w:p>
            <w:pPr>
              <w:jc w:val="center"/>
            </w:pPr>
            <w:r>
              <w:rPr>
                <w:rFonts w:ascii="Times New Roman" w:hAnsi="Times New Roman"/>
                <w:b w:val="0"/>
                <w:i w:val="0"/>
                <w:sz w:val="20"/>
              </w:rPr>
              <w:t>Page × Field</w:t>
            </w:r>
          </w:p>
        </w:tc>
      </w:tr>
      <w:tr>
        <w:tc>
          <w:tcPr>
            <w:tcW w:type="dxa" w:w="2016"/>
            <w:shd w:fill="F0F4F8" w:val="clear"/>
          </w:tcPr>
          <w:p>
            <w:pPr>
              <w:jc w:val="left"/>
            </w:pPr>
            <w:r>
              <w:rPr>
                <w:rFonts w:ascii="Times New Roman" w:hAnsi="Times New Roman"/>
                <w:b w:val="0"/>
                <w:i w:val="0"/>
                <w:sz w:val="20"/>
              </w:rPr>
              <w:t>Blank</w:t>
              <w:br/>
              <w:t>Hallucination Rate</w:t>
            </w:r>
          </w:p>
        </w:tc>
        <w:tc>
          <w:tcPr>
            <w:tcW w:type="dxa" w:w="4320"/>
            <w:shd w:fill="F0F4F8" w:val="clear"/>
          </w:tcPr>
          <w:p>
            <w:pPr>
              <w:jc w:val="center"/>
            </w:pPr>
            <w:r>
              <w:rPr>
                <w:rFonts w:ascii="Times New Roman" w:hAnsi="Times New Roman"/>
                <w:b w:val="0"/>
                <w:i w:val="0"/>
                <w:sz w:val="20"/>
              </w:rPr>
              <w:t>Proportion of blank-form pages where model outputs any non-null field value</w:t>
            </w:r>
          </w:p>
        </w:tc>
        <w:tc>
          <w:tcPr>
            <w:tcW w:type="dxa" w:w="1872"/>
            <w:shd w:fill="F0F4F8" w:val="clear"/>
          </w:tcPr>
          <w:p>
            <w:pPr>
              <w:jc w:val="center"/>
            </w:pPr>
            <w:r>
              <w:rPr>
                <w:rFonts w:ascii="Times New Roman" w:hAnsi="Times New Roman"/>
                <w:b w:val="0"/>
                <w:i w:val="0"/>
                <w:sz w:val="20"/>
              </w:rPr>
              <w:t>Robustness</w:t>
            </w:r>
          </w:p>
        </w:tc>
        <w:tc>
          <w:tcPr>
            <w:tcW w:type="dxa" w:w="1440"/>
            <w:shd w:fill="F0F4F8" w:val="clear"/>
          </w:tcPr>
          <w:p>
            <w:pPr>
              <w:jc w:val="center"/>
            </w:pPr>
            <w:r>
              <w:rPr>
                <w:rFonts w:ascii="Times New Roman" w:hAnsi="Times New Roman"/>
                <w:b w:val="0"/>
                <w:i w:val="0"/>
                <w:sz w:val="20"/>
              </w:rPr>
              <w:t>Page</w:t>
            </w:r>
          </w:p>
        </w:tc>
      </w:tr>
    </w:tbl>
    <w:p>
      <w:pPr>
        <w:spacing w:before="80" w:after="200"/>
        <w:jc w:val="center"/>
      </w:pPr>
      <w:r>
        <w:rPr>
          <w:rFonts w:ascii="Times New Roman" w:hAnsi="Times New Roman"/>
          <w:b w:val="0"/>
          <w:i/>
          <w:sz w:val="20"/>
        </w:rPr>
        <w:t>Table 6. Evaluation metrics. Split IoU is the primary splitting metric; Position Accuracy alone is insufficient (see §8.2).</w:t>
      </w:r>
    </w:p>
    <w:p>
      <w:pPr>
        <w:pStyle w:val="Heading2"/>
        <w:spacing w:before="240" w:after="80"/>
        <w:jc w:val="left"/>
      </w:pPr>
      <w:r>
        <w:rPr>
          <w:rFonts w:ascii="Times New Roman" w:hAnsi="Times New Roman"/>
          <w:b/>
          <w:i w:val="0"/>
          <w:color w:val="000000"/>
          <w:sz w:val="24"/>
        </w:rPr>
        <w:t>8.2 Why Split IoU Rather Than Position Accuracy Alone</w:t>
      </w:r>
    </w:p>
    <w:p>
      <w:pPr>
        <w:spacing w:after="120" w:before="0"/>
        <w:jc w:val="both"/>
      </w:pPr>
      <w:r>
        <w:rPr>
          <w:rFonts w:ascii="Times New Roman" w:hAnsi="Times New Roman"/>
          <w:b w:val="0"/>
          <w:i w:val="0"/>
          <w:sz w:val="22"/>
        </w:rPr>
        <w:t>Position Accuracy is vulnerable to majority-class bias. In multi-page bundles, CONTINUATION pages account for approximately 87% of all pages. A degenerate model predicting CONTINUATION for every page achieves ~87% Position Accuracy while failing to identify a single document boundary (Split IoU = 0.0%). Split IoU penalises both missed boundaries (false negatives) and spurious boundaries (false positives) symmetrically via the Jaccard formulation, providing a reliable measure of splitting quality independent of the START/CONTINUATION ratio.</w:t>
      </w:r>
    </w:p>
    <w:p>
      <w:pPr>
        <w:pStyle w:val="Heading2"/>
        <w:spacing w:before="240" w:after="80"/>
        <w:jc w:val="left"/>
      </w:pPr>
      <w:r>
        <w:rPr>
          <w:rFonts w:ascii="Times New Roman" w:hAnsi="Times New Roman"/>
          <w:b/>
          <w:i w:val="0"/>
          <w:color w:val="000000"/>
          <w:sz w:val="24"/>
        </w:rPr>
        <w:t>8.3 Baselines</w:t>
      </w:r>
    </w:p>
    <w:p>
      <w:pPr>
        <w:pStyle w:val="ListBullet"/>
        <w:spacing w:after="40" w:before="0"/>
      </w:pPr>
      <w:r>
        <w:rPr>
          <w:rFonts w:ascii="Times New Roman" w:hAnsi="Times New Roman"/>
          <w:b w:val="0"/>
          <w:i w:val="0"/>
          <w:sz w:val="22"/>
        </w:rPr>
        <w:t>Qwen2.5-VL-3B Zero-Shot: the identical base model without fine-tuning, evaluated using the same prompt. Establishes the gain attributable to fine-tuning alone, holding architecture and prompt constant.</w:t>
      </w:r>
    </w:p>
    <w:p>
      <w:pPr>
        <w:pStyle w:val="ListBullet"/>
        <w:spacing w:after="40" w:before="0"/>
      </w:pPr>
      <w:r>
        <w:rPr>
          <w:rFonts w:ascii="Times New Roman" w:hAnsi="Times New Roman"/>
          <w:b w:val="0"/>
          <w:i w:val="0"/>
          <w:sz w:val="22"/>
        </w:rPr>
        <w:t>Donut-RVLCDIP Zero-Shot [3]: an end-to-end document understanding model fine-tuned on RVL-CDIP [9] for 16-class document classification. Evaluated for classification only (field extraction and bundle splitting are outside Donut's task scope). Note: Donut-RVLCDIP's 16 RVL-CDIP classes do not intersect with our 12 freight classes; its zero-shot classification accuracy on our test set reflects class vocabulary mismatch rather than architectural failure.</w:t>
      </w:r>
    </w:p>
    <w:p>
      <w:pPr>
        <w:pStyle w:val="ListBullet"/>
        <w:spacing w:after="40" w:before="0"/>
      </w:pPr>
      <w:r>
        <w:rPr>
          <w:rFonts w:ascii="Times New Roman" w:hAnsi="Times New Roman"/>
          <w:b w:val="0"/>
          <w:i w:val="0"/>
          <w:sz w:val="22"/>
        </w:rPr>
        <w:t>Qwen2.5-VL-7B Zero-Shot: the 7B-parameter variant of our base model, evaluated in full bfloat16 precision on an NVIDIA H100 (pending). Provides a larger-scale general VLM baseline.</w:t>
      </w:r>
    </w:p>
    <w:p>
      <w:pPr>
        <w:pStyle w:val="ListBullet"/>
        <w:spacing w:after="40" w:before="0"/>
      </w:pPr>
      <w:r>
        <w:rPr>
          <w:rFonts w:ascii="Times New Roman" w:hAnsi="Times New Roman"/>
          <w:b w:val="0"/>
          <w:i w:val="0"/>
          <w:sz w:val="22"/>
        </w:rPr>
        <w:t>Ours V2: a prior iteration of the fine-tuned model, trained without blank-form examples and with an earlier field schema (including weight fields). Evaluated under the same v3 prompt for comparability. Illustrates the performance trajectory of the system across dataset quality iterations.</w:t>
      </w:r>
    </w:p>
    <w:p>
      <w:pPr>
        <w:pStyle w:val="Heading1"/>
        <w:spacing w:before="240" w:after="80"/>
        <w:jc w:val="left"/>
      </w:pPr>
      <w:r>
        <w:rPr>
          <w:rFonts w:ascii="Times New Roman" w:hAnsi="Times New Roman"/>
          <w:b/>
          <w:i w:val="0"/>
          <w:color w:val="000000"/>
          <w:sz w:val="26"/>
        </w:rPr>
        <w:t>9. Experimental Results</w:t>
      </w:r>
    </w:p>
    <w:p>
      <w:pPr>
        <w:pStyle w:val="Heading2"/>
        <w:spacing w:before="240" w:after="80"/>
        <w:jc w:val="left"/>
      </w:pPr>
      <w:r>
        <w:rPr>
          <w:rFonts w:ascii="Times New Roman" w:hAnsi="Times New Roman"/>
          <w:b/>
          <w:i w:val="0"/>
          <w:color w:val="000000"/>
          <w:sz w:val="24"/>
        </w:rPr>
        <w:t>9.1 Overall Performance</w:t>
      </w:r>
    </w:p>
    <w:p>
      <w:pPr>
        <w:spacing w:after="120" w:before="0"/>
        <w:jc w:val="both"/>
      </w:pPr>
      <w:r>
        <w:rPr>
          <w:rFonts w:ascii="Times New Roman" w:hAnsi="Times New Roman"/>
          <w:b w:val="0"/>
          <w:i w:val="0"/>
          <w:sz w:val="22"/>
        </w:rPr>
        <w:t>Table 6 presents overall performance across all models on the held-out test set (2,371 pages, 466 packets). Our primary model — Qwen2.5-VL-3B fine-tuned to v3 checkpoint-2000 — achieves near-ceiling performance on all metrics.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880"/>
            <w:shd w:fill="2E4057" w:color="FFFFFF" w:val="clear"/>
          </w:tcPr>
          <w:p>
            <w:pPr>
              <w:jc w:val="center"/>
            </w:pPr>
            <w:r>
              <w:rPr>
                <w:rFonts w:ascii="Times New Roman" w:hAnsi="Times New Roman"/>
                <w:b/>
                <w:i w:val="0"/>
                <w:color w:val="FFFFFF"/>
                <w:sz w:val="20"/>
              </w:rPr>
              <w:t>Model</w:t>
            </w:r>
          </w:p>
        </w:tc>
        <w:tc>
          <w:tcPr>
            <w:tcW w:type="dxa" w:w="864"/>
            <w:shd w:fill="2E4057" w:color="FFFFFF" w:val="clear"/>
          </w:tcPr>
          <w:p>
            <w:pPr>
              <w:jc w:val="center"/>
            </w:pPr>
            <w:r>
              <w:rPr>
                <w:rFonts w:ascii="Times New Roman" w:hAnsi="Times New Roman"/>
                <w:b/>
                <w:i w:val="0"/>
                <w:color w:val="FFFFFF"/>
                <w:sz w:val="20"/>
              </w:rPr>
              <w:t>n</w:t>
            </w:r>
          </w:p>
        </w:tc>
        <w:tc>
          <w:tcPr>
            <w:tcW w:type="dxa" w:w="1296"/>
            <w:shd w:fill="2E4057" w:color="FFFFFF" w:val="clear"/>
          </w:tcPr>
          <w:p>
            <w:pPr>
              <w:jc w:val="center"/>
            </w:pPr>
            <w:r>
              <w:rPr>
                <w:rFonts w:ascii="Times New Roman" w:hAnsi="Times New Roman"/>
                <w:b/>
                <w:i w:val="0"/>
                <w:color w:val="FFFFFF"/>
                <w:sz w:val="20"/>
              </w:rPr>
              <w:t>Cls Acc</w:t>
            </w:r>
          </w:p>
        </w:tc>
        <w:tc>
          <w:tcPr>
            <w:tcW w:type="dxa" w:w="1296"/>
            <w:shd w:fill="2E4057" w:color="FFFFFF" w:val="clear"/>
          </w:tcPr>
          <w:p>
            <w:pPr>
              <w:jc w:val="center"/>
            </w:pPr>
            <w:r>
              <w:rPr>
                <w:rFonts w:ascii="Times New Roman" w:hAnsi="Times New Roman"/>
                <w:b/>
                <w:i w:val="0"/>
                <w:color w:val="FFFFFF"/>
                <w:sz w:val="20"/>
              </w:rPr>
              <w:t>Pos Acc</w:t>
            </w:r>
          </w:p>
        </w:tc>
        <w:tc>
          <w:tcPr>
            <w:tcW w:type="dxa" w:w="1296"/>
            <w:shd w:fill="2E4057" w:color="FFFFFF" w:val="clear"/>
          </w:tcPr>
          <w:p>
            <w:pPr>
              <w:jc w:val="center"/>
            </w:pPr>
            <w:r>
              <w:rPr>
                <w:rFonts w:ascii="Times New Roman" w:hAnsi="Times New Roman"/>
                <w:b/>
                <w:i w:val="0"/>
                <w:color w:val="FFFFFF"/>
                <w:sz w:val="20"/>
              </w:rPr>
              <w:t>Field F1</w:t>
            </w:r>
          </w:p>
        </w:tc>
        <w:tc>
          <w:tcPr>
            <w:tcW w:type="dxa" w:w="1296"/>
            <w:shd w:fill="2E4057" w:color="FFFFFF" w:val="clear"/>
          </w:tcPr>
          <w:p>
            <w:pPr>
              <w:jc w:val="center"/>
            </w:pPr>
            <w:r>
              <w:rPr>
                <w:rFonts w:ascii="Times New Roman" w:hAnsi="Times New Roman"/>
                <w:b/>
                <w:i w:val="0"/>
                <w:color w:val="FFFFFF"/>
                <w:sz w:val="20"/>
              </w:rPr>
              <w:t>Split IoU</w:t>
            </w:r>
          </w:p>
        </w:tc>
        <w:tc>
          <w:tcPr>
            <w:tcW w:type="dxa" w:w="1296"/>
            <w:shd w:fill="2E4057" w:color="FFFFFF" w:val="clear"/>
          </w:tcPr>
          <w:p>
            <w:pPr>
              <w:jc w:val="center"/>
            </w:pPr>
            <w:r>
              <w:rPr>
                <w:rFonts w:ascii="Times New Roman" w:hAnsi="Times New Roman"/>
                <w:b/>
                <w:i w:val="0"/>
                <w:color w:val="FFFFFF"/>
                <w:sz w:val="20"/>
              </w:rPr>
              <w:t>Blank Hall.</w:t>
            </w:r>
          </w:p>
        </w:tc>
      </w:tr>
      <w:tr>
        <w:tc>
          <w:tcPr>
            <w:tcW w:type="dxa" w:w="2880"/>
            <w:shd w:fill="F0F4F8" w:val="clear"/>
          </w:tcPr>
          <w:p>
            <w:pPr>
              <w:jc w:val="left"/>
            </w:pPr>
            <w:r>
              <w:rPr>
                <w:rFonts w:ascii="Times New Roman" w:hAnsi="Times New Roman"/>
                <w:b w:val="0"/>
                <w:i w:val="0"/>
                <w:sz w:val="20"/>
              </w:rPr>
              <w:t>Qwen2.5-VL-3B ZS</w:t>
            </w:r>
          </w:p>
        </w:tc>
        <w:tc>
          <w:tcPr>
            <w:tcW w:type="dxa" w:w="864"/>
            <w:shd w:fill="F0F4F8" w:val="clear"/>
          </w:tcPr>
          <w:p>
            <w:pPr>
              <w:jc w:val="center"/>
            </w:pPr>
            <w:r>
              <w:rPr>
                <w:rFonts w:ascii="Times New Roman" w:hAnsi="Times New Roman"/>
                <w:b w:val="0"/>
                <w:i w:val="0"/>
                <w:sz w:val="20"/>
              </w:rPr>
              <w:t>2,307</w:t>
            </w:r>
          </w:p>
        </w:tc>
        <w:tc>
          <w:tcPr>
            <w:tcW w:type="dxa" w:w="1296"/>
            <w:shd w:fill="F0F4F8" w:val="clear"/>
          </w:tcPr>
          <w:p>
            <w:pPr>
              <w:jc w:val="center"/>
            </w:pPr>
            <w:r>
              <w:rPr>
                <w:rFonts w:ascii="Times New Roman" w:hAnsi="Times New Roman"/>
                <w:b w:val="0"/>
                <w:i w:val="0"/>
                <w:sz w:val="20"/>
              </w:rPr>
              <w:t>80.6%</w:t>
            </w:r>
          </w:p>
        </w:tc>
        <w:tc>
          <w:tcPr>
            <w:tcW w:type="dxa" w:w="1296"/>
            <w:shd w:fill="F0F4F8" w:val="clear"/>
          </w:tcPr>
          <w:p>
            <w:pPr>
              <w:jc w:val="center"/>
            </w:pPr>
            <w:r>
              <w:rPr>
                <w:rFonts w:ascii="Times New Roman" w:hAnsi="Times New Roman"/>
                <w:b w:val="0"/>
                <w:i w:val="0"/>
                <w:sz w:val="20"/>
              </w:rPr>
              <w:t>30.8%</w:t>
            </w:r>
          </w:p>
        </w:tc>
        <w:tc>
          <w:tcPr>
            <w:tcW w:type="dxa" w:w="1296"/>
            <w:shd w:fill="F0F4F8" w:val="clear"/>
          </w:tcPr>
          <w:p>
            <w:pPr>
              <w:jc w:val="center"/>
            </w:pPr>
            <w:r>
              <w:rPr>
                <w:rFonts w:ascii="Times New Roman" w:hAnsi="Times New Roman"/>
                <w:b w:val="0"/>
                <w:i w:val="0"/>
                <w:sz w:val="20"/>
              </w:rPr>
              <w:t>51.9%</w:t>
            </w:r>
          </w:p>
        </w:tc>
        <w:tc>
          <w:tcPr>
            <w:tcW w:type="dxa" w:w="1296"/>
            <w:shd w:fill="F0F4F8" w:val="clear"/>
          </w:tcPr>
          <w:p>
            <w:pPr>
              <w:jc w:val="center"/>
            </w:pPr>
            <w:r>
              <w:rPr>
                <w:rFonts w:ascii="Times New Roman" w:hAnsi="Times New Roman"/>
                <w:b w:val="0"/>
                <w:i w:val="0"/>
                <w:sz w:val="20"/>
              </w:rPr>
              <w:t>29.8%</w:t>
            </w:r>
          </w:p>
        </w:tc>
        <w:tc>
          <w:tcPr>
            <w:tcW w:type="dxa" w:w="1296"/>
            <w:shd w:fill="F0F4F8" w:val="clear"/>
          </w:tcPr>
          <w:p>
            <w:pPr>
              <w:jc w:val="center"/>
            </w:pPr>
            <w:r>
              <w:rPr>
                <w:rFonts w:ascii="Times New Roman" w:hAnsi="Times New Roman"/>
                <w:b w:val="0"/>
                <w:i w:val="0"/>
                <w:sz w:val="20"/>
              </w:rPr>
              <w:t>4.7%</w:t>
            </w:r>
          </w:p>
        </w:tc>
      </w:tr>
      <w:tr>
        <w:tc>
          <w:tcPr>
            <w:tcW w:type="dxa" w:w="2880"/>
          </w:tcPr>
          <w:p>
            <w:pPr>
              <w:jc w:val="left"/>
            </w:pPr>
            <w:r>
              <w:rPr>
                <w:rFonts w:ascii="Times New Roman" w:hAnsi="Times New Roman"/>
                <w:b w:val="0"/>
                <w:i w:val="0"/>
                <w:sz w:val="20"/>
              </w:rPr>
              <w:t>Donut-RVLCDIP ZS †</w:t>
            </w:r>
          </w:p>
        </w:tc>
        <w:tc>
          <w:tcPr>
            <w:tcW w:type="dxa" w:w="864"/>
          </w:tcPr>
          <w:p>
            <w:pPr>
              <w:jc w:val="center"/>
            </w:pPr>
            <w:r>
              <w:rPr>
                <w:rFonts w:ascii="Times New Roman" w:hAnsi="Times New Roman"/>
                <w:b w:val="0"/>
                <w:i w:val="0"/>
                <w:sz w:val="20"/>
              </w:rPr>
              <w:t>2,307</w:t>
            </w:r>
          </w:p>
        </w:tc>
        <w:tc>
          <w:tcPr>
            <w:tcW w:type="dxa" w:w="1296"/>
          </w:tcPr>
          <w:p>
            <w:pPr>
              <w:jc w:val="center"/>
            </w:pPr>
            <w:r>
              <w:rPr>
                <w:rFonts w:ascii="Times New Roman" w:hAnsi="Times New Roman"/>
                <w:b w:val="0"/>
                <w:i w:val="0"/>
                <w:sz w:val="20"/>
              </w:rPr>
              <w:t>0.0%</w:t>
            </w:r>
          </w:p>
        </w:tc>
        <w:tc>
          <w:tcPr>
            <w:tcW w:type="dxa" w:w="1296"/>
          </w:tcPr>
          <w:p>
            <w:pPr>
              <w:jc w:val="center"/>
            </w:pPr>
            <w:r>
              <w:rPr>
                <w:rFonts w:ascii="Times New Roman" w:hAnsi="Times New Roman"/>
                <w:b w:val="0"/>
                <w:i w:val="0"/>
                <w:sz w:val="20"/>
              </w:rPr>
              <w:t>N/A</w:t>
            </w:r>
          </w:p>
        </w:tc>
        <w:tc>
          <w:tcPr>
            <w:tcW w:type="dxa" w:w="1296"/>
          </w:tcPr>
          <w:p>
            <w:pPr>
              <w:jc w:val="center"/>
            </w:pPr>
            <w:r>
              <w:rPr>
                <w:rFonts w:ascii="Times New Roman" w:hAnsi="Times New Roman"/>
                <w:b w:val="0"/>
                <w:i w:val="0"/>
                <w:sz w:val="20"/>
              </w:rPr>
              <w:t>N/A</w:t>
            </w:r>
          </w:p>
        </w:tc>
        <w:tc>
          <w:tcPr>
            <w:tcW w:type="dxa" w:w="1296"/>
          </w:tcPr>
          <w:p>
            <w:pPr>
              <w:jc w:val="center"/>
            </w:pPr>
            <w:r>
              <w:rPr>
                <w:rFonts w:ascii="Times New Roman" w:hAnsi="Times New Roman"/>
                <w:b w:val="0"/>
                <w:i w:val="0"/>
                <w:sz w:val="20"/>
              </w:rPr>
              <w:t>N/A</w:t>
            </w:r>
          </w:p>
        </w:tc>
        <w:tc>
          <w:tcPr>
            <w:tcW w:type="dxa" w:w="1296"/>
          </w:tcPr>
          <w:p>
            <w:pPr>
              <w:jc w:val="center"/>
            </w:pPr>
            <w:r>
              <w:rPr>
                <w:rFonts w:ascii="Times New Roman" w:hAnsi="Times New Roman"/>
                <w:b w:val="0"/>
                <w:i w:val="0"/>
                <w:sz w:val="20"/>
              </w:rPr>
              <w:t>0.0%</w:t>
            </w:r>
          </w:p>
        </w:tc>
      </w:tr>
      <w:tr>
        <w:tc>
          <w:tcPr>
            <w:tcW w:type="dxa" w:w="2880"/>
            <w:shd w:fill="F0F4F8" w:val="clear"/>
          </w:tcPr>
          <w:p>
            <w:pPr>
              <w:jc w:val="left"/>
            </w:pPr>
            <w:r>
              <w:rPr>
                <w:rFonts w:ascii="Times New Roman" w:hAnsi="Times New Roman"/>
                <w:b w:val="0"/>
                <w:i w:val="0"/>
                <w:sz w:val="20"/>
              </w:rPr>
              <w:t>Qwen2.5-VL-7B ZS ‡</w:t>
            </w:r>
          </w:p>
        </w:tc>
        <w:tc>
          <w:tcPr>
            <w:tcW w:type="dxa" w:w="864"/>
            <w:shd w:fill="F0F4F8" w:val="clear"/>
          </w:tcPr>
          <w:p>
            <w:pPr>
              <w:jc w:val="center"/>
            </w:pPr>
            <w:r>
              <w:rPr>
                <w:rFonts w:ascii="Times New Roman" w:hAnsi="Times New Roman"/>
                <w:b w:val="0"/>
                <w:i w:val="0"/>
                <w:sz w:val="20"/>
              </w:rPr>
              <w:t>—</w:t>
            </w:r>
          </w:p>
        </w:tc>
        <w:tc>
          <w:tcPr>
            <w:tcW w:type="dxa" w:w="1296"/>
            <w:shd w:fill="F0F4F8" w:val="clear"/>
          </w:tcPr>
          <w:p>
            <w:pPr>
              <w:jc w:val="center"/>
            </w:pPr>
            <w:r>
              <w:rPr>
                <w:rFonts w:ascii="Times New Roman" w:hAnsi="Times New Roman"/>
                <w:b w:val="0"/>
                <w:i w:val="0"/>
                <w:sz w:val="20"/>
              </w:rPr>
              <w:t>TBD</w:t>
            </w:r>
          </w:p>
        </w:tc>
        <w:tc>
          <w:tcPr>
            <w:tcW w:type="dxa" w:w="1296"/>
            <w:shd w:fill="F0F4F8" w:val="clear"/>
          </w:tcPr>
          <w:p>
            <w:pPr>
              <w:jc w:val="center"/>
            </w:pPr>
            <w:r>
              <w:rPr>
                <w:rFonts w:ascii="Times New Roman" w:hAnsi="Times New Roman"/>
                <w:b w:val="0"/>
                <w:i w:val="0"/>
                <w:sz w:val="20"/>
              </w:rPr>
              <w:t>TBD</w:t>
            </w:r>
          </w:p>
        </w:tc>
        <w:tc>
          <w:tcPr>
            <w:tcW w:type="dxa" w:w="1296"/>
            <w:shd w:fill="F0F4F8" w:val="clear"/>
          </w:tcPr>
          <w:p>
            <w:pPr>
              <w:jc w:val="center"/>
            </w:pPr>
            <w:r>
              <w:rPr>
                <w:rFonts w:ascii="Times New Roman" w:hAnsi="Times New Roman"/>
                <w:b w:val="0"/>
                <w:i w:val="0"/>
                <w:sz w:val="20"/>
              </w:rPr>
              <w:t>TBD</w:t>
            </w:r>
          </w:p>
        </w:tc>
        <w:tc>
          <w:tcPr>
            <w:tcW w:type="dxa" w:w="1296"/>
            <w:shd w:fill="F0F4F8" w:val="clear"/>
          </w:tcPr>
          <w:p>
            <w:pPr>
              <w:jc w:val="center"/>
            </w:pPr>
            <w:r>
              <w:rPr>
                <w:rFonts w:ascii="Times New Roman" w:hAnsi="Times New Roman"/>
                <w:b w:val="0"/>
                <w:i w:val="0"/>
                <w:sz w:val="20"/>
              </w:rPr>
              <w:t>TBD</w:t>
            </w:r>
          </w:p>
        </w:tc>
        <w:tc>
          <w:tcPr>
            <w:tcW w:type="dxa" w:w="1296"/>
            <w:shd w:fill="F0F4F8" w:val="clear"/>
          </w:tcPr>
          <w:p>
            <w:pPr>
              <w:jc w:val="center"/>
            </w:pPr>
            <w:r>
              <w:rPr>
                <w:rFonts w:ascii="Times New Roman" w:hAnsi="Times New Roman"/>
                <w:b w:val="0"/>
                <w:i w:val="0"/>
                <w:sz w:val="20"/>
              </w:rPr>
              <w:t>TBD</w:t>
            </w:r>
          </w:p>
        </w:tc>
      </w:tr>
      <w:tr>
        <w:tc>
          <w:tcPr>
            <w:tcW w:type="dxa" w:w="2880"/>
          </w:tcPr>
          <w:p>
            <w:pPr>
              <w:jc w:val="left"/>
            </w:pPr>
            <w:r>
              <w:rPr>
                <w:rFonts w:ascii="Times New Roman" w:hAnsi="Times New Roman"/>
                <w:b w:val="0"/>
                <w:i w:val="0"/>
                <w:sz w:val="20"/>
              </w:rPr>
              <w:t>Ours V2 (merged)</w:t>
            </w:r>
          </w:p>
        </w:tc>
        <w:tc>
          <w:tcPr>
            <w:tcW w:type="dxa" w:w="864"/>
          </w:tcPr>
          <w:p>
            <w:pPr>
              <w:jc w:val="center"/>
            </w:pPr>
            <w:r>
              <w:rPr>
                <w:rFonts w:ascii="Times New Roman" w:hAnsi="Times New Roman"/>
                <w:b w:val="0"/>
                <w:i w:val="0"/>
                <w:sz w:val="20"/>
              </w:rPr>
              <w:t>2,307</w:t>
            </w:r>
          </w:p>
        </w:tc>
        <w:tc>
          <w:tcPr>
            <w:tcW w:type="dxa" w:w="1296"/>
          </w:tcPr>
          <w:p>
            <w:pPr>
              <w:jc w:val="center"/>
            </w:pPr>
            <w:r>
              <w:rPr>
                <w:rFonts w:ascii="Times New Roman" w:hAnsi="Times New Roman"/>
                <w:b w:val="0"/>
                <w:i w:val="0"/>
                <w:sz w:val="20"/>
              </w:rPr>
              <w:t>100.0%</w:t>
            </w:r>
          </w:p>
        </w:tc>
        <w:tc>
          <w:tcPr>
            <w:tcW w:type="dxa" w:w="1296"/>
          </w:tcPr>
          <w:p>
            <w:pPr>
              <w:jc w:val="center"/>
            </w:pPr>
            <w:r>
              <w:rPr>
                <w:rFonts w:ascii="Times New Roman" w:hAnsi="Times New Roman"/>
                <w:b w:val="0"/>
                <w:i w:val="0"/>
                <w:sz w:val="20"/>
              </w:rPr>
              <w:t>100.0%</w:t>
            </w:r>
          </w:p>
        </w:tc>
        <w:tc>
          <w:tcPr>
            <w:tcW w:type="dxa" w:w="1296"/>
          </w:tcPr>
          <w:p>
            <w:pPr>
              <w:jc w:val="center"/>
            </w:pPr>
            <w:r>
              <w:rPr>
                <w:rFonts w:ascii="Times New Roman" w:hAnsi="Times New Roman"/>
                <w:b w:val="0"/>
                <w:i w:val="0"/>
                <w:sz w:val="20"/>
              </w:rPr>
              <w:t>93.8%</w:t>
            </w:r>
          </w:p>
        </w:tc>
        <w:tc>
          <w:tcPr>
            <w:tcW w:type="dxa" w:w="1296"/>
          </w:tcPr>
          <w:p>
            <w:pPr>
              <w:jc w:val="center"/>
            </w:pPr>
            <w:r>
              <w:rPr>
                <w:rFonts w:ascii="Times New Roman" w:hAnsi="Times New Roman"/>
                <w:b w:val="0"/>
                <w:i w:val="0"/>
                <w:sz w:val="20"/>
              </w:rPr>
              <w:t>100.0%</w:t>
            </w:r>
          </w:p>
        </w:tc>
        <w:tc>
          <w:tcPr>
            <w:tcW w:type="dxa" w:w="1296"/>
          </w:tcPr>
          <w:p>
            <w:pPr>
              <w:jc w:val="center"/>
            </w:pPr>
            <w:r>
              <w:rPr>
                <w:rFonts w:ascii="Times New Roman" w:hAnsi="Times New Roman"/>
                <w:b w:val="0"/>
                <w:i w:val="0"/>
                <w:sz w:val="20"/>
              </w:rPr>
              <w:t>12.5%</w:t>
            </w:r>
          </w:p>
        </w:tc>
      </w:tr>
      <w:tr>
        <w:tc>
          <w:tcPr>
            <w:tcW w:type="dxa" w:w="2880"/>
            <w:shd w:fill="F0F4F8" w:val="clear"/>
          </w:tcPr>
          <w:p>
            <w:pPr>
              <w:jc w:val="left"/>
            </w:pPr>
            <w:r>
              <w:rPr>
                <w:rFonts w:ascii="Times New Roman" w:hAnsi="Times New Roman"/>
                <w:b w:val="0"/>
                <w:i w:val="0"/>
                <w:sz w:val="20"/>
              </w:rPr>
              <w:t>Ours V3 CK-2000 ★</w:t>
            </w:r>
          </w:p>
        </w:tc>
        <w:tc>
          <w:tcPr>
            <w:tcW w:type="dxa" w:w="864"/>
            <w:shd w:fill="F0F4F8" w:val="clear"/>
          </w:tcPr>
          <w:p>
            <w:pPr>
              <w:jc w:val="center"/>
            </w:pPr>
            <w:r>
              <w:rPr>
                <w:rFonts w:ascii="Times New Roman" w:hAnsi="Times New Roman"/>
                <w:b w:val="0"/>
                <w:i w:val="0"/>
                <w:sz w:val="20"/>
              </w:rPr>
              <w:t>2,307</w:t>
            </w:r>
          </w:p>
        </w:tc>
        <w:tc>
          <w:tcPr>
            <w:tcW w:type="dxa" w:w="1296"/>
            <w:shd w:fill="F0F4F8" w:val="clear"/>
          </w:tcPr>
          <w:p>
            <w:pPr>
              <w:jc w:val="center"/>
            </w:pPr>
            <w:r>
              <w:rPr>
                <w:rFonts w:ascii="Times New Roman" w:hAnsi="Times New Roman"/>
                <w:b w:val="0"/>
                <w:i w:val="0"/>
                <w:sz w:val="20"/>
              </w:rPr>
              <w:t>98.4%</w:t>
            </w:r>
          </w:p>
        </w:tc>
        <w:tc>
          <w:tcPr>
            <w:tcW w:type="dxa" w:w="1296"/>
            <w:shd w:fill="F0F4F8" w:val="clear"/>
          </w:tcPr>
          <w:p>
            <w:pPr>
              <w:jc w:val="center"/>
            </w:pPr>
            <w:r>
              <w:rPr>
                <w:rFonts w:ascii="Times New Roman" w:hAnsi="Times New Roman"/>
                <w:b w:val="0"/>
                <w:i w:val="0"/>
                <w:sz w:val="20"/>
              </w:rPr>
              <w:t>100.0%</w:t>
            </w:r>
          </w:p>
        </w:tc>
        <w:tc>
          <w:tcPr>
            <w:tcW w:type="dxa" w:w="1296"/>
            <w:shd w:fill="F0F4F8" w:val="clear"/>
          </w:tcPr>
          <w:p>
            <w:pPr>
              <w:jc w:val="center"/>
            </w:pPr>
            <w:r>
              <w:rPr>
                <w:rFonts w:ascii="Times New Roman" w:hAnsi="Times New Roman"/>
                <w:b w:val="0"/>
                <w:i w:val="0"/>
                <w:sz w:val="20"/>
              </w:rPr>
              <w:t>97.7%</w:t>
            </w:r>
          </w:p>
        </w:tc>
        <w:tc>
          <w:tcPr>
            <w:tcW w:type="dxa" w:w="1296"/>
            <w:shd w:fill="F0F4F8" w:val="clear"/>
          </w:tcPr>
          <w:p>
            <w:pPr>
              <w:jc w:val="center"/>
            </w:pPr>
            <w:r>
              <w:rPr>
                <w:rFonts w:ascii="Times New Roman" w:hAnsi="Times New Roman"/>
                <w:b w:val="0"/>
                <w:i w:val="0"/>
                <w:sz w:val="20"/>
              </w:rPr>
              <w:t>100.0%</w:t>
            </w:r>
          </w:p>
        </w:tc>
        <w:tc>
          <w:tcPr>
            <w:tcW w:type="dxa" w:w="1296"/>
            <w:shd w:fill="F0F4F8" w:val="clear"/>
          </w:tcPr>
          <w:p>
            <w:pPr>
              <w:jc w:val="center"/>
            </w:pPr>
            <w:r>
              <w:rPr>
                <w:rFonts w:ascii="Times New Roman" w:hAnsi="Times New Roman"/>
                <w:b w:val="0"/>
                <w:i w:val="0"/>
                <w:sz w:val="20"/>
              </w:rPr>
              <w:t>0.0%</w:t>
            </w:r>
          </w:p>
        </w:tc>
      </w:tr>
      <w:tr>
        <w:tc>
          <w:tcPr>
            <w:tcW w:type="dxa" w:w="2880"/>
          </w:tcPr>
          <w:p>
            <w:pPr>
              <w:jc w:val="left"/>
            </w:pPr>
            <w:r>
              <w:rPr>
                <w:rFonts w:ascii="Times New Roman" w:hAnsi="Times New Roman"/>
                <w:b w:val="0"/>
                <w:i w:val="0"/>
                <w:sz w:val="20"/>
              </w:rPr>
              <w:t>Ours V3 CK-2250</w:t>
            </w:r>
          </w:p>
        </w:tc>
        <w:tc>
          <w:tcPr>
            <w:tcW w:type="dxa" w:w="864"/>
          </w:tcPr>
          <w:p>
            <w:pPr>
              <w:jc w:val="center"/>
            </w:pPr>
            <w:r>
              <w:rPr>
                <w:rFonts w:ascii="Times New Roman" w:hAnsi="Times New Roman"/>
                <w:b w:val="0"/>
                <w:i w:val="0"/>
                <w:sz w:val="20"/>
              </w:rPr>
              <w:t>2,307</w:t>
            </w:r>
          </w:p>
        </w:tc>
        <w:tc>
          <w:tcPr>
            <w:tcW w:type="dxa" w:w="1296"/>
          </w:tcPr>
          <w:p>
            <w:pPr>
              <w:jc w:val="center"/>
            </w:pPr>
            <w:r>
              <w:rPr>
                <w:rFonts w:ascii="Times New Roman" w:hAnsi="Times New Roman"/>
                <w:b w:val="0"/>
                <w:i w:val="0"/>
                <w:sz w:val="20"/>
              </w:rPr>
              <w:t>98.4%</w:t>
            </w:r>
          </w:p>
        </w:tc>
        <w:tc>
          <w:tcPr>
            <w:tcW w:type="dxa" w:w="1296"/>
          </w:tcPr>
          <w:p>
            <w:pPr>
              <w:jc w:val="center"/>
            </w:pPr>
            <w:r>
              <w:rPr>
                <w:rFonts w:ascii="Times New Roman" w:hAnsi="Times New Roman"/>
                <w:b w:val="0"/>
                <w:i w:val="0"/>
                <w:sz w:val="20"/>
              </w:rPr>
              <w:t>100.0%</w:t>
            </w:r>
          </w:p>
        </w:tc>
        <w:tc>
          <w:tcPr>
            <w:tcW w:type="dxa" w:w="1296"/>
          </w:tcPr>
          <w:p>
            <w:pPr>
              <w:jc w:val="center"/>
            </w:pPr>
            <w:r>
              <w:rPr>
                <w:rFonts w:ascii="Times New Roman" w:hAnsi="Times New Roman"/>
                <w:b w:val="0"/>
                <w:i w:val="0"/>
                <w:sz w:val="20"/>
              </w:rPr>
              <w:t>97.6%</w:t>
            </w:r>
          </w:p>
        </w:tc>
        <w:tc>
          <w:tcPr>
            <w:tcW w:type="dxa" w:w="1296"/>
          </w:tcPr>
          <w:p>
            <w:pPr>
              <w:jc w:val="center"/>
            </w:pPr>
            <w:r>
              <w:rPr>
                <w:rFonts w:ascii="Times New Roman" w:hAnsi="Times New Roman"/>
                <w:b w:val="0"/>
                <w:i w:val="0"/>
                <w:sz w:val="20"/>
              </w:rPr>
              <w:t>100.0%</w:t>
            </w:r>
          </w:p>
        </w:tc>
        <w:tc>
          <w:tcPr>
            <w:tcW w:type="dxa" w:w="1296"/>
          </w:tcPr>
          <w:p>
            <w:pPr>
              <w:jc w:val="center"/>
            </w:pPr>
            <w:r>
              <w:rPr>
                <w:rFonts w:ascii="Times New Roman" w:hAnsi="Times New Roman"/>
                <w:b w:val="0"/>
                <w:i w:val="0"/>
                <w:sz w:val="20"/>
              </w:rPr>
              <w:t>0.0%</w:t>
            </w:r>
          </w:p>
        </w:tc>
      </w:tr>
      <w:tr>
        <w:tc>
          <w:tcPr>
            <w:tcW w:type="dxa" w:w="2880"/>
            <w:shd w:fill="F0F4F8" w:val="clear"/>
          </w:tcPr>
          <w:p>
            <w:pPr>
              <w:jc w:val="left"/>
            </w:pPr>
            <w:r>
              <w:rPr>
                <w:rFonts w:ascii="Times New Roman" w:hAnsi="Times New Roman"/>
                <w:b w:val="0"/>
                <w:i w:val="0"/>
                <w:sz w:val="20"/>
              </w:rPr>
              <w:t>Ours V3 Final</w:t>
            </w:r>
          </w:p>
        </w:tc>
        <w:tc>
          <w:tcPr>
            <w:tcW w:type="dxa" w:w="864"/>
            <w:shd w:fill="F0F4F8" w:val="clear"/>
          </w:tcPr>
          <w:p>
            <w:pPr>
              <w:jc w:val="center"/>
            </w:pPr>
            <w:r>
              <w:rPr>
                <w:rFonts w:ascii="Times New Roman" w:hAnsi="Times New Roman"/>
                <w:b w:val="0"/>
                <w:i w:val="0"/>
                <w:sz w:val="20"/>
              </w:rPr>
              <w:t>2,307</w:t>
            </w:r>
          </w:p>
        </w:tc>
        <w:tc>
          <w:tcPr>
            <w:tcW w:type="dxa" w:w="1296"/>
            <w:shd w:fill="F0F4F8" w:val="clear"/>
          </w:tcPr>
          <w:p>
            <w:pPr>
              <w:jc w:val="center"/>
            </w:pPr>
            <w:r>
              <w:rPr>
                <w:rFonts w:ascii="Times New Roman" w:hAnsi="Times New Roman"/>
                <w:b w:val="0"/>
                <w:i w:val="0"/>
                <w:sz w:val="20"/>
              </w:rPr>
              <w:t>98.4%</w:t>
            </w:r>
          </w:p>
        </w:tc>
        <w:tc>
          <w:tcPr>
            <w:tcW w:type="dxa" w:w="1296"/>
            <w:shd w:fill="F0F4F8" w:val="clear"/>
          </w:tcPr>
          <w:p>
            <w:pPr>
              <w:jc w:val="center"/>
            </w:pPr>
            <w:r>
              <w:rPr>
                <w:rFonts w:ascii="Times New Roman" w:hAnsi="Times New Roman"/>
                <w:b w:val="0"/>
                <w:i w:val="0"/>
                <w:sz w:val="20"/>
              </w:rPr>
              <w:t>100.0%</w:t>
            </w:r>
          </w:p>
        </w:tc>
        <w:tc>
          <w:tcPr>
            <w:tcW w:type="dxa" w:w="1296"/>
            <w:shd w:fill="F0F4F8" w:val="clear"/>
          </w:tcPr>
          <w:p>
            <w:pPr>
              <w:jc w:val="center"/>
            </w:pPr>
            <w:r>
              <w:rPr>
                <w:rFonts w:ascii="Times New Roman" w:hAnsi="Times New Roman"/>
                <w:b w:val="0"/>
                <w:i w:val="0"/>
                <w:sz w:val="20"/>
              </w:rPr>
              <w:t>97.6%</w:t>
            </w:r>
          </w:p>
        </w:tc>
        <w:tc>
          <w:tcPr>
            <w:tcW w:type="dxa" w:w="1296"/>
            <w:shd w:fill="F0F4F8" w:val="clear"/>
          </w:tcPr>
          <w:p>
            <w:pPr>
              <w:jc w:val="center"/>
            </w:pPr>
            <w:r>
              <w:rPr>
                <w:rFonts w:ascii="Times New Roman" w:hAnsi="Times New Roman"/>
                <w:b w:val="0"/>
                <w:i w:val="0"/>
                <w:sz w:val="20"/>
              </w:rPr>
              <w:t>100.0%</w:t>
            </w:r>
          </w:p>
        </w:tc>
        <w:tc>
          <w:tcPr>
            <w:tcW w:type="dxa" w:w="1296"/>
            <w:shd w:fill="F0F4F8" w:val="clear"/>
          </w:tcPr>
          <w:p>
            <w:pPr>
              <w:jc w:val="center"/>
            </w:pPr>
            <w:r>
              <w:rPr>
                <w:rFonts w:ascii="Times New Roman" w:hAnsi="Times New Roman"/>
                <w:b w:val="0"/>
                <w:i w:val="0"/>
                <w:sz w:val="20"/>
              </w:rPr>
              <w:t>0.0%</w:t>
            </w:r>
          </w:p>
        </w:tc>
      </w:tr>
    </w:tbl>
    <w:p>
      <w:pPr>
        <w:spacing w:before="80" w:after="200"/>
        <w:jc w:val="center"/>
      </w:pPr>
      <w:r>
        <w:rPr>
          <w:rFonts w:ascii="Times New Roman" w:hAnsi="Times New Roman"/>
          <w:b w:val="0"/>
          <w:i/>
          <w:sz w:val="20"/>
        </w:rPr>
        <w:t>Table 9. Overall performance on test_new.jsonl (n = filled documents only, blank excluded). ★ Primary inference model. † Donut-RVLCDIP achieves 0.0% due to class vocabulary mismatch (16 RVL-CDIP classes ≠ 12 freight classes). ‡ Pending H100 evaluation in full bfloat16 precision.</w:t>
      </w:r>
    </w:p>
    <w:p>
      <w:pPr>
        <w:spacing w:after="120" w:before="0"/>
        <w:jc w:val="both"/>
      </w:pPr>
      <w:r>
        <w:rPr>
          <w:rFonts w:ascii="Times New Roman" w:hAnsi="Times New Roman"/>
          <w:b w:val="0"/>
          <w:i w:val="0"/>
          <w:sz w:val="22"/>
        </w:rPr>
        <w:t>The zero-shot baseline achieves 80.6% classification accuracy, demonstrating that Qwen2.5-VL-3B has substantial pre-trained knowledge of freight document visual patterns. However, the 30.8% Position Accuracy and 29.8% Split IoU reveal that bundle boundary detection is far beyond the model's zero-shot capability — a task requiring domain-specific understanding of document transition patterns that is not represented in general VLM pre-training data. Similarly, Field F1 of 51.9% reflects partial zero-shot extraction ability for well-known fields (shipper name, consignee) but near-zero performance on domain-specific fields (validity dates: 0.0%, licensee name: 7.7%).</w:t>
      </w:r>
    </w:p>
    <w:p>
      <w:pPr>
        <w:spacing w:after="120" w:before="0"/>
        <w:jc w:val="both"/>
      </w:pPr>
      <w:r>
        <w:rPr>
          <w:rFonts w:ascii="Times New Roman" w:hAnsi="Times New Roman"/>
          <w:b w:val="0"/>
          <w:i w:val="0"/>
          <w:sz w:val="22"/>
        </w:rPr>
        <w:t>Fine-tuning produces consistent large gains across all metrics: +17.8pp classification, +69.2pp position accuracy, +45.8pp field F1, +70.2pp Split IoU. The convergence between checkpoints 2000, 2250, and final (all at 97.6–97.7% Field F1) suggests the model reached saturation before epoch completion, consistent with the one-epoch training schedule applied to a model with strong pre-trained document knowledge.</w:t>
      </w:r>
    </w:p>
    <w:p>
      <w:pPr>
        <w:pStyle w:val="Heading2"/>
        <w:spacing w:before="240" w:after="80"/>
        <w:jc w:val="left"/>
      </w:pPr>
      <w:r>
        <w:rPr>
          <w:rFonts w:ascii="Times New Roman" w:hAnsi="Times New Roman"/>
          <w:b/>
          <w:i w:val="0"/>
          <w:color w:val="000000"/>
          <w:sz w:val="24"/>
        </w:rPr>
        <w:t>9.2 Per-Class Analysis</w:t>
      </w:r>
    </w:p>
    <w:p>
      <w:pPr>
        <w:spacing w:after="120" w:before="0"/>
        <w:jc w:val="both"/>
      </w:pPr>
      <w:r>
        <w:rPr>
          <w:rFonts w:ascii="Times New Roman" w:hAnsi="Times New Roman"/>
          <w:b w:val="0"/>
          <w:i w:val="0"/>
          <w:sz w:val="22"/>
        </w:rPr>
        <w:t>Table 7 presents per-class classification accuracy and field F1 for our primary model (V3 CK-2000). Eleven of twelve classes achieve 100% classification accuracy; Import/Export License is the sole exception.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456"/>
            <w:shd w:fill="2E4057" w:color="FFFFFF" w:val="clear"/>
          </w:tcPr>
          <w:p>
            <w:pPr>
              <w:jc w:val="center"/>
            </w:pPr>
            <w:r>
              <w:rPr>
                <w:rFonts w:ascii="Times New Roman" w:hAnsi="Times New Roman"/>
                <w:b/>
                <w:i w:val="0"/>
                <w:color w:val="FFFFFF"/>
                <w:sz w:val="20"/>
              </w:rPr>
              <w:t>Document Class</w:t>
            </w:r>
          </w:p>
        </w:tc>
        <w:tc>
          <w:tcPr>
            <w:tcW w:type="dxa" w:w="720"/>
            <w:shd w:fill="2E4057" w:color="FFFFFF" w:val="clear"/>
          </w:tcPr>
          <w:p>
            <w:pPr>
              <w:jc w:val="center"/>
            </w:pPr>
            <w:r>
              <w:rPr>
                <w:rFonts w:ascii="Times New Roman" w:hAnsi="Times New Roman"/>
                <w:b/>
                <w:i w:val="0"/>
                <w:color w:val="FFFFFF"/>
                <w:sz w:val="20"/>
              </w:rPr>
              <w:t>n</w:t>
            </w:r>
          </w:p>
        </w:tc>
        <w:tc>
          <w:tcPr>
            <w:tcW w:type="dxa" w:w="1152"/>
            <w:shd w:fill="2E4057" w:color="FFFFFF" w:val="clear"/>
          </w:tcPr>
          <w:p>
            <w:pPr>
              <w:jc w:val="center"/>
            </w:pPr>
            <w:r>
              <w:rPr>
                <w:rFonts w:ascii="Times New Roman" w:hAnsi="Times New Roman"/>
                <w:b/>
                <w:i w:val="0"/>
                <w:color w:val="FFFFFF"/>
                <w:sz w:val="20"/>
              </w:rPr>
              <w:t>Cls Acc</w:t>
            </w:r>
          </w:p>
        </w:tc>
        <w:tc>
          <w:tcPr>
            <w:tcW w:type="dxa" w:w="1152"/>
            <w:shd w:fill="2E4057" w:color="FFFFFF" w:val="clear"/>
          </w:tcPr>
          <w:p>
            <w:pPr>
              <w:jc w:val="center"/>
            </w:pPr>
            <w:r>
              <w:rPr>
                <w:rFonts w:ascii="Times New Roman" w:hAnsi="Times New Roman"/>
                <w:b/>
                <w:i w:val="0"/>
                <w:color w:val="FFFFFF"/>
                <w:sz w:val="20"/>
              </w:rPr>
              <w:t>Field F1</w:t>
            </w:r>
          </w:p>
        </w:tc>
        <w:tc>
          <w:tcPr>
            <w:tcW w:type="dxa" w:w="1440"/>
            <w:shd w:fill="2E4057" w:color="FFFFFF" w:val="clear"/>
          </w:tcPr>
          <w:p>
            <w:pPr>
              <w:jc w:val="center"/>
            </w:pPr>
            <w:r>
              <w:rPr>
                <w:rFonts w:ascii="Times New Roman" w:hAnsi="Times New Roman"/>
                <w:b/>
                <w:i w:val="0"/>
                <w:color w:val="FFFFFF"/>
                <w:sz w:val="20"/>
              </w:rPr>
              <w:t>Zero-Shot Cls</w:t>
            </w:r>
          </w:p>
        </w:tc>
        <w:tc>
          <w:tcPr>
            <w:tcW w:type="dxa" w:w="1440"/>
            <w:shd w:fill="2E4057" w:color="FFFFFF" w:val="clear"/>
          </w:tcPr>
          <w:p>
            <w:pPr>
              <w:jc w:val="center"/>
            </w:pPr>
            <w:r>
              <w:rPr>
                <w:rFonts w:ascii="Times New Roman" w:hAnsi="Times New Roman"/>
                <w:b/>
                <w:i w:val="0"/>
                <w:color w:val="FFFFFF"/>
                <w:sz w:val="20"/>
              </w:rPr>
              <w:t>Zero-Shot F1</w:t>
            </w:r>
          </w:p>
        </w:tc>
      </w:tr>
      <w:tr>
        <w:tc>
          <w:tcPr>
            <w:tcW w:type="dxa" w:w="3456"/>
            <w:shd w:fill="F0F4F8" w:val="clear"/>
          </w:tcPr>
          <w:p>
            <w:pPr>
              <w:jc w:val="left"/>
            </w:pPr>
            <w:r>
              <w:rPr>
                <w:rFonts w:ascii="Times New Roman" w:hAnsi="Times New Roman"/>
                <w:b w:val="0"/>
                <w:i w:val="0"/>
                <w:sz w:val="20"/>
              </w:rPr>
              <w:t>Commercial Invoice</w:t>
            </w:r>
          </w:p>
        </w:tc>
        <w:tc>
          <w:tcPr>
            <w:tcW w:type="dxa" w:w="720"/>
            <w:shd w:fill="F0F4F8" w:val="clear"/>
          </w:tcPr>
          <w:p>
            <w:pPr>
              <w:jc w:val="center"/>
            </w:pPr>
            <w:r>
              <w:rPr>
                <w:rFonts w:ascii="Times New Roman" w:hAnsi="Times New Roman"/>
                <w:b w:val="0"/>
                <w:i w:val="0"/>
                <w:sz w:val="20"/>
              </w:rPr>
              <w:t>388</w:t>
            </w:r>
          </w:p>
        </w:tc>
        <w:tc>
          <w:tcPr>
            <w:tcW w:type="dxa" w:w="1152"/>
            <w:shd w:fill="F0F4F8" w:val="clear"/>
          </w:tcPr>
          <w:p>
            <w:pPr>
              <w:jc w:val="center"/>
            </w:pPr>
            <w:r>
              <w:rPr>
                <w:rFonts w:ascii="Times New Roman" w:hAnsi="Times New Roman"/>
                <w:b w:val="0"/>
                <w:i w:val="0"/>
                <w:sz w:val="20"/>
              </w:rPr>
              <w:t>100.0%</w:t>
            </w:r>
          </w:p>
        </w:tc>
        <w:tc>
          <w:tcPr>
            <w:tcW w:type="dxa" w:w="1152"/>
            <w:shd w:fill="F0F4F8" w:val="clear"/>
          </w:tcPr>
          <w:p>
            <w:pPr>
              <w:jc w:val="center"/>
            </w:pPr>
            <w:r>
              <w:rPr>
                <w:rFonts w:ascii="Times New Roman" w:hAnsi="Times New Roman"/>
                <w:b w:val="0"/>
                <w:i w:val="0"/>
                <w:sz w:val="20"/>
              </w:rPr>
              <w:t>99.9%</w:t>
            </w:r>
          </w:p>
        </w:tc>
        <w:tc>
          <w:tcPr>
            <w:tcW w:type="dxa" w:w="1440"/>
            <w:shd w:fill="F0F4F8" w:val="clear"/>
          </w:tcPr>
          <w:p>
            <w:pPr>
              <w:jc w:val="center"/>
            </w:pPr>
            <w:r>
              <w:rPr>
                <w:rFonts w:ascii="Times New Roman" w:hAnsi="Times New Roman"/>
                <w:b w:val="0"/>
                <w:i w:val="0"/>
                <w:sz w:val="20"/>
              </w:rPr>
              <w:t>99.0%</w:t>
            </w:r>
          </w:p>
        </w:tc>
        <w:tc>
          <w:tcPr>
            <w:tcW w:type="dxa" w:w="1440"/>
            <w:shd w:fill="F0F4F8" w:val="clear"/>
          </w:tcPr>
          <w:p>
            <w:pPr>
              <w:jc w:val="center"/>
            </w:pPr>
            <w:r>
              <w:rPr>
                <w:rFonts w:ascii="Times New Roman" w:hAnsi="Times New Roman"/>
                <w:b w:val="0"/>
                <w:i w:val="0"/>
                <w:sz w:val="20"/>
              </w:rPr>
              <w:t>43.6%</w:t>
            </w:r>
          </w:p>
        </w:tc>
      </w:tr>
      <w:tr>
        <w:tc>
          <w:tcPr>
            <w:tcW w:type="dxa" w:w="3456"/>
          </w:tcPr>
          <w:p>
            <w:pPr>
              <w:jc w:val="left"/>
            </w:pPr>
            <w:r>
              <w:rPr>
                <w:rFonts w:ascii="Times New Roman" w:hAnsi="Times New Roman"/>
                <w:b w:val="0"/>
                <w:i w:val="0"/>
                <w:sz w:val="20"/>
              </w:rPr>
              <w:t>House Bill of Lading</w:t>
            </w:r>
          </w:p>
        </w:tc>
        <w:tc>
          <w:tcPr>
            <w:tcW w:type="dxa" w:w="720"/>
          </w:tcPr>
          <w:p>
            <w:pPr>
              <w:jc w:val="center"/>
            </w:pPr>
            <w:r>
              <w:rPr>
                <w:rFonts w:ascii="Times New Roman" w:hAnsi="Times New Roman"/>
                <w:b w:val="0"/>
                <w:i w:val="0"/>
                <w:sz w:val="20"/>
              </w:rPr>
              <w:t>162</w:t>
            </w:r>
          </w:p>
        </w:tc>
        <w:tc>
          <w:tcPr>
            <w:tcW w:type="dxa" w:w="1152"/>
          </w:tcPr>
          <w:p>
            <w:pPr>
              <w:jc w:val="center"/>
            </w:pPr>
            <w:r>
              <w:rPr>
                <w:rFonts w:ascii="Times New Roman" w:hAnsi="Times New Roman"/>
                <w:b w:val="0"/>
                <w:i w:val="0"/>
                <w:sz w:val="20"/>
              </w:rPr>
              <w:t>100.0%</w:t>
            </w:r>
          </w:p>
        </w:tc>
        <w:tc>
          <w:tcPr>
            <w:tcW w:type="dxa" w:w="1152"/>
          </w:tcPr>
          <w:p>
            <w:pPr>
              <w:jc w:val="center"/>
            </w:pPr>
            <w:r>
              <w:rPr>
                <w:rFonts w:ascii="Times New Roman" w:hAnsi="Times New Roman"/>
                <w:b w:val="0"/>
                <w:i w:val="0"/>
                <w:sz w:val="20"/>
              </w:rPr>
              <w:t>99.9%</w:t>
            </w:r>
          </w:p>
        </w:tc>
        <w:tc>
          <w:tcPr>
            <w:tcW w:type="dxa" w:w="1440"/>
          </w:tcPr>
          <w:p>
            <w:pPr>
              <w:jc w:val="center"/>
            </w:pPr>
            <w:r>
              <w:rPr>
                <w:rFonts w:ascii="Times New Roman" w:hAnsi="Times New Roman"/>
                <w:b w:val="0"/>
                <w:i w:val="0"/>
                <w:sz w:val="20"/>
              </w:rPr>
              <w:t>78.4%</w:t>
            </w:r>
          </w:p>
        </w:tc>
        <w:tc>
          <w:tcPr>
            <w:tcW w:type="dxa" w:w="1440"/>
          </w:tcPr>
          <w:p>
            <w:pPr>
              <w:jc w:val="center"/>
            </w:pPr>
            <w:r>
              <w:rPr>
                <w:rFonts w:ascii="Times New Roman" w:hAnsi="Times New Roman"/>
                <w:b w:val="0"/>
                <w:i w:val="0"/>
                <w:sz w:val="20"/>
              </w:rPr>
              <w:t>76.2%</w:t>
            </w:r>
          </w:p>
        </w:tc>
      </w:tr>
      <w:tr>
        <w:tc>
          <w:tcPr>
            <w:tcW w:type="dxa" w:w="3456"/>
            <w:shd w:fill="F0F4F8" w:val="clear"/>
          </w:tcPr>
          <w:p>
            <w:pPr>
              <w:jc w:val="left"/>
            </w:pPr>
            <w:r>
              <w:rPr>
                <w:rFonts w:ascii="Times New Roman" w:hAnsi="Times New Roman"/>
                <w:b w:val="0"/>
                <w:i w:val="0"/>
                <w:sz w:val="20"/>
              </w:rPr>
              <w:t>Certificate of Origin</w:t>
            </w:r>
          </w:p>
        </w:tc>
        <w:tc>
          <w:tcPr>
            <w:tcW w:type="dxa" w:w="720"/>
            <w:shd w:fill="F0F4F8" w:val="clear"/>
          </w:tcPr>
          <w:p>
            <w:pPr>
              <w:jc w:val="center"/>
            </w:pPr>
            <w:r>
              <w:rPr>
                <w:rFonts w:ascii="Times New Roman" w:hAnsi="Times New Roman"/>
                <w:b w:val="0"/>
                <w:i w:val="0"/>
                <w:sz w:val="20"/>
              </w:rPr>
              <w:t>125</w:t>
            </w:r>
          </w:p>
        </w:tc>
        <w:tc>
          <w:tcPr>
            <w:tcW w:type="dxa" w:w="1152"/>
            <w:shd w:fill="F0F4F8" w:val="clear"/>
          </w:tcPr>
          <w:p>
            <w:pPr>
              <w:jc w:val="center"/>
            </w:pPr>
            <w:r>
              <w:rPr>
                <w:rFonts w:ascii="Times New Roman" w:hAnsi="Times New Roman"/>
                <w:b w:val="0"/>
                <w:i w:val="0"/>
                <w:sz w:val="20"/>
              </w:rPr>
              <w:t>100.0%</w:t>
            </w:r>
          </w:p>
        </w:tc>
        <w:tc>
          <w:tcPr>
            <w:tcW w:type="dxa" w:w="1152"/>
            <w:shd w:fill="F0F4F8" w:val="clear"/>
          </w:tcPr>
          <w:p>
            <w:pPr>
              <w:jc w:val="center"/>
            </w:pPr>
            <w:r>
              <w:rPr>
                <w:rFonts w:ascii="Times New Roman" w:hAnsi="Times New Roman"/>
                <w:b w:val="0"/>
                <w:i w:val="0"/>
                <w:sz w:val="20"/>
              </w:rPr>
              <w:t>99.9%</w:t>
            </w:r>
          </w:p>
        </w:tc>
        <w:tc>
          <w:tcPr>
            <w:tcW w:type="dxa" w:w="1440"/>
            <w:shd w:fill="F0F4F8" w:val="clear"/>
          </w:tcPr>
          <w:p>
            <w:pPr>
              <w:jc w:val="center"/>
            </w:pPr>
            <w:r>
              <w:rPr>
                <w:rFonts w:ascii="Times New Roman" w:hAnsi="Times New Roman"/>
                <w:b w:val="0"/>
                <w:i w:val="0"/>
                <w:sz w:val="20"/>
              </w:rPr>
              <w:t>64.8%</w:t>
            </w:r>
          </w:p>
        </w:tc>
        <w:tc>
          <w:tcPr>
            <w:tcW w:type="dxa" w:w="1440"/>
            <w:shd w:fill="F0F4F8" w:val="clear"/>
          </w:tcPr>
          <w:p>
            <w:pPr>
              <w:jc w:val="center"/>
            </w:pPr>
            <w:r>
              <w:rPr>
                <w:rFonts w:ascii="Times New Roman" w:hAnsi="Times New Roman"/>
                <w:b w:val="0"/>
                <w:i w:val="0"/>
                <w:sz w:val="20"/>
              </w:rPr>
              <w:t>59.8%</w:t>
            </w:r>
          </w:p>
        </w:tc>
      </w:tr>
      <w:tr>
        <w:tc>
          <w:tcPr>
            <w:tcW w:type="dxa" w:w="3456"/>
          </w:tcPr>
          <w:p>
            <w:pPr>
              <w:jc w:val="left"/>
            </w:pPr>
            <w:r>
              <w:rPr>
                <w:rFonts w:ascii="Times New Roman" w:hAnsi="Times New Roman"/>
                <w:b w:val="0"/>
                <w:i w:val="0"/>
                <w:sz w:val="20"/>
              </w:rPr>
              <w:t>Shipper's Letter of Instruction</w:t>
            </w:r>
          </w:p>
        </w:tc>
        <w:tc>
          <w:tcPr>
            <w:tcW w:type="dxa" w:w="720"/>
          </w:tcPr>
          <w:p>
            <w:pPr>
              <w:jc w:val="center"/>
            </w:pPr>
            <w:r>
              <w:rPr>
                <w:rFonts w:ascii="Times New Roman" w:hAnsi="Times New Roman"/>
                <w:b w:val="0"/>
                <w:i w:val="0"/>
                <w:sz w:val="20"/>
              </w:rPr>
              <w:t>155</w:t>
            </w:r>
          </w:p>
        </w:tc>
        <w:tc>
          <w:tcPr>
            <w:tcW w:type="dxa" w:w="1152"/>
          </w:tcPr>
          <w:p>
            <w:pPr>
              <w:jc w:val="center"/>
            </w:pPr>
            <w:r>
              <w:rPr>
                <w:rFonts w:ascii="Times New Roman" w:hAnsi="Times New Roman"/>
                <w:b w:val="0"/>
                <w:i w:val="0"/>
                <w:sz w:val="20"/>
              </w:rPr>
              <w:t>100.0%</w:t>
            </w:r>
          </w:p>
        </w:tc>
        <w:tc>
          <w:tcPr>
            <w:tcW w:type="dxa" w:w="1152"/>
          </w:tcPr>
          <w:p>
            <w:pPr>
              <w:jc w:val="center"/>
            </w:pPr>
            <w:r>
              <w:rPr>
                <w:rFonts w:ascii="Times New Roman" w:hAnsi="Times New Roman"/>
                <w:b w:val="0"/>
                <w:i w:val="0"/>
                <w:sz w:val="20"/>
              </w:rPr>
              <w:t>97.8%</w:t>
            </w:r>
          </w:p>
        </w:tc>
        <w:tc>
          <w:tcPr>
            <w:tcW w:type="dxa" w:w="1440"/>
          </w:tcPr>
          <w:p>
            <w:pPr>
              <w:jc w:val="center"/>
            </w:pPr>
            <w:r>
              <w:rPr>
                <w:rFonts w:ascii="Times New Roman" w:hAnsi="Times New Roman"/>
                <w:b w:val="0"/>
                <w:i w:val="0"/>
                <w:sz w:val="20"/>
              </w:rPr>
              <w:t>41.3%</w:t>
            </w:r>
          </w:p>
        </w:tc>
        <w:tc>
          <w:tcPr>
            <w:tcW w:type="dxa" w:w="1440"/>
          </w:tcPr>
          <w:p>
            <w:pPr>
              <w:jc w:val="center"/>
            </w:pPr>
            <w:r>
              <w:rPr>
                <w:rFonts w:ascii="Times New Roman" w:hAnsi="Times New Roman"/>
                <w:b w:val="0"/>
                <w:i w:val="0"/>
                <w:sz w:val="20"/>
              </w:rPr>
              <w:t>67.3%</w:t>
            </w:r>
          </w:p>
        </w:tc>
      </w:tr>
      <w:tr>
        <w:tc>
          <w:tcPr>
            <w:tcW w:type="dxa" w:w="3456"/>
            <w:shd w:fill="F0F4F8" w:val="clear"/>
          </w:tcPr>
          <w:p>
            <w:pPr>
              <w:jc w:val="left"/>
            </w:pPr>
            <w:r>
              <w:rPr>
                <w:rFonts w:ascii="Times New Roman" w:hAnsi="Times New Roman"/>
                <w:b w:val="0"/>
                <w:i w:val="0"/>
                <w:sz w:val="20"/>
              </w:rPr>
              <w:t>Dangerous Goods Declaration</w:t>
            </w:r>
          </w:p>
        </w:tc>
        <w:tc>
          <w:tcPr>
            <w:tcW w:type="dxa" w:w="720"/>
            <w:shd w:fill="F0F4F8" w:val="clear"/>
          </w:tcPr>
          <w:p>
            <w:pPr>
              <w:jc w:val="center"/>
            </w:pPr>
            <w:r>
              <w:rPr>
                <w:rFonts w:ascii="Times New Roman" w:hAnsi="Times New Roman"/>
                <w:b w:val="0"/>
                <w:i w:val="0"/>
                <w:sz w:val="20"/>
              </w:rPr>
              <w:t>178</w:t>
            </w:r>
          </w:p>
        </w:tc>
        <w:tc>
          <w:tcPr>
            <w:tcW w:type="dxa" w:w="1152"/>
            <w:shd w:fill="F0F4F8" w:val="clear"/>
          </w:tcPr>
          <w:p>
            <w:pPr>
              <w:jc w:val="center"/>
            </w:pPr>
            <w:r>
              <w:rPr>
                <w:rFonts w:ascii="Times New Roman" w:hAnsi="Times New Roman"/>
                <w:b w:val="0"/>
                <w:i w:val="0"/>
                <w:sz w:val="20"/>
              </w:rPr>
              <w:t>100.0%</w:t>
            </w:r>
          </w:p>
        </w:tc>
        <w:tc>
          <w:tcPr>
            <w:tcW w:type="dxa" w:w="1152"/>
            <w:shd w:fill="F0F4F8" w:val="clear"/>
          </w:tcPr>
          <w:p>
            <w:pPr>
              <w:jc w:val="center"/>
            </w:pPr>
            <w:r>
              <w:rPr>
                <w:rFonts w:ascii="Times New Roman" w:hAnsi="Times New Roman"/>
                <w:b w:val="0"/>
                <w:i w:val="0"/>
                <w:sz w:val="20"/>
              </w:rPr>
              <w:t>96.6%</w:t>
            </w:r>
          </w:p>
        </w:tc>
        <w:tc>
          <w:tcPr>
            <w:tcW w:type="dxa" w:w="1440"/>
            <w:shd w:fill="F0F4F8" w:val="clear"/>
          </w:tcPr>
          <w:p>
            <w:pPr>
              <w:jc w:val="center"/>
            </w:pPr>
            <w:r>
              <w:rPr>
                <w:rFonts w:ascii="Times New Roman" w:hAnsi="Times New Roman"/>
                <w:b w:val="0"/>
                <w:i w:val="0"/>
                <w:sz w:val="20"/>
              </w:rPr>
              <w:t>77.5%</w:t>
            </w:r>
          </w:p>
        </w:tc>
        <w:tc>
          <w:tcPr>
            <w:tcW w:type="dxa" w:w="1440"/>
            <w:shd w:fill="F0F4F8" w:val="clear"/>
          </w:tcPr>
          <w:p>
            <w:pPr>
              <w:jc w:val="center"/>
            </w:pPr>
            <w:r>
              <w:rPr>
                <w:rFonts w:ascii="Times New Roman" w:hAnsi="Times New Roman"/>
                <w:b w:val="0"/>
                <w:i w:val="0"/>
                <w:sz w:val="20"/>
              </w:rPr>
              <w:t>61.9%</w:t>
            </w:r>
          </w:p>
        </w:tc>
      </w:tr>
      <w:tr>
        <w:tc>
          <w:tcPr>
            <w:tcW w:type="dxa" w:w="3456"/>
          </w:tcPr>
          <w:p>
            <w:pPr>
              <w:jc w:val="left"/>
            </w:pPr>
            <w:r>
              <w:rPr>
                <w:rFonts w:ascii="Times New Roman" w:hAnsi="Times New Roman"/>
                <w:b w:val="0"/>
                <w:i w:val="0"/>
                <w:sz w:val="20"/>
              </w:rPr>
              <w:t>Verified Gross Mass</w:t>
            </w:r>
          </w:p>
        </w:tc>
        <w:tc>
          <w:tcPr>
            <w:tcW w:type="dxa" w:w="720"/>
          </w:tcPr>
          <w:p>
            <w:pPr>
              <w:jc w:val="center"/>
            </w:pPr>
            <w:r>
              <w:rPr>
                <w:rFonts w:ascii="Times New Roman" w:hAnsi="Times New Roman"/>
                <w:b w:val="0"/>
                <w:i w:val="0"/>
                <w:sz w:val="20"/>
              </w:rPr>
              <w:t>155</w:t>
            </w:r>
          </w:p>
        </w:tc>
        <w:tc>
          <w:tcPr>
            <w:tcW w:type="dxa" w:w="1152"/>
          </w:tcPr>
          <w:p>
            <w:pPr>
              <w:jc w:val="center"/>
            </w:pPr>
            <w:r>
              <w:rPr>
                <w:rFonts w:ascii="Times New Roman" w:hAnsi="Times New Roman"/>
                <w:b w:val="0"/>
                <w:i w:val="0"/>
                <w:sz w:val="20"/>
              </w:rPr>
              <w:t>100.0%</w:t>
            </w:r>
          </w:p>
        </w:tc>
        <w:tc>
          <w:tcPr>
            <w:tcW w:type="dxa" w:w="1152"/>
          </w:tcPr>
          <w:p>
            <w:pPr>
              <w:jc w:val="center"/>
            </w:pPr>
            <w:r>
              <w:rPr>
                <w:rFonts w:ascii="Times New Roman" w:hAnsi="Times New Roman"/>
                <w:b w:val="0"/>
                <w:i w:val="0"/>
                <w:sz w:val="20"/>
              </w:rPr>
              <w:t>98.0%</w:t>
            </w:r>
          </w:p>
        </w:tc>
        <w:tc>
          <w:tcPr>
            <w:tcW w:type="dxa" w:w="1440"/>
          </w:tcPr>
          <w:p>
            <w:pPr>
              <w:jc w:val="center"/>
            </w:pPr>
            <w:r>
              <w:rPr>
                <w:rFonts w:ascii="Times New Roman" w:hAnsi="Times New Roman"/>
                <w:b w:val="0"/>
                <w:i w:val="0"/>
                <w:sz w:val="20"/>
              </w:rPr>
              <w:t>99.4%</w:t>
            </w:r>
          </w:p>
        </w:tc>
        <w:tc>
          <w:tcPr>
            <w:tcW w:type="dxa" w:w="1440"/>
          </w:tcPr>
          <w:p>
            <w:pPr>
              <w:jc w:val="center"/>
            </w:pPr>
            <w:r>
              <w:rPr>
                <w:rFonts w:ascii="Times New Roman" w:hAnsi="Times New Roman"/>
                <w:b w:val="0"/>
                <w:i w:val="0"/>
                <w:sz w:val="20"/>
              </w:rPr>
              <w:t>59.2%</w:t>
            </w:r>
          </w:p>
        </w:tc>
      </w:tr>
      <w:tr>
        <w:tc>
          <w:tcPr>
            <w:tcW w:type="dxa" w:w="3456"/>
            <w:shd w:fill="F0F4F8" w:val="clear"/>
          </w:tcPr>
          <w:p>
            <w:pPr>
              <w:jc w:val="left"/>
            </w:pPr>
            <w:r>
              <w:rPr>
                <w:rFonts w:ascii="Times New Roman" w:hAnsi="Times New Roman"/>
                <w:b w:val="0"/>
                <w:i w:val="0"/>
                <w:sz w:val="20"/>
              </w:rPr>
              <w:t>House Airway Bill</w:t>
            </w:r>
          </w:p>
        </w:tc>
        <w:tc>
          <w:tcPr>
            <w:tcW w:type="dxa" w:w="720"/>
            <w:shd w:fill="F0F4F8" w:val="clear"/>
          </w:tcPr>
          <w:p>
            <w:pPr>
              <w:jc w:val="center"/>
            </w:pPr>
            <w:r>
              <w:rPr>
                <w:rFonts w:ascii="Times New Roman" w:hAnsi="Times New Roman"/>
                <w:b w:val="0"/>
                <w:i w:val="0"/>
                <w:sz w:val="20"/>
              </w:rPr>
              <w:t>152</w:t>
            </w:r>
          </w:p>
        </w:tc>
        <w:tc>
          <w:tcPr>
            <w:tcW w:type="dxa" w:w="1152"/>
            <w:shd w:fill="F0F4F8" w:val="clear"/>
          </w:tcPr>
          <w:p>
            <w:pPr>
              <w:jc w:val="center"/>
            </w:pPr>
            <w:r>
              <w:rPr>
                <w:rFonts w:ascii="Times New Roman" w:hAnsi="Times New Roman"/>
                <w:b w:val="0"/>
                <w:i w:val="0"/>
                <w:sz w:val="20"/>
              </w:rPr>
              <w:t>100.0%</w:t>
            </w:r>
          </w:p>
        </w:tc>
        <w:tc>
          <w:tcPr>
            <w:tcW w:type="dxa" w:w="1152"/>
            <w:shd w:fill="F0F4F8" w:val="clear"/>
          </w:tcPr>
          <w:p>
            <w:pPr>
              <w:jc w:val="center"/>
            </w:pPr>
            <w:r>
              <w:rPr>
                <w:rFonts w:ascii="Times New Roman" w:hAnsi="Times New Roman"/>
                <w:b w:val="0"/>
                <w:i w:val="0"/>
                <w:sz w:val="20"/>
              </w:rPr>
              <w:t>83.8%</w:t>
            </w:r>
          </w:p>
        </w:tc>
        <w:tc>
          <w:tcPr>
            <w:tcW w:type="dxa" w:w="1440"/>
            <w:shd w:fill="F0F4F8" w:val="clear"/>
          </w:tcPr>
          <w:p>
            <w:pPr>
              <w:jc w:val="center"/>
            </w:pPr>
            <w:r>
              <w:rPr>
                <w:rFonts w:ascii="Times New Roman" w:hAnsi="Times New Roman"/>
                <w:b w:val="0"/>
                <w:i w:val="0"/>
                <w:sz w:val="20"/>
              </w:rPr>
              <w:t>99.3%</w:t>
            </w:r>
          </w:p>
        </w:tc>
        <w:tc>
          <w:tcPr>
            <w:tcW w:type="dxa" w:w="1440"/>
            <w:shd w:fill="F0F4F8" w:val="clear"/>
          </w:tcPr>
          <w:p>
            <w:pPr>
              <w:jc w:val="center"/>
            </w:pPr>
            <w:r>
              <w:rPr>
                <w:rFonts w:ascii="Times New Roman" w:hAnsi="Times New Roman"/>
                <w:b w:val="0"/>
                <w:i w:val="0"/>
                <w:sz w:val="20"/>
              </w:rPr>
              <w:t>44.9%</w:t>
            </w:r>
          </w:p>
        </w:tc>
      </w:tr>
      <w:tr>
        <w:tc>
          <w:tcPr>
            <w:tcW w:type="dxa" w:w="3456"/>
          </w:tcPr>
          <w:p>
            <w:pPr>
              <w:jc w:val="left"/>
            </w:pPr>
            <w:r>
              <w:rPr>
                <w:rFonts w:ascii="Times New Roman" w:hAnsi="Times New Roman"/>
                <w:b w:val="0"/>
                <w:i w:val="0"/>
                <w:sz w:val="20"/>
              </w:rPr>
              <w:t>Packing List</w:t>
            </w:r>
          </w:p>
        </w:tc>
        <w:tc>
          <w:tcPr>
            <w:tcW w:type="dxa" w:w="720"/>
          </w:tcPr>
          <w:p>
            <w:pPr>
              <w:jc w:val="center"/>
            </w:pPr>
            <w:r>
              <w:rPr>
                <w:rFonts w:ascii="Times New Roman" w:hAnsi="Times New Roman"/>
                <w:b w:val="0"/>
                <w:i w:val="0"/>
                <w:sz w:val="20"/>
              </w:rPr>
              <w:t>294</w:t>
            </w:r>
          </w:p>
        </w:tc>
        <w:tc>
          <w:tcPr>
            <w:tcW w:type="dxa" w:w="1152"/>
          </w:tcPr>
          <w:p>
            <w:pPr>
              <w:jc w:val="center"/>
            </w:pPr>
            <w:r>
              <w:rPr>
                <w:rFonts w:ascii="Times New Roman" w:hAnsi="Times New Roman"/>
                <w:b w:val="0"/>
                <w:i w:val="0"/>
                <w:sz w:val="20"/>
              </w:rPr>
              <w:t>100.0%</w:t>
            </w:r>
          </w:p>
        </w:tc>
        <w:tc>
          <w:tcPr>
            <w:tcW w:type="dxa" w:w="1152"/>
          </w:tcPr>
          <w:p>
            <w:pPr>
              <w:jc w:val="center"/>
            </w:pPr>
            <w:r>
              <w:rPr>
                <w:rFonts w:ascii="Times New Roman" w:hAnsi="Times New Roman"/>
                <w:b w:val="0"/>
                <w:i w:val="0"/>
                <w:sz w:val="20"/>
              </w:rPr>
              <w:t>99.8%</w:t>
            </w:r>
          </w:p>
        </w:tc>
        <w:tc>
          <w:tcPr>
            <w:tcW w:type="dxa" w:w="1440"/>
          </w:tcPr>
          <w:p>
            <w:pPr>
              <w:jc w:val="center"/>
            </w:pPr>
            <w:r>
              <w:rPr>
                <w:rFonts w:ascii="Times New Roman" w:hAnsi="Times New Roman"/>
                <w:b w:val="0"/>
                <w:i w:val="0"/>
                <w:sz w:val="20"/>
              </w:rPr>
              <w:t>99.7%</w:t>
            </w:r>
          </w:p>
        </w:tc>
        <w:tc>
          <w:tcPr>
            <w:tcW w:type="dxa" w:w="1440"/>
          </w:tcPr>
          <w:p>
            <w:pPr>
              <w:jc w:val="center"/>
            </w:pPr>
            <w:r>
              <w:rPr>
                <w:rFonts w:ascii="Times New Roman" w:hAnsi="Times New Roman"/>
                <w:b w:val="0"/>
                <w:i w:val="0"/>
                <w:sz w:val="20"/>
              </w:rPr>
              <w:t>53.4%</w:t>
            </w:r>
          </w:p>
        </w:tc>
      </w:tr>
      <w:tr>
        <w:tc>
          <w:tcPr>
            <w:tcW w:type="dxa" w:w="3456"/>
            <w:shd w:fill="F0F4F8" w:val="clear"/>
          </w:tcPr>
          <w:p>
            <w:pPr>
              <w:jc w:val="left"/>
            </w:pPr>
            <w:r>
              <w:rPr>
                <w:rFonts w:ascii="Times New Roman" w:hAnsi="Times New Roman"/>
                <w:b w:val="0"/>
                <w:i w:val="0"/>
                <w:sz w:val="20"/>
              </w:rPr>
              <w:t>Customs Declaration</w:t>
            </w:r>
          </w:p>
        </w:tc>
        <w:tc>
          <w:tcPr>
            <w:tcW w:type="dxa" w:w="720"/>
            <w:shd w:fill="F0F4F8" w:val="clear"/>
          </w:tcPr>
          <w:p>
            <w:pPr>
              <w:jc w:val="center"/>
            </w:pPr>
            <w:r>
              <w:rPr>
                <w:rFonts w:ascii="Times New Roman" w:hAnsi="Times New Roman"/>
                <w:b w:val="0"/>
                <w:i w:val="0"/>
                <w:sz w:val="20"/>
              </w:rPr>
              <w:t>208</w:t>
            </w:r>
          </w:p>
        </w:tc>
        <w:tc>
          <w:tcPr>
            <w:tcW w:type="dxa" w:w="1152"/>
            <w:shd w:fill="F0F4F8" w:val="clear"/>
          </w:tcPr>
          <w:p>
            <w:pPr>
              <w:jc w:val="center"/>
            </w:pPr>
            <w:r>
              <w:rPr>
                <w:rFonts w:ascii="Times New Roman" w:hAnsi="Times New Roman"/>
                <w:b w:val="0"/>
                <w:i w:val="0"/>
                <w:sz w:val="20"/>
              </w:rPr>
              <w:t>100.0%</w:t>
            </w:r>
          </w:p>
        </w:tc>
        <w:tc>
          <w:tcPr>
            <w:tcW w:type="dxa" w:w="1152"/>
            <w:shd w:fill="F0F4F8" w:val="clear"/>
          </w:tcPr>
          <w:p>
            <w:pPr>
              <w:jc w:val="center"/>
            </w:pPr>
            <w:r>
              <w:rPr>
                <w:rFonts w:ascii="Times New Roman" w:hAnsi="Times New Roman"/>
                <w:b w:val="0"/>
                <w:i w:val="0"/>
                <w:sz w:val="20"/>
              </w:rPr>
              <w:t>97.5%</w:t>
            </w:r>
          </w:p>
        </w:tc>
        <w:tc>
          <w:tcPr>
            <w:tcW w:type="dxa" w:w="1440"/>
            <w:shd w:fill="F0F4F8" w:val="clear"/>
          </w:tcPr>
          <w:p>
            <w:pPr>
              <w:jc w:val="center"/>
            </w:pPr>
            <w:r>
              <w:rPr>
                <w:rFonts w:ascii="Times New Roman" w:hAnsi="Times New Roman"/>
                <w:b w:val="0"/>
                <w:i w:val="0"/>
                <w:sz w:val="20"/>
              </w:rPr>
              <w:t>92.3%</w:t>
            </w:r>
          </w:p>
        </w:tc>
        <w:tc>
          <w:tcPr>
            <w:tcW w:type="dxa" w:w="1440"/>
            <w:shd w:fill="F0F4F8" w:val="clear"/>
          </w:tcPr>
          <w:p>
            <w:pPr>
              <w:jc w:val="center"/>
            </w:pPr>
            <w:r>
              <w:rPr>
                <w:rFonts w:ascii="Times New Roman" w:hAnsi="Times New Roman"/>
                <w:b w:val="0"/>
                <w:i w:val="0"/>
                <w:sz w:val="20"/>
              </w:rPr>
              <w:t>57.4%</w:t>
            </w:r>
          </w:p>
        </w:tc>
      </w:tr>
      <w:tr>
        <w:tc>
          <w:tcPr>
            <w:tcW w:type="dxa" w:w="3456"/>
          </w:tcPr>
          <w:p>
            <w:pPr>
              <w:jc w:val="left"/>
            </w:pPr>
            <w:r>
              <w:rPr>
                <w:rFonts w:ascii="Times New Roman" w:hAnsi="Times New Roman"/>
                <w:b w:val="0"/>
                <w:i w:val="0"/>
                <w:sz w:val="20"/>
              </w:rPr>
              <w:t>Cargo Manifest</w:t>
            </w:r>
          </w:p>
        </w:tc>
        <w:tc>
          <w:tcPr>
            <w:tcW w:type="dxa" w:w="720"/>
          </w:tcPr>
          <w:p>
            <w:pPr>
              <w:jc w:val="center"/>
            </w:pPr>
            <w:r>
              <w:rPr>
                <w:rFonts w:ascii="Times New Roman" w:hAnsi="Times New Roman"/>
                <w:b w:val="0"/>
                <w:i w:val="0"/>
                <w:sz w:val="20"/>
              </w:rPr>
              <w:t>189</w:t>
            </w:r>
          </w:p>
        </w:tc>
        <w:tc>
          <w:tcPr>
            <w:tcW w:type="dxa" w:w="1152"/>
          </w:tcPr>
          <w:p>
            <w:pPr>
              <w:jc w:val="center"/>
            </w:pPr>
            <w:r>
              <w:rPr>
                <w:rFonts w:ascii="Times New Roman" w:hAnsi="Times New Roman"/>
                <w:b w:val="0"/>
                <w:i w:val="0"/>
                <w:sz w:val="20"/>
              </w:rPr>
              <w:t>100.0%</w:t>
            </w:r>
          </w:p>
        </w:tc>
        <w:tc>
          <w:tcPr>
            <w:tcW w:type="dxa" w:w="1152"/>
          </w:tcPr>
          <w:p>
            <w:pPr>
              <w:jc w:val="center"/>
            </w:pPr>
            <w:r>
              <w:rPr>
                <w:rFonts w:ascii="Times New Roman" w:hAnsi="Times New Roman"/>
                <w:b w:val="0"/>
                <w:i w:val="0"/>
                <w:sz w:val="20"/>
              </w:rPr>
              <w:t>99.6%</w:t>
            </w:r>
          </w:p>
        </w:tc>
        <w:tc>
          <w:tcPr>
            <w:tcW w:type="dxa" w:w="1440"/>
          </w:tcPr>
          <w:p>
            <w:pPr>
              <w:jc w:val="center"/>
            </w:pPr>
            <w:r>
              <w:rPr>
                <w:rFonts w:ascii="Times New Roman" w:hAnsi="Times New Roman"/>
                <w:b w:val="0"/>
                <w:i w:val="0"/>
                <w:sz w:val="20"/>
              </w:rPr>
              <w:t>99.5%</w:t>
            </w:r>
          </w:p>
        </w:tc>
        <w:tc>
          <w:tcPr>
            <w:tcW w:type="dxa" w:w="1440"/>
          </w:tcPr>
          <w:p>
            <w:pPr>
              <w:jc w:val="center"/>
            </w:pPr>
            <w:r>
              <w:rPr>
                <w:rFonts w:ascii="Times New Roman" w:hAnsi="Times New Roman"/>
                <w:b w:val="0"/>
                <w:i w:val="0"/>
                <w:sz w:val="20"/>
              </w:rPr>
              <w:t>15.7%</w:t>
            </w:r>
          </w:p>
        </w:tc>
      </w:tr>
      <w:tr>
        <w:tc>
          <w:tcPr>
            <w:tcW w:type="dxa" w:w="3456"/>
            <w:shd w:fill="F0F4F8" w:val="clear"/>
          </w:tcPr>
          <w:p>
            <w:pPr>
              <w:jc w:val="left"/>
            </w:pPr>
            <w:r>
              <w:rPr>
                <w:rFonts w:ascii="Times New Roman" w:hAnsi="Times New Roman"/>
                <w:b w:val="0"/>
                <w:i w:val="0"/>
                <w:sz w:val="20"/>
              </w:rPr>
              <w:t>Import/Export License</w:t>
            </w:r>
          </w:p>
        </w:tc>
        <w:tc>
          <w:tcPr>
            <w:tcW w:type="dxa" w:w="720"/>
            <w:shd w:fill="F0F4F8" w:val="clear"/>
          </w:tcPr>
          <w:p>
            <w:pPr>
              <w:jc w:val="center"/>
            </w:pPr>
            <w:r>
              <w:rPr>
                <w:rFonts w:ascii="Times New Roman" w:hAnsi="Times New Roman"/>
                <w:b w:val="0"/>
                <w:i w:val="0"/>
                <w:sz w:val="20"/>
              </w:rPr>
              <w:t>150</w:t>
            </w:r>
          </w:p>
        </w:tc>
        <w:tc>
          <w:tcPr>
            <w:tcW w:type="dxa" w:w="1152"/>
            <w:shd w:fill="F0F4F8" w:val="clear"/>
          </w:tcPr>
          <w:p>
            <w:pPr>
              <w:jc w:val="center"/>
            </w:pPr>
            <w:r>
              <w:rPr>
                <w:rFonts w:ascii="Times New Roman" w:hAnsi="Times New Roman"/>
                <w:b w:val="0"/>
                <w:i w:val="0"/>
                <w:sz w:val="20"/>
              </w:rPr>
              <w:t>75.3%</w:t>
            </w:r>
          </w:p>
        </w:tc>
        <w:tc>
          <w:tcPr>
            <w:tcW w:type="dxa" w:w="1152"/>
            <w:shd w:fill="F0F4F8" w:val="clear"/>
          </w:tcPr>
          <w:p>
            <w:pPr>
              <w:jc w:val="center"/>
            </w:pPr>
            <w:r>
              <w:rPr>
                <w:rFonts w:ascii="Times New Roman" w:hAnsi="Times New Roman"/>
                <w:b w:val="0"/>
                <w:i w:val="0"/>
                <w:sz w:val="20"/>
              </w:rPr>
              <w:t>97.2%</w:t>
            </w:r>
          </w:p>
        </w:tc>
        <w:tc>
          <w:tcPr>
            <w:tcW w:type="dxa" w:w="1440"/>
            <w:shd w:fill="F0F4F8" w:val="clear"/>
          </w:tcPr>
          <w:p>
            <w:pPr>
              <w:jc w:val="center"/>
            </w:pPr>
            <w:r>
              <w:rPr>
                <w:rFonts w:ascii="Times New Roman" w:hAnsi="Times New Roman"/>
                <w:b w:val="0"/>
                <w:i w:val="0"/>
                <w:sz w:val="20"/>
              </w:rPr>
              <w:t>22.0%</w:t>
            </w:r>
          </w:p>
        </w:tc>
        <w:tc>
          <w:tcPr>
            <w:tcW w:type="dxa" w:w="1440"/>
            <w:shd w:fill="F0F4F8" w:val="clear"/>
          </w:tcPr>
          <w:p>
            <w:pPr>
              <w:jc w:val="center"/>
            </w:pPr>
            <w:r>
              <w:rPr>
                <w:rFonts w:ascii="Times New Roman" w:hAnsi="Times New Roman"/>
                <w:b w:val="0"/>
                <w:i w:val="0"/>
                <w:sz w:val="20"/>
              </w:rPr>
              <w:t>47.2%</w:t>
            </w:r>
          </w:p>
        </w:tc>
      </w:tr>
      <w:tr>
        <w:tc>
          <w:tcPr>
            <w:tcW w:type="dxa" w:w="3456"/>
          </w:tcPr>
          <w:p>
            <w:pPr>
              <w:jc w:val="left"/>
            </w:pPr>
            <w:r>
              <w:rPr>
                <w:rFonts w:ascii="Times New Roman" w:hAnsi="Times New Roman"/>
                <w:b w:val="0"/>
                <w:i w:val="0"/>
                <w:sz w:val="20"/>
              </w:rPr>
              <w:t>Power of Attorney</w:t>
            </w:r>
          </w:p>
        </w:tc>
        <w:tc>
          <w:tcPr>
            <w:tcW w:type="dxa" w:w="720"/>
          </w:tcPr>
          <w:p>
            <w:pPr>
              <w:jc w:val="center"/>
            </w:pPr>
            <w:r>
              <w:rPr>
                <w:rFonts w:ascii="Times New Roman" w:hAnsi="Times New Roman"/>
                <w:b w:val="0"/>
                <w:i w:val="0"/>
                <w:sz w:val="20"/>
              </w:rPr>
              <w:t>151</w:t>
            </w:r>
          </w:p>
        </w:tc>
        <w:tc>
          <w:tcPr>
            <w:tcW w:type="dxa" w:w="1152"/>
          </w:tcPr>
          <w:p>
            <w:pPr>
              <w:jc w:val="center"/>
            </w:pPr>
            <w:r>
              <w:rPr>
                <w:rFonts w:ascii="Times New Roman" w:hAnsi="Times New Roman"/>
                <w:b w:val="0"/>
                <w:i w:val="0"/>
                <w:sz w:val="20"/>
              </w:rPr>
              <w:t>100.0%</w:t>
            </w:r>
          </w:p>
        </w:tc>
        <w:tc>
          <w:tcPr>
            <w:tcW w:type="dxa" w:w="1152"/>
          </w:tcPr>
          <w:p>
            <w:pPr>
              <w:jc w:val="center"/>
            </w:pPr>
            <w:r>
              <w:rPr>
                <w:rFonts w:ascii="Times New Roman" w:hAnsi="Times New Roman"/>
                <w:b w:val="0"/>
                <w:i w:val="0"/>
                <w:sz w:val="20"/>
              </w:rPr>
              <w:t>99.7%</w:t>
            </w:r>
          </w:p>
        </w:tc>
        <w:tc>
          <w:tcPr>
            <w:tcW w:type="dxa" w:w="1440"/>
          </w:tcPr>
          <w:p>
            <w:pPr>
              <w:jc w:val="center"/>
            </w:pPr>
            <w:r>
              <w:rPr>
                <w:rFonts w:ascii="Times New Roman" w:hAnsi="Times New Roman"/>
                <w:b w:val="0"/>
                <w:i w:val="0"/>
                <w:sz w:val="20"/>
              </w:rPr>
              <w:t>35.8%</w:t>
            </w:r>
          </w:p>
        </w:tc>
        <w:tc>
          <w:tcPr>
            <w:tcW w:type="dxa" w:w="1440"/>
          </w:tcPr>
          <w:p>
            <w:pPr>
              <w:jc w:val="center"/>
            </w:pPr>
            <w:r>
              <w:rPr>
                <w:rFonts w:ascii="Times New Roman" w:hAnsi="Times New Roman"/>
                <w:b w:val="0"/>
                <w:i w:val="0"/>
                <w:sz w:val="20"/>
              </w:rPr>
              <w:t>37.3%</w:t>
            </w:r>
          </w:p>
        </w:tc>
      </w:tr>
    </w:tbl>
    <w:p>
      <w:pPr>
        <w:spacing w:before="80" w:after="200"/>
        <w:jc w:val="center"/>
      </w:pPr>
      <w:r>
        <w:rPr>
          <w:rFonts w:ascii="Times New Roman" w:hAnsi="Times New Roman"/>
          <w:b w:val="0"/>
          <w:i/>
          <w:sz w:val="20"/>
        </w:rPr>
        <w:t>Table 7. Per-class results for Ours V3 CK-2000 vs zero-shot baseline.</w:t>
      </w:r>
    </w:p>
    <w:p>
      <w:pPr>
        <w:spacing w:after="120" w:before="0"/>
        <w:jc w:val="both"/>
      </w:pPr>
      <w:r>
        <w:rPr>
          <w:rFonts w:ascii="Times New Roman" w:hAnsi="Times New Roman"/>
          <w:b w:val="0"/>
          <w:i w:val="0"/>
          <w:sz w:val="22"/>
        </w:rPr>
        <w:t>Import/Export License (IEL) achieves 75.3% classification accuracy — the only class below 100%. Qualitative analysis reveals systematic confusion with Commercial Invoice and Shipper's Letter of Instruction: all three classes share a shipper/consignee block, commodity description, and date fields. The IEL-distinguishing elements (license number, government authority header, HS code under specific regulatory headings) require precise text recognition that the 3B model sometimes fails to leverage. Notably, IEL field F1 remains high (97.2%), indicating that when the model correctly identifies a page as IEL, extraction quality is maintained.</w:t>
      </w:r>
    </w:p>
    <w:p>
      <w:pPr>
        <w:spacing w:after="120" w:before="0"/>
        <w:jc w:val="both"/>
      </w:pPr>
      <w:r>
        <w:rPr>
          <w:rFonts w:ascii="Times New Roman" w:hAnsi="Times New Roman"/>
          <w:b w:val="0"/>
          <w:i w:val="0"/>
          <w:sz w:val="22"/>
        </w:rPr>
        <w:t>House Airway Bill (HAB) shows the lowest field F1 (83.8%) despite perfect classification. This is attributable to the HAB format's use of standardised IATA box codes rather than labelled fields: field locations are position-dependent rather than label-dependent, making extraction sensitive to layout variations across airline-specific HAB templates.</w:t>
      </w:r>
    </w:p>
    <w:p>
      <w:pPr>
        <w:pStyle w:val="Heading2"/>
        <w:spacing w:before="240" w:after="80"/>
        <w:jc w:val="left"/>
      </w:pPr>
      <w:r>
        <w:rPr>
          <w:rFonts w:ascii="Times New Roman" w:hAnsi="Times New Roman"/>
          <w:b/>
          <w:i w:val="0"/>
          <w:color w:val="000000"/>
          <w:sz w:val="24"/>
        </w:rPr>
        <w:t>9.3 Per-Field Extraction Analysis</w:t>
      </w:r>
    </w:p>
    <w:p>
      <w:pPr>
        <w:spacing w:after="120" w:before="0"/>
        <w:jc w:val="both"/>
      </w:pPr>
      <w:r>
        <w:rPr>
          <w:rFonts w:ascii="Times New Roman" w:hAnsi="Times New Roman"/>
          <w:b w:val="0"/>
          <w:i w:val="0"/>
          <w:sz w:val="22"/>
        </w:rPr>
        <w:t>Table 8 presents per-field F1 for our primary model versus the zero-shot baseline, revealing the extraction improvement profile across field types.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80"/>
            <w:shd w:fill="2E4057" w:color="FFFFFF" w:val="clear"/>
          </w:tcPr>
          <w:p>
            <w:pPr>
              <w:jc w:val="center"/>
            </w:pPr>
            <w:r>
              <w:rPr>
                <w:rFonts w:ascii="Times New Roman" w:hAnsi="Times New Roman"/>
                <w:b/>
                <w:i w:val="0"/>
                <w:color w:val="FFFFFF"/>
                <w:sz w:val="20"/>
              </w:rPr>
              <w:t>Field</w:t>
            </w:r>
          </w:p>
        </w:tc>
        <w:tc>
          <w:tcPr>
            <w:tcW w:type="dxa" w:w="1440"/>
            <w:shd w:fill="2E4057" w:color="FFFFFF" w:val="clear"/>
          </w:tcPr>
          <w:p>
            <w:pPr>
              <w:jc w:val="center"/>
            </w:pPr>
            <w:r>
              <w:rPr>
                <w:rFonts w:ascii="Times New Roman" w:hAnsi="Times New Roman"/>
                <w:b/>
                <w:i w:val="0"/>
                <w:color w:val="FFFFFF"/>
                <w:sz w:val="20"/>
              </w:rPr>
              <w:t>V3 CK-2000</w:t>
            </w:r>
          </w:p>
        </w:tc>
        <w:tc>
          <w:tcPr>
            <w:tcW w:type="dxa" w:w="1440"/>
            <w:shd w:fill="2E4057" w:color="FFFFFF" w:val="clear"/>
          </w:tcPr>
          <w:p>
            <w:pPr>
              <w:jc w:val="center"/>
            </w:pPr>
            <w:r>
              <w:rPr>
                <w:rFonts w:ascii="Times New Roman" w:hAnsi="Times New Roman"/>
                <w:b/>
                <w:i w:val="0"/>
                <w:color w:val="FFFFFF"/>
                <w:sz w:val="20"/>
              </w:rPr>
              <w:t>Zero-Shot</w:t>
            </w:r>
          </w:p>
        </w:tc>
        <w:tc>
          <w:tcPr>
            <w:tcW w:type="dxa" w:w="1152"/>
            <w:shd w:fill="2E4057" w:color="FFFFFF" w:val="clear"/>
          </w:tcPr>
          <w:p>
            <w:pPr>
              <w:jc w:val="center"/>
            </w:pPr>
            <w:r>
              <w:rPr>
                <w:rFonts w:ascii="Times New Roman" w:hAnsi="Times New Roman"/>
                <w:b/>
                <w:i w:val="0"/>
                <w:color w:val="FFFFFF"/>
                <w:sz w:val="20"/>
              </w:rPr>
              <w:t>Δ</w:t>
            </w:r>
          </w:p>
        </w:tc>
        <w:tc>
          <w:tcPr>
            <w:tcW w:type="dxa" w:w="3456"/>
            <w:shd w:fill="2E4057" w:color="FFFFFF" w:val="clear"/>
          </w:tcPr>
          <w:p>
            <w:pPr>
              <w:jc w:val="center"/>
            </w:pPr>
            <w:r>
              <w:rPr>
                <w:rFonts w:ascii="Times New Roman" w:hAnsi="Times New Roman"/>
                <w:b/>
                <w:i w:val="0"/>
                <w:color w:val="FFFFFF"/>
                <w:sz w:val="20"/>
              </w:rPr>
              <w:t>Notes</w:t>
            </w:r>
          </w:p>
        </w:tc>
      </w:tr>
      <w:tr>
        <w:tc>
          <w:tcPr>
            <w:tcW w:type="dxa" w:w="2880"/>
            <w:shd w:fill="F0F4F8" w:val="clear"/>
          </w:tcPr>
          <w:p>
            <w:pPr>
              <w:jc w:val="left"/>
            </w:pPr>
            <w:r>
              <w:rPr>
                <w:rFonts w:ascii="Times New Roman" w:hAnsi="Times New Roman"/>
                <w:b w:val="0"/>
                <w:i w:val="0"/>
                <w:sz w:val="20"/>
              </w:rPr>
              <w:t>Shipper Name</w:t>
            </w:r>
          </w:p>
        </w:tc>
        <w:tc>
          <w:tcPr>
            <w:tcW w:type="dxa" w:w="1440"/>
            <w:shd w:fill="F0F4F8" w:val="clear"/>
          </w:tcPr>
          <w:p>
            <w:pPr>
              <w:jc w:val="center"/>
            </w:pPr>
            <w:r>
              <w:rPr>
                <w:rFonts w:ascii="Times New Roman" w:hAnsi="Times New Roman"/>
                <w:b w:val="0"/>
                <w:i w:val="0"/>
                <w:sz w:val="20"/>
              </w:rPr>
              <w:t>97.3%</w:t>
            </w:r>
          </w:p>
        </w:tc>
        <w:tc>
          <w:tcPr>
            <w:tcW w:type="dxa" w:w="1440"/>
            <w:shd w:fill="F0F4F8" w:val="clear"/>
          </w:tcPr>
          <w:p>
            <w:pPr>
              <w:jc w:val="center"/>
            </w:pPr>
            <w:r>
              <w:rPr>
                <w:rFonts w:ascii="Times New Roman" w:hAnsi="Times New Roman"/>
                <w:b w:val="0"/>
                <w:i w:val="0"/>
                <w:sz w:val="20"/>
              </w:rPr>
              <w:t>81.7%</w:t>
            </w:r>
          </w:p>
        </w:tc>
        <w:tc>
          <w:tcPr>
            <w:tcW w:type="dxa" w:w="1152"/>
            <w:shd w:fill="F0F4F8" w:val="clear"/>
          </w:tcPr>
          <w:p>
            <w:pPr>
              <w:jc w:val="center"/>
            </w:pPr>
            <w:r>
              <w:rPr>
                <w:rFonts w:ascii="Times New Roman" w:hAnsi="Times New Roman"/>
                <w:b w:val="0"/>
                <w:i w:val="0"/>
                <w:sz w:val="20"/>
              </w:rPr>
              <w:t>+15.6pp</w:t>
            </w:r>
          </w:p>
        </w:tc>
        <w:tc>
          <w:tcPr>
            <w:tcW w:type="dxa" w:w="3456"/>
            <w:shd w:fill="F0F4F8" w:val="clear"/>
          </w:tcPr>
          <w:p>
            <w:pPr>
              <w:jc w:val="center"/>
            </w:pPr>
            <w:r>
              <w:rPr>
                <w:rFonts w:ascii="Times New Roman" w:hAnsi="Times New Roman"/>
                <w:b w:val="0"/>
                <w:i w:val="0"/>
                <w:sz w:val="20"/>
              </w:rPr>
              <w:t>Strong zero-shot; fine-tuning adds normalisation</w:t>
            </w:r>
          </w:p>
        </w:tc>
      </w:tr>
      <w:tr>
        <w:tc>
          <w:tcPr>
            <w:tcW w:type="dxa" w:w="2880"/>
          </w:tcPr>
          <w:p>
            <w:pPr>
              <w:jc w:val="left"/>
            </w:pPr>
            <w:r>
              <w:rPr>
                <w:rFonts w:ascii="Times New Roman" w:hAnsi="Times New Roman"/>
                <w:b w:val="0"/>
                <w:i w:val="0"/>
                <w:sz w:val="20"/>
              </w:rPr>
              <w:t>Consignee Name</w:t>
            </w:r>
          </w:p>
        </w:tc>
        <w:tc>
          <w:tcPr>
            <w:tcW w:type="dxa" w:w="1440"/>
          </w:tcPr>
          <w:p>
            <w:pPr>
              <w:jc w:val="center"/>
            </w:pPr>
            <w:r>
              <w:rPr>
                <w:rFonts w:ascii="Times New Roman" w:hAnsi="Times New Roman"/>
                <w:b w:val="0"/>
                <w:i w:val="0"/>
                <w:sz w:val="20"/>
              </w:rPr>
              <w:t>98.2%</w:t>
            </w:r>
          </w:p>
        </w:tc>
        <w:tc>
          <w:tcPr>
            <w:tcW w:type="dxa" w:w="1440"/>
          </w:tcPr>
          <w:p>
            <w:pPr>
              <w:jc w:val="center"/>
            </w:pPr>
            <w:r>
              <w:rPr>
                <w:rFonts w:ascii="Times New Roman" w:hAnsi="Times New Roman"/>
                <w:b w:val="0"/>
                <w:i w:val="0"/>
                <w:sz w:val="20"/>
              </w:rPr>
              <w:t>79.2%</w:t>
            </w:r>
          </w:p>
        </w:tc>
        <w:tc>
          <w:tcPr>
            <w:tcW w:type="dxa" w:w="1152"/>
          </w:tcPr>
          <w:p>
            <w:pPr>
              <w:jc w:val="center"/>
            </w:pPr>
            <w:r>
              <w:rPr>
                <w:rFonts w:ascii="Times New Roman" w:hAnsi="Times New Roman"/>
                <w:b w:val="0"/>
                <w:i w:val="0"/>
                <w:sz w:val="20"/>
              </w:rPr>
              <w:t>+19.0pp</w:t>
            </w:r>
          </w:p>
        </w:tc>
        <w:tc>
          <w:tcPr>
            <w:tcW w:type="dxa" w:w="3456"/>
          </w:tcPr>
          <w:p>
            <w:pPr>
              <w:jc w:val="center"/>
            </w:pPr>
            <w:r>
              <w:rPr>
                <w:rFonts w:ascii="Times New Roman" w:hAnsi="Times New Roman"/>
                <w:b w:val="0"/>
                <w:i w:val="0"/>
                <w:sz w:val="20"/>
              </w:rPr>
              <w:t>Strong zero-shot; fine-tuning adds normalisation</w:t>
            </w:r>
          </w:p>
        </w:tc>
      </w:tr>
      <w:tr>
        <w:tc>
          <w:tcPr>
            <w:tcW w:type="dxa" w:w="2880"/>
            <w:shd w:fill="F0F4F8" w:val="clear"/>
          </w:tcPr>
          <w:p>
            <w:pPr>
              <w:jc w:val="left"/>
            </w:pPr>
            <w:r>
              <w:rPr>
                <w:rFonts w:ascii="Times New Roman" w:hAnsi="Times New Roman"/>
                <w:b w:val="0"/>
                <w:i w:val="0"/>
                <w:sz w:val="20"/>
              </w:rPr>
              <w:t>Document Date</w:t>
            </w:r>
          </w:p>
        </w:tc>
        <w:tc>
          <w:tcPr>
            <w:tcW w:type="dxa" w:w="1440"/>
            <w:shd w:fill="F0F4F8" w:val="clear"/>
          </w:tcPr>
          <w:p>
            <w:pPr>
              <w:jc w:val="center"/>
            </w:pPr>
            <w:r>
              <w:rPr>
                <w:rFonts w:ascii="Times New Roman" w:hAnsi="Times New Roman"/>
                <w:b w:val="0"/>
                <w:i w:val="0"/>
                <w:sz w:val="20"/>
              </w:rPr>
              <w:t>99.2%</w:t>
            </w:r>
          </w:p>
        </w:tc>
        <w:tc>
          <w:tcPr>
            <w:tcW w:type="dxa" w:w="1440"/>
            <w:shd w:fill="F0F4F8" w:val="clear"/>
          </w:tcPr>
          <w:p>
            <w:pPr>
              <w:jc w:val="center"/>
            </w:pPr>
            <w:r>
              <w:rPr>
                <w:rFonts w:ascii="Times New Roman" w:hAnsi="Times New Roman"/>
                <w:b w:val="0"/>
                <w:i w:val="0"/>
                <w:sz w:val="20"/>
              </w:rPr>
              <w:t>0.2%</w:t>
            </w:r>
          </w:p>
        </w:tc>
        <w:tc>
          <w:tcPr>
            <w:tcW w:type="dxa" w:w="1152"/>
            <w:shd w:fill="F0F4F8" w:val="clear"/>
          </w:tcPr>
          <w:p>
            <w:pPr>
              <w:jc w:val="center"/>
            </w:pPr>
            <w:r>
              <w:rPr>
                <w:rFonts w:ascii="Times New Roman" w:hAnsi="Times New Roman"/>
                <w:b w:val="0"/>
                <w:i w:val="0"/>
                <w:sz w:val="20"/>
              </w:rPr>
              <w:t>+99.0pp</w:t>
            </w:r>
          </w:p>
        </w:tc>
        <w:tc>
          <w:tcPr>
            <w:tcW w:type="dxa" w:w="3456"/>
            <w:shd w:fill="F0F4F8" w:val="clear"/>
          </w:tcPr>
          <w:p>
            <w:pPr>
              <w:jc w:val="center"/>
            </w:pPr>
            <w:r>
              <w:rPr>
                <w:rFonts w:ascii="Times New Roman" w:hAnsi="Times New Roman"/>
                <w:b w:val="0"/>
                <w:i w:val="0"/>
                <w:sz w:val="20"/>
              </w:rPr>
              <w:t>Largest gain; zero-shot fails on date format diversity</w:t>
            </w:r>
          </w:p>
        </w:tc>
      </w:tr>
      <w:tr>
        <w:tc>
          <w:tcPr>
            <w:tcW w:type="dxa" w:w="2880"/>
          </w:tcPr>
          <w:p>
            <w:pPr>
              <w:jc w:val="left"/>
            </w:pPr>
            <w:r>
              <w:rPr>
                <w:rFonts w:ascii="Times New Roman" w:hAnsi="Times New Roman"/>
                <w:b w:val="0"/>
                <w:i w:val="0"/>
                <w:sz w:val="20"/>
              </w:rPr>
              <w:t>Document Number</w:t>
            </w:r>
          </w:p>
        </w:tc>
        <w:tc>
          <w:tcPr>
            <w:tcW w:type="dxa" w:w="1440"/>
          </w:tcPr>
          <w:p>
            <w:pPr>
              <w:jc w:val="center"/>
            </w:pPr>
            <w:r>
              <w:rPr>
                <w:rFonts w:ascii="Times New Roman" w:hAnsi="Times New Roman"/>
                <w:b w:val="0"/>
                <w:i w:val="0"/>
                <w:sz w:val="20"/>
              </w:rPr>
              <w:t>97.0%</w:t>
            </w:r>
          </w:p>
        </w:tc>
        <w:tc>
          <w:tcPr>
            <w:tcW w:type="dxa" w:w="1440"/>
          </w:tcPr>
          <w:p>
            <w:pPr>
              <w:jc w:val="center"/>
            </w:pPr>
            <w:r>
              <w:rPr>
                <w:rFonts w:ascii="Times New Roman" w:hAnsi="Times New Roman"/>
                <w:b w:val="0"/>
                <w:i w:val="0"/>
                <w:sz w:val="20"/>
              </w:rPr>
              <w:t>59.3%</w:t>
            </w:r>
          </w:p>
        </w:tc>
        <w:tc>
          <w:tcPr>
            <w:tcW w:type="dxa" w:w="1152"/>
          </w:tcPr>
          <w:p>
            <w:pPr>
              <w:jc w:val="center"/>
            </w:pPr>
            <w:r>
              <w:rPr>
                <w:rFonts w:ascii="Times New Roman" w:hAnsi="Times New Roman"/>
                <w:b w:val="0"/>
                <w:i w:val="0"/>
                <w:sz w:val="20"/>
              </w:rPr>
              <w:t>+37.7pp</w:t>
            </w:r>
          </w:p>
        </w:tc>
        <w:tc>
          <w:tcPr>
            <w:tcW w:type="dxa" w:w="3456"/>
          </w:tcPr>
          <w:p>
            <w:pPr>
              <w:jc w:val="center"/>
            </w:pPr>
            <w:r>
              <w:rPr>
                <w:rFonts w:ascii="Times New Roman" w:hAnsi="Times New Roman"/>
                <w:b w:val="0"/>
                <w:i w:val="0"/>
                <w:sz w:val="20"/>
              </w:rPr>
              <w:t>Alphanumeric codes; fine-tuning learns format variety</w:t>
            </w:r>
          </w:p>
        </w:tc>
      </w:tr>
      <w:tr>
        <w:tc>
          <w:tcPr>
            <w:tcW w:type="dxa" w:w="2880"/>
            <w:shd w:fill="F0F4F8" w:val="clear"/>
          </w:tcPr>
          <w:p>
            <w:pPr>
              <w:jc w:val="left"/>
            </w:pPr>
            <w:r>
              <w:rPr>
                <w:rFonts w:ascii="Times New Roman" w:hAnsi="Times New Roman"/>
                <w:b w:val="0"/>
                <w:i w:val="0"/>
                <w:sz w:val="20"/>
              </w:rPr>
              <w:t>Country of Origin</w:t>
            </w:r>
          </w:p>
        </w:tc>
        <w:tc>
          <w:tcPr>
            <w:tcW w:type="dxa" w:w="1440"/>
            <w:shd w:fill="F0F4F8" w:val="clear"/>
          </w:tcPr>
          <w:p>
            <w:pPr>
              <w:jc w:val="center"/>
            </w:pPr>
            <w:r>
              <w:rPr>
                <w:rFonts w:ascii="Times New Roman" w:hAnsi="Times New Roman"/>
                <w:b w:val="0"/>
                <w:i w:val="0"/>
                <w:sz w:val="20"/>
              </w:rPr>
              <w:t>96.0%</w:t>
            </w:r>
          </w:p>
        </w:tc>
        <w:tc>
          <w:tcPr>
            <w:tcW w:type="dxa" w:w="1440"/>
            <w:shd w:fill="F0F4F8" w:val="clear"/>
          </w:tcPr>
          <w:p>
            <w:pPr>
              <w:jc w:val="center"/>
            </w:pPr>
            <w:r>
              <w:rPr>
                <w:rFonts w:ascii="Times New Roman" w:hAnsi="Times New Roman"/>
                <w:b w:val="0"/>
                <w:i w:val="0"/>
                <w:sz w:val="20"/>
              </w:rPr>
              <w:t>47.1%</w:t>
            </w:r>
          </w:p>
        </w:tc>
        <w:tc>
          <w:tcPr>
            <w:tcW w:type="dxa" w:w="1152"/>
            <w:shd w:fill="F0F4F8" w:val="clear"/>
          </w:tcPr>
          <w:p>
            <w:pPr>
              <w:jc w:val="center"/>
            </w:pPr>
            <w:r>
              <w:rPr>
                <w:rFonts w:ascii="Times New Roman" w:hAnsi="Times New Roman"/>
                <w:b w:val="0"/>
                <w:i w:val="0"/>
                <w:sz w:val="20"/>
              </w:rPr>
              <w:t>+48.9pp</w:t>
            </w:r>
          </w:p>
        </w:tc>
        <w:tc>
          <w:tcPr>
            <w:tcW w:type="dxa" w:w="3456"/>
            <w:shd w:fill="F0F4F8" w:val="clear"/>
          </w:tcPr>
          <w:p>
            <w:pPr>
              <w:jc w:val="center"/>
            </w:pPr>
            <w:r>
              <w:rPr>
                <w:rFonts w:ascii="Times New Roman" w:hAnsi="Times New Roman"/>
                <w:b w:val="0"/>
                <w:i w:val="0"/>
                <w:sz w:val="20"/>
              </w:rPr>
              <w:t>Includes IATA/UNLOCODE codes; zero-shot misses codes</w:t>
            </w:r>
          </w:p>
        </w:tc>
      </w:tr>
      <w:tr>
        <w:tc>
          <w:tcPr>
            <w:tcW w:type="dxa" w:w="2880"/>
          </w:tcPr>
          <w:p>
            <w:pPr>
              <w:jc w:val="left"/>
            </w:pPr>
            <w:r>
              <w:rPr>
                <w:rFonts w:ascii="Times New Roman" w:hAnsi="Times New Roman"/>
                <w:b w:val="0"/>
                <w:i w:val="0"/>
                <w:sz w:val="20"/>
              </w:rPr>
              <w:t>Country of Destination</w:t>
            </w:r>
          </w:p>
        </w:tc>
        <w:tc>
          <w:tcPr>
            <w:tcW w:type="dxa" w:w="1440"/>
          </w:tcPr>
          <w:p>
            <w:pPr>
              <w:jc w:val="center"/>
            </w:pPr>
            <w:r>
              <w:rPr>
                <w:rFonts w:ascii="Times New Roman" w:hAnsi="Times New Roman"/>
                <w:b w:val="0"/>
                <w:i w:val="0"/>
                <w:sz w:val="20"/>
              </w:rPr>
              <w:t>99.9%</w:t>
            </w:r>
          </w:p>
        </w:tc>
        <w:tc>
          <w:tcPr>
            <w:tcW w:type="dxa" w:w="1440"/>
          </w:tcPr>
          <w:p>
            <w:pPr>
              <w:jc w:val="center"/>
            </w:pPr>
            <w:r>
              <w:rPr>
                <w:rFonts w:ascii="Times New Roman" w:hAnsi="Times New Roman"/>
                <w:b w:val="0"/>
                <w:i w:val="0"/>
                <w:sz w:val="20"/>
              </w:rPr>
              <w:t>48.8%</w:t>
            </w:r>
          </w:p>
        </w:tc>
        <w:tc>
          <w:tcPr>
            <w:tcW w:type="dxa" w:w="1152"/>
          </w:tcPr>
          <w:p>
            <w:pPr>
              <w:jc w:val="center"/>
            </w:pPr>
            <w:r>
              <w:rPr>
                <w:rFonts w:ascii="Times New Roman" w:hAnsi="Times New Roman"/>
                <w:b w:val="0"/>
                <w:i w:val="0"/>
                <w:sz w:val="20"/>
              </w:rPr>
              <w:t>+51.1pp</w:t>
            </w:r>
          </w:p>
        </w:tc>
        <w:tc>
          <w:tcPr>
            <w:tcW w:type="dxa" w:w="3456"/>
          </w:tcPr>
          <w:p>
            <w:pPr>
              <w:jc w:val="center"/>
            </w:pPr>
            <w:r>
              <w:rPr>
                <w:rFonts w:ascii="Times New Roman" w:hAnsi="Times New Roman"/>
                <w:b w:val="0"/>
                <w:i w:val="0"/>
                <w:sz w:val="20"/>
              </w:rPr>
              <w:t>Same as above</w:t>
            </w:r>
          </w:p>
        </w:tc>
      </w:tr>
      <w:tr>
        <w:tc>
          <w:tcPr>
            <w:tcW w:type="dxa" w:w="2880"/>
            <w:shd w:fill="F0F4F8" w:val="clear"/>
          </w:tcPr>
          <w:p>
            <w:pPr>
              <w:jc w:val="left"/>
            </w:pPr>
            <w:r>
              <w:rPr>
                <w:rFonts w:ascii="Times New Roman" w:hAnsi="Times New Roman"/>
                <w:b w:val="0"/>
                <w:i w:val="0"/>
                <w:sz w:val="20"/>
              </w:rPr>
              <w:t>Description of Goods</w:t>
            </w:r>
          </w:p>
        </w:tc>
        <w:tc>
          <w:tcPr>
            <w:tcW w:type="dxa" w:w="1440"/>
            <w:shd w:fill="F0F4F8" w:val="clear"/>
          </w:tcPr>
          <w:p>
            <w:pPr>
              <w:jc w:val="center"/>
            </w:pPr>
            <w:r>
              <w:rPr>
                <w:rFonts w:ascii="Times New Roman" w:hAnsi="Times New Roman"/>
                <w:b w:val="0"/>
                <w:i w:val="0"/>
                <w:sz w:val="20"/>
              </w:rPr>
              <w:t>97.0%</w:t>
            </w:r>
          </w:p>
        </w:tc>
        <w:tc>
          <w:tcPr>
            <w:tcW w:type="dxa" w:w="1440"/>
            <w:shd w:fill="F0F4F8" w:val="clear"/>
          </w:tcPr>
          <w:p>
            <w:pPr>
              <w:jc w:val="center"/>
            </w:pPr>
            <w:r>
              <w:rPr>
                <w:rFonts w:ascii="Times New Roman" w:hAnsi="Times New Roman"/>
                <w:b w:val="0"/>
                <w:i w:val="0"/>
                <w:sz w:val="20"/>
              </w:rPr>
              <w:t>62.4%</w:t>
            </w:r>
          </w:p>
        </w:tc>
        <w:tc>
          <w:tcPr>
            <w:tcW w:type="dxa" w:w="1152"/>
            <w:shd w:fill="F0F4F8" w:val="clear"/>
          </w:tcPr>
          <w:p>
            <w:pPr>
              <w:jc w:val="center"/>
            </w:pPr>
            <w:r>
              <w:rPr>
                <w:rFonts w:ascii="Times New Roman" w:hAnsi="Times New Roman"/>
                <w:b w:val="0"/>
                <w:i w:val="0"/>
                <w:sz w:val="20"/>
              </w:rPr>
              <w:t>+34.6pp</w:t>
            </w:r>
          </w:p>
        </w:tc>
        <w:tc>
          <w:tcPr>
            <w:tcW w:type="dxa" w:w="3456"/>
            <w:shd w:fill="F0F4F8" w:val="clear"/>
          </w:tcPr>
          <w:p>
            <w:pPr>
              <w:jc w:val="center"/>
            </w:pPr>
            <w:r>
              <w:rPr>
                <w:rFonts w:ascii="Times New Roman" w:hAnsi="Times New Roman"/>
                <w:b w:val="0"/>
                <w:i w:val="0"/>
                <w:sz w:val="20"/>
              </w:rPr>
              <w:t>Variable length; fine-tuning improves truncation handling</w:t>
            </w:r>
          </w:p>
        </w:tc>
      </w:tr>
      <w:tr>
        <w:tc>
          <w:tcPr>
            <w:tcW w:type="dxa" w:w="2880"/>
          </w:tcPr>
          <w:p>
            <w:pPr>
              <w:jc w:val="left"/>
            </w:pPr>
            <w:r>
              <w:rPr>
                <w:rFonts w:ascii="Times New Roman" w:hAnsi="Times New Roman"/>
                <w:b w:val="0"/>
                <w:i w:val="0"/>
                <w:sz w:val="20"/>
              </w:rPr>
              <w:t>License Number</w:t>
            </w:r>
          </w:p>
        </w:tc>
        <w:tc>
          <w:tcPr>
            <w:tcW w:type="dxa" w:w="1440"/>
          </w:tcPr>
          <w:p>
            <w:pPr>
              <w:jc w:val="center"/>
            </w:pPr>
            <w:r>
              <w:rPr>
                <w:rFonts w:ascii="Times New Roman" w:hAnsi="Times New Roman"/>
                <w:b w:val="0"/>
                <w:i w:val="0"/>
                <w:sz w:val="20"/>
              </w:rPr>
              <w:t>82.8%</w:t>
            </w:r>
          </w:p>
        </w:tc>
        <w:tc>
          <w:tcPr>
            <w:tcW w:type="dxa" w:w="1440"/>
          </w:tcPr>
          <w:p>
            <w:pPr>
              <w:jc w:val="center"/>
            </w:pPr>
            <w:r>
              <w:rPr>
                <w:rFonts w:ascii="Times New Roman" w:hAnsi="Times New Roman"/>
                <w:b w:val="0"/>
                <w:i w:val="0"/>
                <w:sz w:val="20"/>
              </w:rPr>
              <w:t>14.6%</w:t>
            </w:r>
          </w:p>
        </w:tc>
        <w:tc>
          <w:tcPr>
            <w:tcW w:type="dxa" w:w="1152"/>
          </w:tcPr>
          <w:p>
            <w:pPr>
              <w:jc w:val="center"/>
            </w:pPr>
            <w:r>
              <w:rPr>
                <w:rFonts w:ascii="Times New Roman" w:hAnsi="Times New Roman"/>
                <w:b w:val="0"/>
                <w:i w:val="0"/>
                <w:sz w:val="20"/>
              </w:rPr>
              <w:t>+68.2pp</w:t>
            </w:r>
          </w:p>
        </w:tc>
        <w:tc>
          <w:tcPr>
            <w:tcW w:type="dxa" w:w="3456"/>
          </w:tcPr>
          <w:p>
            <w:pPr>
              <w:jc w:val="center"/>
            </w:pPr>
            <w:r>
              <w:rPr>
                <w:rFonts w:ascii="Times New Roman" w:hAnsi="Times New Roman"/>
                <w:b w:val="0"/>
                <w:i w:val="0"/>
                <w:sz w:val="20"/>
              </w:rPr>
              <w:t>Lowest F1; high format variability across IEL/SLI/POA</w:t>
            </w:r>
          </w:p>
        </w:tc>
      </w:tr>
      <w:tr>
        <w:tc>
          <w:tcPr>
            <w:tcW w:type="dxa" w:w="2880"/>
            <w:shd w:fill="F0F4F8" w:val="clear"/>
          </w:tcPr>
          <w:p>
            <w:pPr>
              <w:jc w:val="left"/>
            </w:pPr>
            <w:r>
              <w:rPr>
                <w:rFonts w:ascii="Times New Roman" w:hAnsi="Times New Roman"/>
                <w:b w:val="0"/>
                <w:i w:val="0"/>
                <w:sz w:val="20"/>
              </w:rPr>
              <w:t>Validity Start</w:t>
            </w:r>
          </w:p>
        </w:tc>
        <w:tc>
          <w:tcPr>
            <w:tcW w:type="dxa" w:w="1440"/>
            <w:shd w:fill="F0F4F8" w:val="clear"/>
          </w:tcPr>
          <w:p>
            <w:pPr>
              <w:jc w:val="center"/>
            </w:pPr>
            <w:r>
              <w:rPr>
                <w:rFonts w:ascii="Times New Roman" w:hAnsi="Times New Roman"/>
                <w:b w:val="0"/>
                <w:i w:val="0"/>
                <w:sz w:val="20"/>
              </w:rPr>
              <w:t>100.0%</w:t>
            </w:r>
          </w:p>
        </w:tc>
        <w:tc>
          <w:tcPr>
            <w:tcW w:type="dxa" w:w="1440"/>
            <w:shd w:fill="F0F4F8" w:val="clear"/>
          </w:tcPr>
          <w:p>
            <w:pPr>
              <w:jc w:val="center"/>
            </w:pPr>
            <w:r>
              <w:rPr>
                <w:rFonts w:ascii="Times New Roman" w:hAnsi="Times New Roman"/>
                <w:b w:val="0"/>
                <w:i w:val="0"/>
                <w:sz w:val="20"/>
              </w:rPr>
              <w:t>0.0%</w:t>
            </w:r>
          </w:p>
        </w:tc>
        <w:tc>
          <w:tcPr>
            <w:tcW w:type="dxa" w:w="1152"/>
            <w:shd w:fill="F0F4F8" w:val="clear"/>
          </w:tcPr>
          <w:p>
            <w:pPr>
              <w:jc w:val="center"/>
            </w:pPr>
            <w:r>
              <w:rPr>
                <w:rFonts w:ascii="Times New Roman" w:hAnsi="Times New Roman"/>
                <w:b w:val="0"/>
                <w:i w:val="0"/>
                <w:sz w:val="20"/>
              </w:rPr>
              <w:t>+100.0pp</w:t>
            </w:r>
          </w:p>
        </w:tc>
        <w:tc>
          <w:tcPr>
            <w:tcW w:type="dxa" w:w="3456"/>
            <w:shd w:fill="F0F4F8" w:val="clear"/>
          </w:tcPr>
          <w:p>
            <w:pPr>
              <w:jc w:val="center"/>
            </w:pPr>
            <w:r>
              <w:rPr>
                <w:rFonts w:ascii="Times New Roman" w:hAnsi="Times New Roman"/>
                <w:b w:val="0"/>
                <w:i w:val="0"/>
                <w:sz w:val="20"/>
              </w:rPr>
              <w:t>Only on IEL/COO/POA; zero-shot never outputs this field</w:t>
            </w:r>
          </w:p>
        </w:tc>
      </w:tr>
      <w:tr>
        <w:tc>
          <w:tcPr>
            <w:tcW w:type="dxa" w:w="2880"/>
          </w:tcPr>
          <w:p>
            <w:pPr>
              <w:jc w:val="left"/>
            </w:pPr>
            <w:r>
              <w:rPr>
                <w:rFonts w:ascii="Times New Roman" w:hAnsi="Times New Roman"/>
                <w:b w:val="0"/>
                <w:i w:val="0"/>
                <w:sz w:val="20"/>
              </w:rPr>
              <w:t>Validity End</w:t>
            </w:r>
          </w:p>
        </w:tc>
        <w:tc>
          <w:tcPr>
            <w:tcW w:type="dxa" w:w="1440"/>
          </w:tcPr>
          <w:p>
            <w:pPr>
              <w:jc w:val="center"/>
            </w:pPr>
            <w:r>
              <w:rPr>
                <w:rFonts w:ascii="Times New Roman" w:hAnsi="Times New Roman"/>
                <w:b w:val="0"/>
                <w:i w:val="0"/>
                <w:sz w:val="20"/>
              </w:rPr>
              <w:t>100.0%</w:t>
            </w:r>
          </w:p>
        </w:tc>
        <w:tc>
          <w:tcPr>
            <w:tcW w:type="dxa" w:w="1440"/>
          </w:tcPr>
          <w:p>
            <w:pPr>
              <w:jc w:val="center"/>
            </w:pPr>
            <w:r>
              <w:rPr>
                <w:rFonts w:ascii="Times New Roman" w:hAnsi="Times New Roman"/>
                <w:b w:val="0"/>
                <w:i w:val="0"/>
                <w:sz w:val="20"/>
              </w:rPr>
              <w:t>0.0%</w:t>
            </w:r>
          </w:p>
        </w:tc>
        <w:tc>
          <w:tcPr>
            <w:tcW w:type="dxa" w:w="1152"/>
          </w:tcPr>
          <w:p>
            <w:pPr>
              <w:jc w:val="center"/>
            </w:pPr>
            <w:r>
              <w:rPr>
                <w:rFonts w:ascii="Times New Roman" w:hAnsi="Times New Roman"/>
                <w:b w:val="0"/>
                <w:i w:val="0"/>
                <w:sz w:val="20"/>
              </w:rPr>
              <w:t>+100.0pp</w:t>
            </w:r>
          </w:p>
        </w:tc>
        <w:tc>
          <w:tcPr>
            <w:tcW w:type="dxa" w:w="3456"/>
          </w:tcPr>
          <w:p>
            <w:pPr>
              <w:jc w:val="center"/>
            </w:pPr>
            <w:r>
              <w:rPr>
                <w:rFonts w:ascii="Times New Roman" w:hAnsi="Times New Roman"/>
                <w:b w:val="0"/>
                <w:i w:val="0"/>
                <w:sz w:val="20"/>
              </w:rPr>
              <w:t>Same as above</w:t>
            </w:r>
          </w:p>
        </w:tc>
      </w:tr>
      <w:tr>
        <w:tc>
          <w:tcPr>
            <w:tcW w:type="dxa" w:w="2880"/>
            <w:shd w:fill="F0F4F8" w:val="clear"/>
          </w:tcPr>
          <w:p>
            <w:pPr>
              <w:jc w:val="left"/>
            </w:pPr>
            <w:r>
              <w:rPr>
                <w:rFonts w:ascii="Times New Roman" w:hAnsi="Times New Roman"/>
                <w:b w:val="0"/>
                <w:i w:val="0"/>
                <w:sz w:val="20"/>
              </w:rPr>
              <w:t>Licensee Name</w:t>
            </w:r>
          </w:p>
        </w:tc>
        <w:tc>
          <w:tcPr>
            <w:tcW w:type="dxa" w:w="1440"/>
            <w:shd w:fill="F0F4F8" w:val="clear"/>
          </w:tcPr>
          <w:p>
            <w:pPr>
              <w:jc w:val="center"/>
            </w:pPr>
            <w:r>
              <w:rPr>
                <w:rFonts w:ascii="Times New Roman" w:hAnsi="Times New Roman"/>
                <w:b w:val="0"/>
                <w:i w:val="0"/>
                <w:sz w:val="20"/>
              </w:rPr>
              <w:t>100.0%</w:t>
            </w:r>
          </w:p>
        </w:tc>
        <w:tc>
          <w:tcPr>
            <w:tcW w:type="dxa" w:w="1440"/>
            <w:shd w:fill="F0F4F8" w:val="clear"/>
          </w:tcPr>
          <w:p>
            <w:pPr>
              <w:jc w:val="center"/>
            </w:pPr>
            <w:r>
              <w:rPr>
                <w:rFonts w:ascii="Times New Roman" w:hAnsi="Times New Roman"/>
                <w:b w:val="0"/>
                <w:i w:val="0"/>
                <w:sz w:val="20"/>
              </w:rPr>
              <w:t>7.7%</w:t>
            </w:r>
          </w:p>
        </w:tc>
        <w:tc>
          <w:tcPr>
            <w:tcW w:type="dxa" w:w="1152"/>
            <w:shd w:fill="F0F4F8" w:val="clear"/>
          </w:tcPr>
          <w:p>
            <w:pPr>
              <w:jc w:val="center"/>
            </w:pPr>
            <w:r>
              <w:rPr>
                <w:rFonts w:ascii="Times New Roman" w:hAnsi="Times New Roman"/>
                <w:b w:val="0"/>
                <w:i w:val="0"/>
                <w:sz w:val="20"/>
              </w:rPr>
              <w:t>+92.3pp</w:t>
            </w:r>
          </w:p>
        </w:tc>
        <w:tc>
          <w:tcPr>
            <w:tcW w:type="dxa" w:w="3456"/>
            <w:shd w:fill="F0F4F8" w:val="clear"/>
          </w:tcPr>
          <w:p>
            <w:pPr>
              <w:jc w:val="center"/>
            </w:pPr>
            <w:r>
              <w:rPr>
                <w:rFonts w:ascii="Times New Roman" w:hAnsi="Times New Roman"/>
                <w:b w:val="0"/>
                <w:i w:val="0"/>
                <w:sz w:val="20"/>
              </w:rPr>
              <w:t>Rare field; zero-shot rarely populated</w:t>
            </w:r>
          </w:p>
        </w:tc>
      </w:tr>
      <w:tr>
        <w:tc>
          <w:tcPr>
            <w:tcW w:type="dxa" w:w="2880"/>
          </w:tcPr>
          <w:p>
            <w:pPr>
              <w:jc w:val="left"/>
            </w:pPr>
            <w:r>
              <w:rPr>
                <w:rFonts w:ascii="Times New Roman" w:hAnsi="Times New Roman"/>
                <w:b w:val="0"/>
                <w:i w:val="0"/>
                <w:sz w:val="20"/>
              </w:rPr>
              <w:t>Average</w:t>
            </w:r>
          </w:p>
        </w:tc>
        <w:tc>
          <w:tcPr>
            <w:tcW w:type="dxa" w:w="1440"/>
          </w:tcPr>
          <w:p>
            <w:pPr>
              <w:jc w:val="center"/>
            </w:pPr>
            <w:r>
              <w:rPr>
                <w:rFonts w:ascii="Times New Roman" w:hAnsi="Times New Roman"/>
                <w:b w:val="0"/>
                <w:i w:val="0"/>
                <w:sz w:val="20"/>
              </w:rPr>
              <w:t>97.7%</w:t>
            </w:r>
          </w:p>
        </w:tc>
        <w:tc>
          <w:tcPr>
            <w:tcW w:type="dxa" w:w="1440"/>
          </w:tcPr>
          <w:p>
            <w:pPr>
              <w:jc w:val="center"/>
            </w:pPr>
            <w:r>
              <w:rPr>
                <w:rFonts w:ascii="Times New Roman" w:hAnsi="Times New Roman"/>
                <w:b w:val="0"/>
                <w:i w:val="0"/>
                <w:sz w:val="20"/>
              </w:rPr>
              <w:t>36.5%</w:t>
            </w:r>
          </w:p>
        </w:tc>
        <w:tc>
          <w:tcPr>
            <w:tcW w:type="dxa" w:w="1152"/>
          </w:tcPr>
          <w:p>
            <w:pPr>
              <w:jc w:val="center"/>
            </w:pPr>
            <w:r>
              <w:rPr>
                <w:rFonts w:ascii="Times New Roman" w:hAnsi="Times New Roman"/>
                <w:b w:val="0"/>
                <w:i w:val="0"/>
                <w:sz w:val="20"/>
              </w:rPr>
              <w:t>+61.2pp</w:t>
            </w:r>
          </w:p>
        </w:tc>
        <w:tc>
          <w:tcPr>
            <w:tcW w:type="dxa" w:w="3456"/>
          </w:tcPr>
          <w:p>
            <w:pPr>
              <w:jc w:val="center"/>
            </w:pPr>
            <w:r>
              <w:rPr>
                <w:rFonts w:ascii="Times New Roman" w:hAnsi="Times New Roman"/>
                <w:b w:val="0"/>
                <w:i w:val="0"/>
                <w:sz w:val="20"/>
              </w:rPr>
              <w:t>Macro-average over 11 fields</w:t>
            </w:r>
          </w:p>
        </w:tc>
      </w:tr>
    </w:tbl>
    <w:p>
      <w:pPr>
        <w:spacing w:before="80" w:after="200"/>
        <w:jc w:val="center"/>
      </w:pPr>
      <w:r>
        <w:rPr>
          <w:rFonts w:ascii="Times New Roman" w:hAnsi="Times New Roman"/>
          <w:b w:val="0"/>
          <w:i/>
          <w:sz w:val="20"/>
        </w:rPr>
        <w:t>Table 8. Per-field extraction F1 comparison. Δ = absolute improvement.</w:t>
      </w:r>
    </w:p>
    <w:p>
      <w:pPr>
        <w:spacing w:after="120" w:before="0"/>
        <w:jc w:val="both"/>
      </w:pPr>
      <w:r>
        <w:rPr>
          <w:rFonts w:ascii="Times New Roman" w:hAnsi="Times New Roman"/>
          <w:b w:val="0"/>
          <w:i w:val="0"/>
          <w:sz w:val="22"/>
        </w:rPr>
        <w:t>The most dramatic improvements occur on fields that require domain-specific knowledge: Validity Start/End (0.0% → 100.0%) are logistics-domain date fields that the zero-shot model never outputs despite their presence in the prompt schema. Document Date (0.2% → 99.2%) reflects the model learning to handle the wide variety of date formats (DD/MM/YYYY, MM-DD-YYYY, written months, Julian dates) across document classes. License Number (82.8%) remains the weakest field due to high format variability: the same semantic field appears as ITN numbers (AES export), entry numbers (CBP import), government license codes (IEL), and free-text references (SLI).</w:t>
      </w:r>
    </w:p>
    <w:p>
      <w:pPr>
        <w:pStyle w:val="Heading2"/>
        <w:spacing w:before="240" w:after="80"/>
        <w:jc w:val="left"/>
      </w:pPr>
      <w:r>
        <w:rPr>
          <w:rFonts w:ascii="Times New Roman" w:hAnsi="Times New Roman"/>
          <w:b/>
          <w:i w:val="0"/>
          <w:color w:val="000000"/>
          <w:sz w:val="24"/>
        </w:rPr>
        <w:t>9.4 Blank Document Hallucination Analysis</w:t>
      </w:r>
    </w:p>
    <w:p>
      <w:pPr>
        <w:spacing w:after="120" w:before="0"/>
        <w:jc w:val="both"/>
      </w:pPr>
      <w:r>
        <w:rPr>
          <w:rFonts w:ascii="Times New Roman" w:hAnsi="Times New Roman"/>
          <w:b w:val="0"/>
          <w:i w:val="0"/>
          <w:sz w:val="22"/>
        </w:rPr>
        <w:t>A separate evaluation across 64 blank-form pages measures hallucination robustness — a dimension not captured by standard accuracy metrics. The zero-shot baseline produces non-null field outputs on 4.7% of blank pages (averaging 0.25 hallucinated fields per document), drawing on pre-training knowledge of what a freight document should contain. The fine-tuned model, trained with explicit blank-form examples, achieves 0.0% hallucination rate: it correctly outputs all-null responses on every blank template in the test set. This behaviour is production-critical — blank template pages regularly arrive interleaved with filled documents in operational bundles, and fabricated field values propagating into downstream systems represent a safety-critical failure mode.</w:t>
      </w:r>
    </w:p>
    <w:p>
      <w:pPr>
        <w:pStyle w:val="Heading1"/>
        <w:spacing w:before="240" w:after="80"/>
        <w:jc w:val="left"/>
      </w:pPr>
      <w:r>
        <w:rPr>
          <w:rFonts w:ascii="Times New Roman" w:hAnsi="Times New Roman"/>
          <w:b/>
          <w:i w:val="0"/>
          <w:color w:val="000000"/>
          <w:sz w:val="26"/>
        </w:rPr>
        <w:t>10. Engineering Challenges and Lessons Learned</w:t>
      </w:r>
    </w:p>
    <w:p>
      <w:pPr>
        <w:spacing w:after="120" w:before="0"/>
        <w:jc w:val="both"/>
      </w:pPr>
      <w:r>
        <w:rPr>
          <w:rFonts w:ascii="Times New Roman" w:hAnsi="Times New Roman"/>
          <w:b w:val="0"/>
          <w:i w:val="0"/>
          <w:sz w:val="22"/>
        </w:rPr>
        <w:t>We document the significant technical challenges encountered during development. These represent non-obvious pitfalls specific to fine-tuning large VLMs for document intelligence that are not addressed in the standard literature.</w:t>
      </w:r>
    </w:p>
    <w:p>
      <w:pPr>
        <w:pStyle w:val="Heading2"/>
        <w:spacing w:before="240" w:after="80"/>
        <w:jc w:val="left"/>
      </w:pPr>
      <w:r>
        <w:rPr>
          <w:rFonts w:ascii="Times New Roman" w:hAnsi="Times New Roman"/>
          <w:b/>
          <w:i w:val="0"/>
          <w:color w:val="000000"/>
          <w:sz w:val="24"/>
        </w:rPr>
        <w:t>10.1 Image Token Count Mismatch (Training Crash)</w:t>
      </w:r>
    </w:p>
    <w:p>
      <w:pPr>
        <w:spacing w:after="120" w:before="0"/>
        <w:jc w:val="both"/>
      </w:pPr>
      <w:r>
        <w:rPr>
          <w:rFonts w:ascii="Times New Roman" w:hAnsi="Times New Roman"/>
          <w:b w:val="0"/>
          <w:i w:val="0"/>
          <w:sz w:val="22"/>
        </w:rPr>
        <w:t>Symptom: Training terminated at step ~993 with a CUDA index-out-of-bounds error: 'image features and image tokens do not match: got 820 and 784.' Root cause: Qwen2.5-VL's ViT uses 14×14 pixel patches merged 2×2, yielding an effective 28×28 patch stride. When an image's height or width is not an exact multiple of 28, the processor internally rounds the dimension to the nearest multiple (snapping). However, the chat template tokenisation had already encoded the unsnapped token count in the input_ids tensor, creating a mismatch between the visual token sequence length and the text template's placeholder count. This error is non-deterministic: it surfaces only when an image with non-28-aligned dimensions is processed, making it difficult to reproduce in smoke tests.</w:t>
      </w:r>
    </w:p>
    <w:p>
      <w:pPr>
        <w:spacing w:after="120" w:before="0"/>
        <w:jc w:val="both"/>
      </w:pPr>
      <w:r>
        <w:rPr>
          <w:rFonts w:ascii="Times New Roman" w:hAnsi="Times New Roman"/>
          <w:b w:val="0"/>
          <w:i w:val="0"/>
          <w:sz w:val="22"/>
        </w:rPr>
        <w:t>Resolution: (1) All images are resized to exact 28-pixel multiples using floor-aligned width/height before processor ingestion. (2) batch_size was reduced from 3 to 1, eliminating cross-image padding interactions that could create additional mismatches. Effective batch size (18) was preserved via gradient_accumulation_steps=18.</w:t>
      </w:r>
    </w:p>
    <w:p>
      <w:pPr>
        <w:pStyle w:val="Heading2"/>
        <w:spacing w:before="240" w:after="80"/>
        <w:jc w:val="left"/>
      </w:pPr>
      <w:r>
        <w:rPr>
          <w:rFonts w:ascii="Times New Roman" w:hAnsi="Times New Roman"/>
          <w:b/>
          <w:i w:val="0"/>
          <w:color w:val="000000"/>
          <w:sz w:val="24"/>
        </w:rPr>
        <w:t>10.2 Model Hallucination on Blank Documents</w:t>
      </w:r>
    </w:p>
    <w:p>
      <w:pPr>
        <w:spacing w:after="120" w:before="0"/>
        <w:jc w:val="both"/>
      </w:pPr>
      <w:r>
        <w:rPr>
          <w:rFonts w:ascii="Times New Roman" w:hAnsi="Times New Roman"/>
          <w:b w:val="0"/>
          <w:i w:val="0"/>
          <w:sz w:val="22"/>
        </w:rPr>
        <w:t>Symptom: The v2 model output fabricated but plausible-sounding field values (company names, dates, document numbers) when presented with blank or minimally-filled document templates. Example: a blank IATA DGD template returned populated shipper and consignee names drawn from the model's pre-training data — a production-critical failure mode.</w:t>
      </w:r>
    </w:p>
    <w:p>
      <w:pPr>
        <w:spacing w:after="120" w:before="0"/>
        <w:jc w:val="both"/>
      </w:pPr>
      <w:r>
        <w:rPr>
          <w:rFonts w:ascii="Times New Roman" w:hAnsi="Times New Roman"/>
          <w:b w:val="0"/>
          <w:i w:val="0"/>
          <w:sz w:val="22"/>
        </w:rPr>
        <w:t>Root cause: the v2 training set contained only filled documents. The model had no exposure to all-null output targets and therefore defaulted to its prior distribution (pre-training document patterns) when visual field content was absent. This is analogous to the exposure bias problem in sequence models but manifests as domain hallucination.</w:t>
      </w:r>
    </w:p>
    <w:p>
      <w:pPr>
        <w:spacing w:after="120" w:before="0"/>
        <w:jc w:val="both"/>
      </w:pPr>
      <w:r>
        <w:rPr>
          <w:rFonts w:ascii="Times New Roman" w:hAnsi="Times New Roman"/>
          <w:b w:val="0"/>
          <w:i w:val="0"/>
          <w:sz w:val="22"/>
        </w:rPr>
        <w:t>Resolution: augmenting with 960 synthetic blank forms and 64 real blank template pages with all-null labels, combined with explicit null-output rules in the prompt, reduced hallucination rate from 12.5% to 0.0%.</w:t>
      </w:r>
    </w:p>
    <w:p>
      <w:pPr>
        <w:pStyle w:val="Heading2"/>
        <w:spacing w:before="240" w:after="80"/>
        <w:jc w:val="left"/>
      </w:pPr>
      <w:r>
        <w:rPr>
          <w:rFonts w:ascii="Times New Roman" w:hAnsi="Times New Roman"/>
          <w:b/>
          <w:i w:val="0"/>
          <w:color w:val="000000"/>
          <w:sz w:val="24"/>
        </w:rPr>
        <w:t>10.3 FIELD_MAP Annotation Key Mismatches (Systematic Data Quality Issue)</w:t>
      </w:r>
    </w:p>
    <w:p>
      <w:pPr>
        <w:spacing w:after="120" w:before="0"/>
        <w:jc w:val="both"/>
      </w:pPr>
      <w:r>
        <w:rPr>
          <w:rFonts w:ascii="Times New Roman" w:hAnsi="Times New Roman"/>
          <w:b w:val="0"/>
          <w:i w:val="0"/>
          <w:sz w:val="22"/>
        </w:rPr>
        <w:t>Symptom: Initial field F1 results for validity_start, validity_end, and license_number were anomalously low despite these fields being visually prominent on relevant documents.</w:t>
      </w:r>
    </w:p>
    <w:p>
      <w:pPr>
        <w:spacing w:after="120" w:before="0"/>
        <w:jc w:val="both"/>
      </w:pPr>
      <w:r>
        <w:rPr>
          <w:rFonts w:ascii="Times New Roman" w:hAnsi="Times New Roman"/>
          <w:b w:val="0"/>
          <w:i w:val="0"/>
          <w:sz w:val="22"/>
        </w:rPr>
        <w:t>Root cause: the field extraction pipeline maps universal field names to annotation-specific JSON keys via a FIELD_MAP per document class. Initial FIELD_MAP entries were constructed from documentation without verifying against actual annotation files, resulting in: (1) dead keys — field names that never appear in real annotations (e.g. 'importer' in IEL annotations which use 'importer_name'); (2) missing fallback keys — fields that appear under multiple names depending on document variant (e.g. 'pod' vs 'port_of_discharge' in VGM); (3) None mappings for fields that do exist in annotations (validity_start/end in COO and POA).</w:t>
      </w:r>
    </w:p>
    <w:p>
      <w:pPr>
        <w:spacing w:after="120" w:before="0"/>
        <w:jc w:val="both"/>
      </w:pPr>
      <w:r>
        <w:rPr>
          <w:rFonts w:ascii="Times New Roman" w:hAnsi="Times New Roman"/>
          <w:b w:val="0"/>
          <w:i w:val="0"/>
          <w:sz w:val="22"/>
        </w:rPr>
        <w:t>Resolution: a complete audit of all 12 document class FIELD_MAPs against actual annotation JSON files (not documentation), removing 15+ incorrect mappings and adding correct keys. This audit yielded the largest F1 improvement in the transition from v2 to v3.</w:t>
      </w:r>
    </w:p>
    <w:p>
      <w:pPr>
        <w:pStyle w:val="Heading2"/>
        <w:spacing w:before="240" w:after="80"/>
        <w:jc w:val="left"/>
      </w:pPr>
      <w:r>
        <w:rPr>
          <w:rFonts w:ascii="Times New Roman" w:hAnsi="Times New Roman"/>
          <w:b/>
          <w:i w:val="0"/>
          <w:color w:val="000000"/>
          <w:sz w:val="24"/>
        </w:rPr>
        <w:t>10.4 Import/Export License Classification Ambiguity (Unresolved)</w:t>
      </w:r>
    </w:p>
    <w:p>
      <w:pPr>
        <w:spacing w:after="120" w:before="0"/>
        <w:jc w:val="both"/>
      </w:pPr>
      <w:r>
        <w:rPr>
          <w:rFonts w:ascii="Times New Roman" w:hAnsi="Times New Roman"/>
          <w:b w:val="0"/>
          <w:i w:val="0"/>
          <w:sz w:val="22"/>
        </w:rPr>
        <w:t>Import/Export License remains the only class below 100% classification accuracy at 75.3% after fine-tuning. The document class exhibits high visual and textual overlap with Commercial Invoice and Shipper's Letter of Instruction: all three contain shipper/consignee blocks, commodity descriptions, and country-of-origin fields. The IEL-distinguishing elements (government authority letterhead, license number in a specific position, HS code formatting under regulatory headings) require fine-grained spatial text recognition that the 3B model inconsistently leverages.</w:t>
      </w:r>
    </w:p>
    <w:p>
      <w:pPr>
        <w:spacing w:after="120" w:before="0"/>
        <w:jc w:val="both"/>
      </w:pPr>
      <w:r>
        <w:rPr>
          <w:rFonts w:ascii="Times New Roman" w:hAnsi="Times New Roman"/>
          <w:b w:val="0"/>
          <w:i w:val="0"/>
          <w:sz w:val="22"/>
        </w:rPr>
        <w:t>Potential mitigations: (1) targeted data augmentation with hard-negative pairs (IEL pages visually similar to CI/SLI); (2) increased LoRA rank (r=64) for higher-capacity adaptation; (3) a two-stage classification approach using a higher-confidence class assignment mechanism. This remains an open challenge for future work.</w:t>
      </w:r>
    </w:p>
    <w:p>
      <w:pPr>
        <w:pStyle w:val="Heading2"/>
        <w:spacing w:before="240" w:after="80"/>
        <w:jc w:val="left"/>
      </w:pPr>
      <w:r>
        <w:rPr>
          <w:rFonts w:ascii="Times New Roman" w:hAnsi="Times New Roman"/>
          <w:b/>
          <w:i w:val="0"/>
          <w:color w:val="000000"/>
          <w:sz w:val="24"/>
        </w:rPr>
        <w:t>10.5 Training Configuration Ordering Bug (max_seq_length)</w:t>
      </w:r>
    </w:p>
    <w:p>
      <w:pPr>
        <w:spacing w:after="120" w:before="0"/>
        <w:jc w:val="both"/>
      </w:pPr>
      <w:r>
        <w:rPr>
          <w:rFonts w:ascii="Times New Roman" w:hAnsi="Times New Roman"/>
          <w:b w:val="0"/>
          <w:i w:val="0"/>
          <w:sz w:val="22"/>
        </w:rPr>
        <w:t>Symptom: Early training runs consumed ~4× expected VRAM, causing OOM errors on 16 GB hardware that should have had sufficient headroom.</w:t>
      </w:r>
    </w:p>
    <w:p>
      <w:pPr>
        <w:spacing w:after="120" w:before="0"/>
        <w:jc w:val="both"/>
      </w:pPr>
      <w:r>
        <w:rPr>
          <w:rFonts w:ascii="Times New Roman" w:hAnsi="Times New Roman"/>
          <w:b w:val="0"/>
          <w:i w:val="0"/>
          <w:sz w:val="22"/>
        </w:rPr>
        <w:t>Root cause: TrainingConfig was instantiated after FastVisionModel.from_pretrained() in the training script. The model was therefore loaded with Qwen2.5-VL's default max_seq_length=32,768 instead of the configured 2,048, causing the KV cache and attention mask allocations to be dimensioned for 32K contexts. The subsequent TrainingConfig instantiation had no effect on the already-loaded model.</w:t>
      </w:r>
    </w:p>
    <w:p>
      <w:pPr>
        <w:spacing w:after="120" w:before="0"/>
        <w:jc w:val="both"/>
      </w:pPr>
      <w:r>
        <w:rPr>
          <w:rFonts w:ascii="Times New Roman" w:hAnsi="Times New Roman"/>
          <w:b w:val="0"/>
          <w:i w:val="0"/>
          <w:sz w:val="22"/>
        </w:rPr>
        <w:t>Resolution: reordering TrainingConfig instantiation before model loading and explicitly passing max_seq_length=cfg.max_seq_length to from_pretrained().</w:t>
      </w:r>
    </w:p>
    <w:p>
      <w:pPr>
        <w:pStyle w:val="Heading2"/>
        <w:spacing w:before="240" w:after="80"/>
        <w:jc w:val="left"/>
      </w:pPr>
      <w:r>
        <w:rPr>
          <w:rFonts w:ascii="Times New Roman" w:hAnsi="Times New Roman"/>
          <w:b/>
          <w:i w:val="0"/>
          <w:color w:val="000000"/>
          <w:sz w:val="24"/>
        </w:rPr>
        <w:t>10.6 Position Accuracy Misleads; Split IoU Is Essential</w:t>
      </w:r>
    </w:p>
    <w:p>
      <w:pPr>
        <w:spacing w:after="120" w:before="0"/>
        <w:jc w:val="both"/>
      </w:pPr>
      <w:r>
        <w:rPr>
          <w:rFonts w:ascii="Times New Roman" w:hAnsi="Times New Roman"/>
          <w:b w:val="0"/>
          <w:i w:val="0"/>
          <w:sz w:val="22"/>
        </w:rPr>
        <w:t>During baseline evaluation, the zero-shot model appeared to achieve 30.8% Position Accuracy — a figure that, without context, might suggest meaningful splitting capability. In fact, the model rarely predicted START for any page beyond the first in a bundle (Split IoU: 29.8%), and the Position Accuracy figure was largely determined by correctly classifying the 87% majority of CONTINUATION pages. This finding motivated the adoption of Split IoU as the primary splitting metric (see §8.2) and has implications for any multi-page document processing evaluation — Position Accuracy should never be reported without the accompanying Split IoU.</w:t>
      </w:r>
    </w:p>
    <w:p>
      <w:pPr>
        <w:pStyle w:val="Heading2"/>
        <w:spacing w:before="240" w:after="80"/>
        <w:jc w:val="left"/>
      </w:pPr>
      <w:r>
        <w:rPr>
          <w:rFonts w:ascii="Times New Roman" w:hAnsi="Times New Roman"/>
          <w:b/>
          <w:i w:val="0"/>
          <w:color w:val="000000"/>
          <w:sz w:val="24"/>
        </w:rPr>
        <w:t>10.7 Continuation Oversampling for Training Balance</w:t>
      </w:r>
    </w:p>
    <w:p>
      <w:pPr>
        <w:spacing w:after="120" w:before="0"/>
        <w:jc w:val="both"/>
      </w:pPr>
      <w:r>
        <w:rPr>
          <w:rFonts w:ascii="Times New Roman" w:hAnsi="Times New Roman"/>
          <w:b w:val="0"/>
          <w:i w:val="0"/>
          <w:sz w:val="22"/>
        </w:rPr>
        <w:t>The natural training distribution contains approximately 72% START pages and 28% CONTINUATION pages. Without correction, the model's boundary detection capability would be limited by underexposure to CONTINUATION prediction scenarios. We apply a CONTINUATION oversampling factor of 2× during training, yielding an effective 56%/44% START/CONTINUATION balance. This proved essential for the model learning the full START→CONTINUATION transition pattern within long bundles.</w:t>
      </w:r>
    </w:p>
    <w:p>
      <w:pPr>
        <w:pStyle w:val="Heading2"/>
        <w:spacing w:before="240" w:after="80"/>
        <w:jc w:val="left"/>
      </w:pPr>
      <w:r>
        <w:rPr>
          <w:rFonts w:ascii="Times New Roman" w:hAnsi="Times New Roman"/>
          <w:b/>
          <w:i w:val="0"/>
          <w:color w:val="000000"/>
          <w:sz w:val="24"/>
        </w:rPr>
        <w:t>10.8 Windows DataLoader Constraint with Unsloth</w:t>
      </w:r>
    </w:p>
    <w:p>
      <w:pPr>
        <w:spacing w:after="120" w:before="0"/>
        <w:jc w:val="both"/>
      </w:pPr>
      <w:r>
        <w:rPr>
          <w:rFonts w:ascii="Times New Roman" w:hAnsi="Times New Roman"/>
          <w:b w:val="0"/>
          <w:i w:val="0"/>
          <w:sz w:val="22"/>
        </w:rPr>
        <w:t>Training on Windows with Unsloth required dataloader_num_workers=0. Unsloth patches the Qwen2.5-VL processor class at runtime via Python object replacement; the patched class cannot be serialised (pickled) by multiprocessing worker processes, which Windows spawn-initialises rather than fork-copies. Any non-zero worker count causes silent failures at the first batch boundary. This constraint has no meaningful performance impact because the GPU is the training bottleneck for vision-language models.</w:t>
      </w:r>
    </w:p>
    <w:p>
      <w:pPr>
        <w:pStyle w:val="Heading1"/>
        <w:spacing w:before="240" w:after="80"/>
        <w:jc w:val="left"/>
      </w:pPr>
      <w:r>
        <w:rPr>
          <w:rFonts w:ascii="Times New Roman" w:hAnsi="Times New Roman"/>
          <w:b/>
          <w:i w:val="0"/>
          <w:color w:val="000000"/>
          <w:sz w:val="26"/>
        </w:rPr>
        <w:t>11. Discussion</w:t>
      </w:r>
    </w:p>
    <w:p>
      <w:pPr>
        <w:pStyle w:val="Heading2"/>
        <w:spacing w:before="240" w:after="80"/>
        <w:jc w:val="left"/>
      </w:pPr>
      <w:r>
        <w:rPr>
          <w:rFonts w:ascii="Times New Roman" w:hAnsi="Times New Roman"/>
          <w:b/>
          <w:i w:val="0"/>
          <w:color w:val="000000"/>
          <w:sz w:val="24"/>
        </w:rPr>
        <w:t>11.1 Joint vs. Pipeline Approaches</w:t>
      </w:r>
    </w:p>
    <w:p>
      <w:pPr>
        <w:spacing w:after="120" w:before="0"/>
        <w:jc w:val="both"/>
      </w:pPr>
      <w:r>
        <w:rPr>
          <w:rFonts w:ascii="Times New Roman" w:hAnsi="Times New Roman"/>
          <w:b w:val="0"/>
          <w:i w:val="0"/>
          <w:sz w:val="22"/>
        </w:rPr>
        <w:t>A natural alternative to our unified approach is a pipeline: a dedicated classifier, a separate splitter, and a per-class extractor. Our results suggest the unified approach has several advantages. First, the model leverages cross-task context: knowing a page is class X informs expected field locations; observing a blank consignee field informs the CONTINUATION prediction. Second, error propagation is avoided — pipeline systems compound errors across stages. Third, inference cost is reduced to a single forward pass. The primary disadvantage is that a single model's failure mode is correlated across tasks (an Import/Export License misclassification also potentially affects extraction), which a pipeline with independent models would partially decouple.</w:t>
      </w:r>
    </w:p>
    <w:p>
      <w:pPr>
        <w:pStyle w:val="Heading2"/>
        <w:spacing w:before="240" w:after="80"/>
        <w:jc w:val="left"/>
      </w:pPr>
      <w:r>
        <w:rPr>
          <w:rFonts w:ascii="Times New Roman" w:hAnsi="Times New Roman"/>
          <w:b/>
          <w:i w:val="0"/>
          <w:color w:val="000000"/>
          <w:sz w:val="24"/>
        </w:rPr>
        <w:t>11.2 Scaling: 3B vs. 7B Parameters</w:t>
      </w:r>
    </w:p>
    <w:p>
      <w:pPr>
        <w:spacing w:after="120" w:before="0"/>
        <w:jc w:val="both"/>
      </w:pPr>
      <w:r>
        <w:rPr>
          <w:rFonts w:ascii="Times New Roman" w:hAnsi="Times New Roman"/>
          <w:b w:val="0"/>
          <w:i w:val="0"/>
          <w:sz w:val="22"/>
        </w:rPr>
        <w:t>Our fine-tuned 3B model already achieves near-ceiling performance on 11 of 12 classes. The pending 7B zero-shot evaluation will determine whether the additional parameters provide meaningful zero-shot gains. For fine-tuning purposes, the 3B model's convergence within one epoch suggests that task complexity rather than model capacity is the primary constraint — consistent with findings that smaller well-fine-tuned models outperform larger zero-shot models on domain-specific structured extraction tasks [citation].</w:t>
      </w:r>
    </w:p>
    <w:p>
      <w:pPr>
        <w:pStyle w:val="Heading2"/>
        <w:spacing w:before="240" w:after="80"/>
        <w:jc w:val="left"/>
      </w:pPr>
      <w:r>
        <w:rPr>
          <w:rFonts w:ascii="Times New Roman" w:hAnsi="Times New Roman"/>
          <w:b/>
          <w:i w:val="0"/>
          <w:color w:val="000000"/>
          <w:sz w:val="24"/>
        </w:rPr>
        <w:t>11.3 Limitations</w:t>
      </w:r>
    </w:p>
    <w:p>
      <w:pPr>
        <w:pStyle w:val="ListBullet"/>
        <w:spacing w:after="40" w:before="0"/>
      </w:pPr>
      <w:r>
        <w:rPr>
          <w:rFonts w:ascii="Times New Roman" w:hAnsi="Times New Roman"/>
          <w:b w:val="0"/>
          <w:i w:val="0"/>
          <w:sz w:val="22"/>
        </w:rPr>
        <w:t>Synthetic data only: evaluation on real freight documents (with OCR noise, scan artefacts, varied print quality) is required before production deployment. We expect some performance degradation, particularly on field extraction for degraded scans.</w:t>
      </w:r>
    </w:p>
    <w:p>
      <w:pPr>
        <w:pStyle w:val="ListBullet"/>
        <w:spacing w:after="40" w:before="0"/>
      </w:pPr>
      <w:r>
        <w:rPr>
          <w:rFonts w:ascii="Times New Roman" w:hAnsi="Times New Roman"/>
          <w:b w:val="0"/>
          <w:i w:val="0"/>
          <w:sz w:val="22"/>
        </w:rPr>
        <w:t>Import/Export License: the persistent 75.3% classification accuracy for this class represents an unsolved challenge requiring further investigation.</w:t>
      </w:r>
    </w:p>
    <w:p>
      <w:pPr>
        <w:pStyle w:val="ListBullet"/>
        <w:spacing w:after="40" w:before="0"/>
      </w:pPr>
      <w:r>
        <w:rPr>
          <w:rFonts w:ascii="Times New Roman" w:hAnsi="Times New Roman"/>
          <w:b w:val="0"/>
          <w:i w:val="0"/>
          <w:sz w:val="22"/>
        </w:rPr>
        <w:t>English-language only: all training documents are in English. Extension to multilingual freight documents (particularly CJK and Arabic shipping documents) is not addressed.</w:t>
      </w:r>
    </w:p>
    <w:p>
      <w:pPr>
        <w:pStyle w:val="ListBullet"/>
        <w:spacing w:after="40" w:before="0"/>
      </w:pPr>
      <w:r>
        <w:rPr>
          <w:rFonts w:ascii="Times New Roman" w:hAnsi="Times New Roman"/>
          <w:b w:val="0"/>
          <w:i w:val="0"/>
          <w:sz w:val="22"/>
        </w:rPr>
        <w:t>Single-GPU training: the QLoRA approach enabled training on a 16 GB consumer GPU, but the 4-bit quantisation during training may impose a performance ceiling relative to full-precision fine-tuning on larger hardware.</w:t>
      </w:r>
    </w:p>
    <w:p>
      <w:pPr>
        <w:pStyle w:val="Heading1"/>
        <w:spacing w:before="240" w:after="80"/>
        <w:jc w:val="left"/>
      </w:pPr>
      <w:r>
        <w:rPr>
          <w:rFonts w:ascii="Times New Roman" w:hAnsi="Times New Roman"/>
          <w:b/>
          <w:i w:val="0"/>
          <w:color w:val="000000"/>
          <w:sz w:val="26"/>
        </w:rPr>
        <w:t>12. Conclusion</w:t>
      </w:r>
    </w:p>
    <w:p>
      <w:pPr>
        <w:spacing w:after="120" w:before="0"/>
        <w:jc w:val="both"/>
      </w:pPr>
      <w:r>
        <w:rPr>
          <w:rFonts w:ascii="Times New Roman" w:hAnsi="Times New Roman"/>
          <w:b w:val="0"/>
          <w:i w:val="0"/>
          <w:sz w:val="22"/>
        </w:rPr>
        <w:t>We have presented a unified freight document intelligence system based on fine-tuning Qwen2.5-VL-3B-Instruct via QLoRA on a synthetic dataset of ~11,700 labelled freight document pages. The system addresses three operationally critical tasks — document classification, bundle splitting, and structured field extraction — in a single inference pass from raw document images, without OCR preprocessing or document-type-specific logic.</w:t>
      </w:r>
    </w:p>
    <w:p>
      <w:pPr>
        <w:spacing w:after="120" w:before="0"/>
        <w:jc w:val="both"/>
      </w:pPr>
      <w:r>
        <w:rPr>
          <w:rFonts w:ascii="Times New Roman" w:hAnsi="Times New Roman"/>
          <w:b w:val="0"/>
          <w:i w:val="0"/>
          <w:sz w:val="22"/>
        </w:rPr>
        <w:t>Our primary empirical finding is that fine-tuning a 3B-parameter VLM on domain-specific data produces very large gains over its zero-shot counterpart across all tasks (+17.8pp classification, +70.2pp Split IoU, +45.8pp Field F1) while remaining practically deployable on consumer GPU hardware. A key secondary finding is that blank-form training examples are essential for production robustness: without them, the model hallucinated values on 12.5% of blank documents; with them, hallucination is eliminated.</w:t>
      </w:r>
    </w:p>
    <w:p>
      <w:pPr>
        <w:spacing w:after="120" w:before="0"/>
        <w:jc w:val="both"/>
      </w:pPr>
      <w:r>
        <w:rPr>
          <w:rFonts w:ascii="Times New Roman" w:hAnsi="Times New Roman"/>
          <w:b w:val="0"/>
          <w:i w:val="0"/>
          <w:sz w:val="22"/>
        </w:rPr>
        <w:t>Future directions include: (1) evaluation on real-world scanned freight documents to assess synthetic-to-real transfer; (2) resolution of the Import/Export License classification challenge; (3) full bfloat16 evaluation of Qwen2.5-VL-7B on H100 to characterise the 3B/7B performance gap; and (4) extension to multilingual document processing.</w:t>
      </w:r>
    </w:p>
    <w:p>
      <w:pPr>
        <w:pStyle w:val="Heading1"/>
        <w:spacing w:before="240" w:after="80"/>
        <w:jc w:val="left"/>
      </w:pPr>
      <w:r>
        <w:rPr>
          <w:rFonts w:ascii="Times New Roman" w:hAnsi="Times New Roman"/>
          <w:b/>
          <w:i w:val="0"/>
          <w:color w:val="000000"/>
          <w:sz w:val="26"/>
        </w:rPr>
        <w:t>References</w:t>
      </w:r>
    </w:p>
    <w:p>
      <w:pPr>
        <w:spacing w:after="60"/>
        <w:ind w:left="576" w:hanging="576"/>
      </w:pPr>
      <w:r>
        <w:rPr>
          <w:rFonts w:ascii="Times New Roman" w:hAnsi="Times New Roman"/>
          <w:b w:val="0"/>
          <w:i w:val="0"/>
          <w:sz w:val="20"/>
        </w:rPr>
        <w:t>[1] Xu, Y. et al. (2020). LayoutLM: Pre-training of Text and Layout for Document Image Understanding. KDD 2020.</w:t>
      </w:r>
    </w:p>
    <w:p>
      <w:pPr>
        <w:spacing w:after="60"/>
        <w:ind w:left="576" w:hanging="576"/>
      </w:pPr>
      <w:r>
        <w:rPr>
          <w:rFonts w:ascii="Times New Roman" w:hAnsi="Times New Roman"/>
          <w:b w:val="0"/>
          <w:i w:val="0"/>
          <w:sz w:val="20"/>
        </w:rPr>
        <w:t>[2] Huang, Y. et al. (2022). LayoutLMv3: Pre-Training for Document AI with Unified Text and Image Masking. ACM MM 2022.</w:t>
      </w:r>
    </w:p>
    <w:p>
      <w:pPr>
        <w:spacing w:after="60"/>
        <w:ind w:left="576" w:hanging="576"/>
      </w:pPr>
      <w:r>
        <w:rPr>
          <w:rFonts w:ascii="Times New Roman" w:hAnsi="Times New Roman"/>
          <w:b w:val="0"/>
          <w:i w:val="0"/>
          <w:sz w:val="20"/>
        </w:rPr>
        <w:t>[3] Kim, G. et al. (2022). OCR-free Document Understanding Transformer. ECCV 2022.</w:t>
      </w:r>
    </w:p>
    <w:p>
      <w:pPr>
        <w:spacing w:after="60"/>
        <w:ind w:left="576" w:hanging="576"/>
      </w:pPr>
      <w:r>
        <w:rPr>
          <w:rFonts w:ascii="Times New Roman" w:hAnsi="Times New Roman"/>
          <w:b w:val="0"/>
          <w:i w:val="0"/>
          <w:sz w:val="20"/>
        </w:rPr>
        <w:t>[4] Bai, J. et al. (2023). Qwen-VL: A Versatile Vision-Language Model for Understanding, Localization, Text Reading, and Beyond. arXiv:2308.12966.</w:t>
      </w:r>
    </w:p>
    <w:p>
      <w:pPr>
        <w:spacing w:after="60"/>
        <w:ind w:left="576" w:hanging="576"/>
      </w:pPr>
      <w:r>
        <w:rPr>
          <w:rFonts w:ascii="Times New Roman" w:hAnsi="Times New Roman"/>
          <w:b w:val="0"/>
          <w:i w:val="0"/>
          <w:sz w:val="20"/>
        </w:rPr>
        <w:t>[5] Chen, Z. et al. (2023). InternVL: Scaling up Vision Foundation Models and Aligning for Generic Visual-Linguistic Tasks. CVPR 2024.</w:t>
      </w:r>
    </w:p>
    <w:p>
      <w:pPr>
        <w:spacing w:after="60"/>
        <w:ind w:left="576" w:hanging="576"/>
      </w:pPr>
      <w:r>
        <w:rPr>
          <w:rFonts w:ascii="Times New Roman" w:hAnsi="Times New Roman"/>
          <w:b w:val="0"/>
          <w:i w:val="0"/>
          <w:sz w:val="20"/>
        </w:rPr>
        <w:t>[6] Liu, H. et al. (2023). Visual Instruction Tuning. NeurIPS 2023.</w:t>
      </w:r>
    </w:p>
    <w:p>
      <w:pPr>
        <w:spacing w:after="60"/>
        <w:ind w:left="576" w:hanging="576"/>
      </w:pPr>
      <w:r>
        <w:rPr>
          <w:rFonts w:ascii="Times New Roman" w:hAnsi="Times New Roman"/>
          <w:b w:val="0"/>
          <w:i w:val="0"/>
          <w:sz w:val="20"/>
        </w:rPr>
        <w:t>[7] Hu, E. et al. (2021). LoRA: Low-Rank Adaptation of Large Language Models. ICLR 2022.</w:t>
      </w:r>
    </w:p>
    <w:p>
      <w:pPr>
        <w:spacing w:after="60"/>
        <w:ind w:left="576" w:hanging="576"/>
      </w:pPr>
      <w:r>
        <w:rPr>
          <w:rFonts w:ascii="Times New Roman" w:hAnsi="Times New Roman"/>
          <w:b w:val="0"/>
          <w:i w:val="0"/>
          <w:sz w:val="20"/>
        </w:rPr>
        <w:t>[8] Dettmers, T. et al. (2023). QLoRA: Efficient Finetuning of Quantized LLMs. NeurIPS 2023.</w:t>
      </w:r>
    </w:p>
    <w:p>
      <w:pPr>
        <w:spacing w:after="60"/>
        <w:ind w:left="576" w:hanging="576"/>
      </w:pPr>
      <w:r>
        <w:rPr>
          <w:rFonts w:ascii="Times New Roman" w:hAnsi="Times New Roman"/>
          <w:b w:val="0"/>
          <w:i w:val="0"/>
          <w:sz w:val="20"/>
        </w:rPr>
        <w:t>[9] Harley, A.W. et al. (2015). Evaluation of Deep Convolutional Nets for Document Image Classification and Retrieval. ICDAR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