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172A"/>
          <w:sz w:val="54"/>
        </w:rPr>
        <w:t>HYPERLOCAL POLLUTION EVIDENCE ENGINE</w:t>
      </w:r>
    </w:p>
    <w:p>
      <w:pPr>
        <w:jc w:val="center"/>
      </w:pPr>
      <w:r>
        <w:rPr>
          <w:b/>
          <w:color w:val="2563EB"/>
          <w:sz w:val="36"/>
        </w:rPr>
        <w:t>Evidence Fusion + Source Attribution Engine</w:t>
      </w:r>
    </w:p>
    <w:p>
      <w:pPr>
        <w:jc w:val="center"/>
      </w:pPr>
      <w:r>
        <w:rPr>
          <w:color w:val="6B7280"/>
          <w:sz w:val="24"/>
        </w:rPr>
        <w:t>Implementation Playbook v1.0</w:t>
      </w:r>
    </w:p>
    <w:p/>
    <w:p>
      <w:pPr>
        <w:spacing w:before="80" w:after="120"/>
      </w:pPr>
      <w:r>
        <w:rPr>
          <w:b/>
          <w:color w:val="2563EB"/>
          <w:sz w:val="20"/>
        </w:rPr>
        <w:t>Purpose</w:t>
        <w:br/>
      </w:r>
      <w:r>
        <w:rPr>
          <w:sz w:val="18"/>
        </w:rPr>
        <w:t>Build an explainable intelligence layer that turns hyperlocal sensor observations, weather, wind, industrial activity and spatial context into a ranked probable-source assessment and an auditable evidence trail for GSPCB decision support.</w:t>
      </w:r>
    </w:p>
    <w:p>
      <w:pPr>
        <w:spacing w:before="80" w:after="120"/>
      </w:pPr>
      <w:r>
        <w:rPr>
          <w:b/>
          <w:color w:val="2563EB"/>
          <w:sz w:val="20"/>
        </w:rPr>
        <w:t>Important boundary</w:t>
        <w:br/>
      </w:r>
      <w:r>
        <w:rPr>
          <w:sz w:val="18"/>
        </w:rPr>
        <w:t>This engine must never present a factory as legally proven to be the polluter. It produces a probabilistic source assessment and inspection-prioritization evidence. Regulatory confirmation remains with authorized GSPCB procedures.</w:t>
      </w:r>
    </w:p>
    <w:p>
      <w:r>
        <w:br w:type="page"/>
      </w:r>
    </w:p>
    <w:p>
      <w:pPr>
        <w:pStyle w:val="Heading1"/>
      </w:pPr>
      <w:r>
        <w:t>1. What We Are Building</w:t>
      </w:r>
    </w:p>
    <w:p>
      <w:r>
        <w:t>The engine is a modular backend intelligence pipeline sitting after data ingestion and before the inspector dashboard / complaint workflow. It consumes canonical HPEE sensor observations and contextual data already standardized by the backend platform.</w:t>
      </w:r>
    </w:p>
    <w:p>
      <w:pPr>
        <w:spacing w:before="60" w:after="100"/>
        <w:ind w:left="317" w:right="173"/>
        <w:shd w:fill="F3F4F6"/>
      </w:pPr>
      <w:r>
        <w:rPr>
          <w:rFonts w:ascii="Consolas" w:hAnsi="Consolas"/>
          <w:color w:val="111827"/>
          <w:sz w:val="17"/>
        </w:rPr>
        <w:t>ESP32 / Simulator -&gt; Ingestion API -&gt; PostgreSQL</w:t>
        <w:br/>
        <w:t xml:space="preserve">                                |</w:t>
        <w:br/>
        <w:t xml:space="preserve">                                +-&gt; Event Detection</w:t>
        <w:br/>
        <w:t xml:space="preserve">                                +-&gt; Classification</w:t>
        <w:br/>
        <w:t xml:space="preserve">                                +-&gt; Weather / Industrial / GIS context</w:t>
        <w:br/>
        <w:t xml:space="preserve">                                |</w:t>
        <w:br/>
        <w:t xml:space="preserve">                                +-&gt; Evidence Fusion</w:t>
        <w:br/>
        <w:t xml:space="preserve">                                |</w:t>
        <w:br/>
        <w:t xml:space="preserve">                                +-&gt; Source Attribution</w:t>
        <w:br/>
        <w:t xml:space="preserve">                                |</w:t>
        <w:br/>
        <w:t xml:space="preserve">                                +-&gt; Evidence Records -&gt; Reports / UI / Form-A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5184"/>
            <w:vAlign w:val="center"/>
            <w:shd w:fill="0F172A"/>
          </w:tcPr>
          <w:p>
            <w:r/>
            <w:r>
              <w:rPr>
                <w:b/>
                <w:color w:val="FFFFFF"/>
                <w:sz w:val="17"/>
              </w:rPr>
              <w:t>Input / Output</w:t>
            </w:r>
          </w:p>
        </w:tc>
        <w:tc>
          <w:tcPr>
            <w:tcW w:type="dxa" w:w="5184"/>
            <w:vAlign w:val="center"/>
            <w:shd w:fill="0F172A"/>
          </w:tcPr>
          <w:p>
            <w:r/>
            <w:r>
              <w:rPr>
                <w:b/>
                <w:color w:val="FFFFFF"/>
                <w:sz w:val="17"/>
              </w:rPr>
              <w:t>Contract</w:t>
            </w:r>
          </w:p>
        </w:tc>
      </w:tr>
      <w:tr>
        <w:tc>
          <w:tcPr>
            <w:tcW w:type="dxa" w:w="5184"/>
            <w:vAlign w:val="center"/>
            <w:shd w:fill="F8FAFC"/>
          </w:tcPr>
          <w:p>
            <w:r/>
            <w:r>
              <w:rPr>
                <w:b w:val="0"/>
                <w:sz w:val="16"/>
              </w:rPr>
              <w:t>Primary inputs</w:t>
            </w:r>
          </w:p>
        </w:tc>
        <w:tc>
          <w:tcPr>
            <w:tcW w:type="dxa" w:w="5184"/>
            <w:vAlign w:val="center"/>
            <w:shd w:fill="F8FAFC"/>
          </w:tcPr>
          <w:p>
            <w:r/>
            <w:r>
              <w:rPr>
                <w:b w:val="0"/>
                <w:sz w:val="16"/>
              </w:rPr>
              <w:t>sensor_readings, weather_observations, industrial_sites, industrial_activity, village/node geospatial context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6"/>
              </w:rPr>
              <w:t>Primary outputs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6"/>
              </w:rPr>
              <w:t>pollution_events, event_classifications, evidence_records, source_attributions</w:t>
            </w:r>
          </w:p>
        </w:tc>
      </w:tr>
      <w:tr>
        <w:tc>
          <w:tcPr>
            <w:tcW w:type="dxa" w:w="5184"/>
            <w:vAlign w:val="center"/>
            <w:shd w:fill="F8FAFC"/>
          </w:tcPr>
          <w:p>
            <w:r/>
            <w:r>
              <w:rPr>
                <w:b w:val="0"/>
                <w:sz w:val="16"/>
              </w:rPr>
              <w:t>Downstream consumers</w:t>
            </w:r>
          </w:p>
        </w:tc>
        <w:tc>
          <w:tcPr>
            <w:tcW w:type="dxa" w:w="5184"/>
            <w:vAlign w:val="center"/>
            <w:shd w:fill="F8FAFC"/>
          </w:tcPr>
          <w:p>
            <w:r/>
            <w:r>
              <w:rPr>
                <w:b w:val="0"/>
                <w:sz w:val="16"/>
              </w:rPr>
              <w:t>FastAPI API layer, WebSocket event stream, inspector UI, evidence/report generator, complaint workflow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6"/>
              </w:rPr>
              <w:t>Core design principle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6"/>
              </w:rPr>
              <w:t>Explainability over black-box scoring; every result must preserve the factors that produced it</w:t>
            </w:r>
          </w:p>
        </w:tc>
      </w:tr>
    </w:tbl>
    <w:p/>
    <w:p>
      <w:pPr>
        <w:pStyle w:val="Heading1"/>
      </w:pPr>
      <w:r>
        <w:t>2. Prerequisites and Tools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3456"/>
            <w:vAlign w:val="center"/>
            <w:shd w:fill="0F172A"/>
          </w:tcPr>
          <w:p>
            <w:r/>
            <w:r>
              <w:rPr>
                <w:b/>
                <w:color w:val="FFFFFF"/>
                <w:sz w:val="17"/>
              </w:rPr>
              <w:t>Purpose</w:t>
            </w:r>
          </w:p>
        </w:tc>
        <w:tc>
          <w:tcPr>
            <w:tcW w:type="dxa" w:w="3456"/>
            <w:vAlign w:val="center"/>
            <w:shd w:fill="0F172A"/>
          </w:tcPr>
          <w:p>
            <w:r/>
            <w:r>
              <w:rPr>
                <w:b/>
                <w:color w:val="FFFFFF"/>
                <w:sz w:val="17"/>
              </w:rPr>
              <w:t>Recommended tool</w:t>
            </w:r>
          </w:p>
        </w:tc>
        <w:tc>
          <w:tcPr>
            <w:tcW w:type="dxa" w:w="3456"/>
            <w:vAlign w:val="center"/>
            <w:shd w:fill="0F172A"/>
          </w:tcPr>
          <w:p>
            <w:r/>
            <w:r>
              <w:rPr>
                <w:b/>
                <w:color w:val="FFFFFF"/>
                <w:sz w:val="17"/>
              </w:rPr>
              <w:t>Notes</w:t>
            </w:r>
          </w:p>
        </w:tc>
      </w:tr>
      <w:tr>
        <w:tc>
          <w:tcPr>
            <w:tcW w:type="dxa" w:w="3456"/>
            <w:vAlign w:val="center"/>
            <w:shd w:fill="F8FAFC"/>
          </w:tcPr>
          <w:p>
            <w:r/>
            <w:r>
              <w:rPr>
                <w:b w:val="0"/>
                <w:sz w:val="16"/>
              </w:rPr>
              <w:t>Language</w:t>
            </w:r>
          </w:p>
        </w:tc>
        <w:tc>
          <w:tcPr>
            <w:tcW w:type="dxa" w:w="3456"/>
            <w:vAlign w:val="center"/>
            <w:shd w:fill="F8FAFC"/>
          </w:tcPr>
          <w:p>
            <w:r/>
            <w:r>
              <w:rPr>
                <w:b w:val="0"/>
                <w:sz w:val="16"/>
              </w:rPr>
              <w:t>Python 3.12+</w:t>
            </w:r>
          </w:p>
        </w:tc>
        <w:tc>
          <w:tcPr>
            <w:tcW w:type="dxa" w:w="3456"/>
            <w:vAlign w:val="center"/>
            <w:shd w:fill="F8FAFC"/>
          </w:tcPr>
          <w:p>
            <w:r/>
            <w:r>
              <w:rPr>
                <w:b w:val="0"/>
                <w:sz w:val="16"/>
              </w:rPr>
              <w:t>Main language for analytics and orchestration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Backend integration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FastAPI + SQLAlchemy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Use the existing HPEE backend contract; engines should be callable services/modules, not standalone apps</w:t>
            </w:r>
          </w:p>
        </w:tc>
      </w:tr>
      <w:tr>
        <w:tc>
          <w:tcPr>
            <w:tcW w:type="dxa" w:w="3456"/>
            <w:vAlign w:val="center"/>
            <w:shd w:fill="F8FAFC"/>
          </w:tcPr>
          <w:p>
            <w:r/>
            <w:r>
              <w:rPr>
                <w:b w:val="0"/>
                <w:sz w:val="16"/>
              </w:rPr>
              <w:t>Database</w:t>
            </w:r>
          </w:p>
        </w:tc>
        <w:tc>
          <w:tcPr>
            <w:tcW w:type="dxa" w:w="3456"/>
            <w:vAlign w:val="center"/>
            <w:shd w:fill="F8FAFC"/>
          </w:tcPr>
          <w:p>
            <w:r/>
            <w:r>
              <w:rPr>
                <w:b w:val="0"/>
                <w:sz w:val="16"/>
              </w:rPr>
              <w:t>PostgreSQL + PostGIS</w:t>
            </w:r>
          </w:p>
        </w:tc>
        <w:tc>
          <w:tcPr>
            <w:tcW w:type="dxa" w:w="3456"/>
            <w:vAlign w:val="center"/>
            <w:shd w:fill="F8FAFC"/>
          </w:tcPr>
          <w:p>
            <w:r/>
            <w:r>
              <w:rPr>
                <w:b w:val="0"/>
                <w:sz w:val="16"/>
              </w:rPr>
              <w:t>Canonical source of truth for readings, events, industry locations, evidence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Migrations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Alembic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No manual schema edits in shared environments</w:t>
            </w:r>
          </w:p>
        </w:tc>
      </w:tr>
      <w:tr>
        <w:tc>
          <w:tcPr>
            <w:tcW w:type="dxa" w:w="3456"/>
            <w:vAlign w:val="center"/>
            <w:shd w:fill="F8FAFC"/>
          </w:tcPr>
          <w:p>
            <w:r/>
            <w:r>
              <w:rPr>
                <w:b w:val="0"/>
                <w:sz w:val="16"/>
              </w:rPr>
              <w:t>Data science</w:t>
            </w:r>
          </w:p>
        </w:tc>
        <w:tc>
          <w:tcPr>
            <w:tcW w:type="dxa" w:w="3456"/>
            <w:vAlign w:val="center"/>
            <w:shd w:fill="F8FAFC"/>
          </w:tcPr>
          <w:p>
            <w:r/>
            <w:r>
              <w:rPr>
                <w:b w:val="0"/>
                <w:sz w:val="16"/>
              </w:rPr>
              <w:t>NumPy + pandas</w:t>
            </w:r>
          </w:p>
        </w:tc>
        <w:tc>
          <w:tcPr>
            <w:tcW w:type="dxa" w:w="3456"/>
            <w:vAlign w:val="center"/>
            <w:shd w:fill="F8FAFC"/>
          </w:tcPr>
          <w:p>
            <w:r/>
            <w:r>
              <w:rPr>
                <w:b w:val="0"/>
                <w:sz w:val="16"/>
              </w:rPr>
              <w:t>Feature engineering and numerical processing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Classical ML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scikit-learn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Isolation Forest, preprocessing, validation</w:t>
            </w:r>
          </w:p>
        </w:tc>
      </w:tr>
      <w:tr>
        <w:tc>
          <w:tcPr>
            <w:tcW w:type="dxa" w:w="3456"/>
            <w:vAlign w:val="center"/>
            <w:shd w:fill="F8FAFC"/>
          </w:tcPr>
          <w:p>
            <w:r/>
            <w:r>
              <w:rPr>
                <w:b w:val="0"/>
                <w:sz w:val="16"/>
              </w:rPr>
              <w:t>Tabular classification</w:t>
            </w:r>
          </w:p>
        </w:tc>
        <w:tc>
          <w:tcPr>
            <w:tcW w:type="dxa" w:w="3456"/>
            <w:vAlign w:val="center"/>
            <w:shd w:fill="F8FAFC"/>
          </w:tcPr>
          <w:p>
            <w:r/>
            <w:r>
              <w:rPr>
                <w:b w:val="0"/>
                <w:sz w:val="16"/>
              </w:rPr>
              <w:t>XGBoost</w:t>
            </w:r>
          </w:p>
        </w:tc>
        <w:tc>
          <w:tcPr>
            <w:tcW w:type="dxa" w:w="3456"/>
            <w:vAlign w:val="center"/>
            <w:shd w:fill="F8FAFC"/>
          </w:tcPr>
          <w:p>
            <w:r/>
            <w:r>
              <w:rPr>
                <w:b w:val="0"/>
                <w:sz w:val="16"/>
              </w:rPr>
              <w:t>Use only if training data is sufficient and labels are defensible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Geospatial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GeoPandas + Shapely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Offline analytics / geometry operations; PostGIS for production queries</w:t>
            </w:r>
          </w:p>
        </w:tc>
      </w:tr>
      <w:tr>
        <w:tc>
          <w:tcPr>
            <w:tcW w:type="dxa" w:w="3456"/>
            <w:vAlign w:val="center"/>
            <w:shd w:fill="F8FAFC"/>
          </w:tcPr>
          <w:p>
            <w:r/>
            <w:r>
              <w:rPr>
                <w:b w:val="0"/>
                <w:sz w:val="16"/>
              </w:rPr>
              <w:t>Testing</w:t>
            </w:r>
          </w:p>
        </w:tc>
        <w:tc>
          <w:tcPr>
            <w:tcW w:type="dxa" w:w="3456"/>
            <w:vAlign w:val="center"/>
            <w:shd w:fill="F8FAFC"/>
          </w:tcPr>
          <w:p>
            <w:r/>
            <w:r>
              <w:rPr>
                <w:b w:val="0"/>
                <w:sz w:val="16"/>
              </w:rPr>
              <w:t>pytest</w:t>
            </w:r>
          </w:p>
        </w:tc>
        <w:tc>
          <w:tcPr>
            <w:tcW w:type="dxa" w:w="3456"/>
            <w:vAlign w:val="center"/>
            <w:shd w:fill="F8FAFC"/>
          </w:tcPr>
          <w:p>
            <w:r/>
            <w:r>
              <w:rPr>
                <w:b w:val="0"/>
                <w:sz w:val="16"/>
              </w:rPr>
              <w:t>Unit + integration + scenario tests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Experiment tracking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MLflow (optional)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Add only when multiple models/versions need tracking</w:t>
            </w:r>
          </w:p>
        </w:tc>
      </w:tr>
      <w:tr>
        <w:tc>
          <w:tcPr>
            <w:tcW w:type="dxa" w:w="3456"/>
            <w:vAlign w:val="center"/>
            <w:shd w:fill="F8FAFC"/>
          </w:tcPr>
          <w:p>
            <w:r/>
            <w:r>
              <w:rPr>
                <w:b w:val="0"/>
                <w:sz w:val="16"/>
              </w:rPr>
              <w:t>IDE/agent</w:t>
            </w:r>
          </w:p>
        </w:tc>
        <w:tc>
          <w:tcPr>
            <w:tcW w:type="dxa" w:w="3456"/>
            <w:vAlign w:val="center"/>
            <w:shd w:fill="F8FAFC"/>
          </w:tcPr>
          <w:p>
            <w:r/>
            <w:r>
              <w:rPr>
                <w:b w:val="0"/>
                <w:sz w:val="16"/>
              </w:rPr>
              <w:t>Cursor or VS Code + coding agent</w:t>
            </w:r>
          </w:p>
        </w:tc>
        <w:tc>
          <w:tcPr>
            <w:tcW w:type="dxa" w:w="3456"/>
            <w:vAlign w:val="center"/>
            <w:shd w:fill="F8FAFC"/>
          </w:tcPr>
          <w:p>
            <w:r/>
            <w:r>
              <w:rPr>
                <w:b w:val="0"/>
                <w:sz w:val="16"/>
              </w:rPr>
              <w:t>Use agents for implementation, not architecture decisions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Version control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Git + GitHub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Branch per engine/feature, PR before merging</w:t>
            </w:r>
          </w:p>
        </w:tc>
      </w:tr>
      <w:tr>
        <w:tc>
          <w:tcPr>
            <w:tcW w:type="dxa" w:w="3456"/>
            <w:vAlign w:val="center"/>
            <w:shd w:fill="F8FAFC"/>
          </w:tcPr>
          <w:p>
            <w:r/>
            <w:r>
              <w:rPr>
                <w:b w:val="0"/>
                <w:sz w:val="16"/>
              </w:rPr>
              <w:t>Containers</w:t>
            </w:r>
          </w:p>
        </w:tc>
        <w:tc>
          <w:tcPr>
            <w:tcW w:type="dxa" w:w="3456"/>
            <w:vAlign w:val="center"/>
            <w:shd w:fill="F8FAFC"/>
          </w:tcPr>
          <w:p>
            <w:r/>
            <w:r>
              <w:rPr>
                <w:b w:val="0"/>
                <w:sz w:val="16"/>
              </w:rPr>
              <w:t>Docker Compose</w:t>
            </w:r>
          </w:p>
        </w:tc>
        <w:tc>
          <w:tcPr>
            <w:tcW w:type="dxa" w:w="3456"/>
            <w:vAlign w:val="center"/>
            <w:shd w:fill="F8FAFC"/>
          </w:tcPr>
          <w:p>
            <w:r/>
            <w:r>
              <w:rPr>
                <w:b w:val="0"/>
                <w:sz w:val="16"/>
              </w:rPr>
              <w:t>Run backend + database + MQTT + engine stack consistently</w:t>
            </w:r>
          </w:p>
        </w:tc>
      </w:tr>
    </w:tbl>
    <w:p/>
    <w:p>
      <w:pPr>
        <w:pStyle w:val="Heading1"/>
      </w:pPr>
      <w:r>
        <w:t>3. Recommended Agent Strategy</w:t>
      </w:r>
    </w:p>
    <w:p>
      <w:r>
        <w:t>Use AI coding agents as bounded implementers. The architecture owner must provide contracts, test cases and acceptance criteria. Do not ask one agent to “build the whole AI”.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3456"/>
            <w:vAlign w:val="center"/>
            <w:shd w:fill="0F172A"/>
          </w:tcPr>
          <w:p>
            <w:r/>
            <w:r>
              <w:rPr>
                <w:b/>
                <w:color w:val="FFFFFF"/>
                <w:sz w:val="17"/>
              </w:rPr>
              <w:t>Agent</w:t>
            </w:r>
          </w:p>
        </w:tc>
        <w:tc>
          <w:tcPr>
            <w:tcW w:type="dxa" w:w="3456"/>
            <w:vAlign w:val="center"/>
            <w:shd w:fill="0F172A"/>
          </w:tcPr>
          <w:p>
            <w:r/>
            <w:r>
              <w:rPr>
                <w:b/>
                <w:color w:val="FFFFFF"/>
                <w:sz w:val="17"/>
              </w:rPr>
              <w:t>Owns</w:t>
            </w:r>
          </w:p>
        </w:tc>
        <w:tc>
          <w:tcPr>
            <w:tcW w:type="dxa" w:w="3456"/>
            <w:vAlign w:val="center"/>
            <w:shd w:fill="0F172A"/>
          </w:tcPr>
          <w:p>
            <w:r/>
            <w:r>
              <w:rPr>
                <w:b/>
                <w:color w:val="FFFFFF"/>
                <w:sz w:val="17"/>
              </w:rPr>
              <w:t>Must not change</w:t>
            </w:r>
          </w:p>
        </w:tc>
      </w:tr>
      <w:tr>
        <w:tc>
          <w:tcPr>
            <w:tcW w:type="dxa" w:w="3456"/>
            <w:vAlign w:val="center"/>
            <w:shd w:fill="F8FAFC"/>
          </w:tcPr>
          <w:p>
            <w:r/>
            <w:r>
              <w:rPr>
                <w:b w:val="0"/>
                <w:sz w:val="16"/>
              </w:rPr>
              <w:t>Engine Lead</w:t>
            </w:r>
          </w:p>
        </w:tc>
        <w:tc>
          <w:tcPr>
            <w:tcW w:type="dxa" w:w="3456"/>
            <w:vAlign w:val="center"/>
            <w:shd w:fill="F8FAFC"/>
          </w:tcPr>
          <w:p>
            <w:r/>
            <w:r>
              <w:rPr>
                <w:b w:val="0"/>
                <w:sz w:val="16"/>
              </w:rPr>
              <w:t>Shared interfaces, scoring spec, orchestration</w:t>
            </w:r>
          </w:p>
        </w:tc>
        <w:tc>
          <w:tcPr>
            <w:tcW w:type="dxa" w:w="3456"/>
            <w:vAlign w:val="center"/>
            <w:shd w:fill="F8FAFC"/>
          </w:tcPr>
          <w:p>
            <w:r/>
            <w:r>
              <w:rPr>
                <w:b w:val="0"/>
                <w:sz w:val="16"/>
              </w:rPr>
              <w:t>Database schema or frontend contracts without review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Event Detection Agent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Anomaly detection module + tests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Source attribution scoring</w:t>
            </w:r>
          </w:p>
        </w:tc>
      </w:tr>
      <w:tr>
        <w:tc>
          <w:tcPr>
            <w:tcW w:type="dxa" w:w="3456"/>
            <w:vAlign w:val="center"/>
            <w:shd w:fill="F8FAFC"/>
          </w:tcPr>
          <w:p>
            <w:r/>
            <w:r>
              <w:rPr>
                <w:b w:val="0"/>
                <w:sz w:val="16"/>
              </w:rPr>
              <w:t>Classification Agent</w:t>
            </w:r>
          </w:p>
        </w:tc>
        <w:tc>
          <w:tcPr>
            <w:tcW w:type="dxa" w:w="3456"/>
            <w:vAlign w:val="center"/>
            <w:shd w:fill="F8FAFC"/>
          </w:tcPr>
          <w:p>
            <w:r/>
            <w:r>
              <w:rPr>
                <w:b w:val="0"/>
                <w:sz w:val="16"/>
              </w:rPr>
              <w:t>Industrial/agri/seasonal classifier</w:t>
            </w:r>
          </w:p>
        </w:tc>
        <w:tc>
          <w:tcPr>
            <w:tcW w:type="dxa" w:w="3456"/>
            <w:vAlign w:val="center"/>
            <w:shd w:fill="F8FAFC"/>
          </w:tcPr>
          <w:p>
            <w:r/>
            <w:r>
              <w:rPr>
                <w:b w:val="0"/>
                <w:sz w:val="16"/>
              </w:rPr>
              <w:t>Raw ingestion contract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Evidence Fusion Agent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Evidence scoring + explanation generation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Source ranking weights</w:t>
            </w:r>
          </w:p>
        </w:tc>
      </w:tr>
      <w:tr>
        <w:tc>
          <w:tcPr>
            <w:tcW w:type="dxa" w:w="3456"/>
            <w:vAlign w:val="center"/>
            <w:shd w:fill="F8FAFC"/>
          </w:tcPr>
          <w:p>
            <w:r/>
            <w:r>
              <w:rPr>
                <w:b w:val="0"/>
                <w:sz w:val="16"/>
              </w:rPr>
              <w:t>Source Attribution Agent</w:t>
            </w:r>
          </w:p>
        </w:tc>
        <w:tc>
          <w:tcPr>
            <w:tcW w:type="dxa" w:w="3456"/>
            <w:vAlign w:val="center"/>
            <w:shd w:fill="F8FAFC"/>
          </w:tcPr>
          <w:p>
            <w:r/>
            <w:r>
              <w:rPr>
                <w:b w:val="0"/>
                <w:sz w:val="16"/>
              </w:rPr>
              <w:t>GIS candidate generation + ranking</w:t>
            </w:r>
          </w:p>
        </w:tc>
        <w:tc>
          <w:tcPr>
            <w:tcW w:type="dxa" w:w="3456"/>
            <w:vAlign w:val="center"/>
            <w:shd w:fill="F8FAFC"/>
          </w:tcPr>
          <w:p>
            <w:r/>
            <w:r>
              <w:rPr>
                <w:b w:val="0"/>
                <w:sz w:val="16"/>
              </w:rPr>
              <w:t>Evidence record schema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Evaluation Agent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Synthetic scenarios, metrics, regression tests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Production logic</w:t>
            </w:r>
          </w:p>
        </w:tc>
      </w:tr>
      <w:tr>
        <w:tc>
          <w:tcPr>
            <w:tcW w:type="dxa" w:w="3456"/>
            <w:vAlign w:val="center"/>
            <w:shd w:fill="F8FAFC"/>
          </w:tcPr>
          <w:p>
            <w:r/>
            <w:r>
              <w:rPr>
                <w:b w:val="0"/>
                <w:sz w:val="16"/>
              </w:rPr>
              <w:t>Integration Agent</w:t>
            </w:r>
          </w:p>
        </w:tc>
        <w:tc>
          <w:tcPr>
            <w:tcW w:type="dxa" w:w="3456"/>
            <w:vAlign w:val="center"/>
            <w:shd w:fill="F8FAFC"/>
          </w:tcPr>
          <w:p>
            <w:r/>
            <w:r>
              <w:rPr>
                <w:b w:val="0"/>
                <w:sz w:val="16"/>
              </w:rPr>
              <w:t>FastAPI wrappers, dependency injection, endpoint wiring</w:t>
            </w:r>
          </w:p>
        </w:tc>
        <w:tc>
          <w:tcPr>
            <w:tcW w:type="dxa" w:w="3456"/>
            <w:vAlign w:val="center"/>
            <w:shd w:fill="F8FAFC"/>
          </w:tcPr>
          <w:p>
            <w:r/>
            <w:r>
              <w:rPr>
                <w:b w:val="0"/>
                <w:sz w:val="16"/>
              </w:rPr>
              <w:t>Model internals unless bug fix is required</w:t>
            </w:r>
          </w:p>
        </w:tc>
      </w:tr>
    </w:tbl>
    <w:p/>
    <w:p>
      <w:pPr>
        <w:spacing w:before="80" w:after="120"/>
      </w:pPr>
      <w:r>
        <w:rPr>
          <w:b/>
          <w:color w:val="B91C1C"/>
          <w:sz w:val="20"/>
        </w:rPr>
        <w:t>Rule for every agent</w:t>
        <w:br/>
      </w:r>
      <w:r>
        <w:rPr>
          <w:sz w:val="18"/>
        </w:rPr>
        <w:t>“Never invent fields, endpoints, database columns, units, thresholds or scoring weights outside the specification. If a requirement is missing, stop and ask for a contract update.”</w:t>
      </w:r>
    </w:p>
    <w:p>
      <w:pPr>
        <w:pStyle w:val="Heading1"/>
      </w:pPr>
      <w:r>
        <w:t>4. Engine Architecture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3456"/>
            <w:vAlign w:val="center"/>
            <w:shd w:fill="0F172A"/>
          </w:tcPr>
          <w:p>
            <w:r/>
            <w:r>
              <w:rPr>
                <w:b/>
                <w:color w:val="FFFFFF"/>
                <w:sz w:val="17"/>
              </w:rPr>
              <w:t>Stage</w:t>
            </w:r>
          </w:p>
        </w:tc>
        <w:tc>
          <w:tcPr>
            <w:tcW w:type="dxa" w:w="3456"/>
            <w:vAlign w:val="center"/>
            <w:shd w:fill="0F172A"/>
          </w:tcPr>
          <w:p>
            <w:r/>
            <w:r>
              <w:rPr>
                <w:b/>
                <w:color w:val="FFFFFF"/>
                <w:sz w:val="17"/>
              </w:rPr>
              <w:t>Question</w:t>
            </w:r>
          </w:p>
        </w:tc>
        <w:tc>
          <w:tcPr>
            <w:tcW w:type="dxa" w:w="3456"/>
            <w:vAlign w:val="center"/>
            <w:shd w:fill="0F172A"/>
          </w:tcPr>
          <w:p>
            <w:r/>
            <w:r>
              <w:rPr>
                <w:b/>
                <w:color w:val="FFFFFF"/>
                <w:sz w:val="17"/>
              </w:rPr>
              <w:t>Preferred approach</w:t>
            </w:r>
          </w:p>
        </w:tc>
      </w:tr>
      <w:tr>
        <w:tc>
          <w:tcPr>
            <w:tcW w:type="dxa" w:w="3456"/>
            <w:vAlign w:val="center"/>
            <w:shd w:fill="F8FAFC"/>
          </w:tcPr>
          <w:p>
            <w:r/>
            <w:r>
              <w:rPr>
                <w:b w:val="0"/>
                <w:sz w:val="16"/>
              </w:rPr>
              <w:t>Data Quality Gate</w:t>
            </w:r>
          </w:p>
        </w:tc>
        <w:tc>
          <w:tcPr>
            <w:tcW w:type="dxa" w:w="3456"/>
            <w:vAlign w:val="center"/>
            <w:shd w:fill="F8FAFC"/>
          </w:tcPr>
          <w:p>
            <w:r/>
            <w:r>
              <w:rPr>
                <w:b w:val="0"/>
                <w:sz w:val="16"/>
              </w:rPr>
              <w:t>Can we trust this observation?</w:t>
            </w:r>
          </w:p>
        </w:tc>
        <w:tc>
          <w:tcPr>
            <w:tcW w:type="dxa" w:w="3456"/>
            <w:vAlign w:val="center"/>
            <w:shd w:fill="F8FAFC"/>
          </w:tcPr>
          <w:p>
            <w:r/>
            <w:r>
              <w:rPr>
                <w:b w:val="0"/>
                <w:sz w:val="16"/>
              </w:rPr>
              <w:t>Range checks, missingness, sensor quality flags, timestamp checks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Event Detection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Is this unusual for this node/time?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Rolling baseline + robust statistics; Isolation Forest as an optional secondary detector</w:t>
            </w:r>
          </w:p>
        </w:tc>
      </w:tr>
      <w:tr>
        <w:tc>
          <w:tcPr>
            <w:tcW w:type="dxa" w:w="3456"/>
            <w:vAlign w:val="center"/>
            <w:shd w:fill="F8FAFC"/>
          </w:tcPr>
          <w:p>
            <w:r/>
            <w:r>
              <w:rPr>
                <w:b w:val="0"/>
                <w:sz w:val="16"/>
              </w:rPr>
              <w:t>Event Classification</w:t>
            </w:r>
          </w:p>
        </w:tc>
        <w:tc>
          <w:tcPr>
            <w:tcW w:type="dxa" w:w="3456"/>
            <w:vAlign w:val="center"/>
            <w:shd w:fill="F8FAFC"/>
          </w:tcPr>
          <w:p>
            <w:r/>
            <w:r>
              <w:rPr>
                <w:b w:val="0"/>
                <w:sz w:val="16"/>
              </w:rPr>
              <w:t>What category best explains the event?</w:t>
            </w:r>
          </w:p>
        </w:tc>
        <w:tc>
          <w:tcPr>
            <w:tcW w:type="dxa" w:w="3456"/>
            <w:vAlign w:val="center"/>
            <w:shd w:fill="F8FAFC"/>
          </w:tcPr>
          <w:p>
            <w:r/>
            <w:r>
              <w:rPr>
                <w:b w:val="0"/>
                <w:sz w:val="16"/>
              </w:rPr>
              <w:t>XGBoost / Random Forest if labeled data exists; otherwise transparent rule-assisted scoring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Evidence Fusion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How strong is the combined evidence?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Weighted evidence model with explicit factors and provenance</w:t>
            </w:r>
          </w:p>
        </w:tc>
      </w:tr>
      <w:tr>
        <w:tc>
          <w:tcPr>
            <w:tcW w:type="dxa" w:w="3456"/>
            <w:vAlign w:val="center"/>
            <w:shd w:fill="F8FAFC"/>
          </w:tcPr>
          <w:p>
            <w:r/>
            <w:r>
              <w:rPr>
                <w:b w:val="0"/>
                <w:sz w:val="16"/>
              </w:rPr>
              <w:t>Source Attribution</w:t>
            </w:r>
          </w:p>
        </w:tc>
        <w:tc>
          <w:tcPr>
            <w:tcW w:type="dxa" w:w="3456"/>
            <w:vAlign w:val="center"/>
            <w:shd w:fill="F8FAFC"/>
          </w:tcPr>
          <w:p>
            <w:r/>
            <w:r>
              <w:rPr>
                <w:b w:val="0"/>
                <w:sz w:val="16"/>
              </w:rPr>
              <w:t>Which source is most consistent?</w:t>
            </w:r>
          </w:p>
        </w:tc>
        <w:tc>
          <w:tcPr>
            <w:tcW w:type="dxa" w:w="3456"/>
            <w:vAlign w:val="center"/>
            <w:shd w:fill="F8FAFC"/>
          </w:tcPr>
          <w:p>
            <w:r/>
            <w:r>
              <w:rPr>
                <w:b w:val="0"/>
                <w:sz w:val="16"/>
              </w:rPr>
              <w:t>Wind-vector geometry + spatial filtering + activity timing + pollutant compatibility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Decision Output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What should the inspector see?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Probable source ranking, confidence, factor breakdown, evidence references</w:t>
            </w:r>
          </w:p>
        </w:tc>
      </w:tr>
    </w:tbl>
    <w:p/>
    <w:p>
      <w:pPr>
        <w:pStyle w:val="Heading1"/>
      </w:pPr>
      <w:r>
        <w:t>5. Canonical Data Flow</w:t>
      </w:r>
    </w:p>
    <w:p>
      <w:pPr>
        <w:spacing w:before="60" w:after="100"/>
        <w:ind w:left="317" w:right="173"/>
        <w:shd w:fill="F3F4F6"/>
      </w:pPr>
      <w:r>
        <w:rPr>
          <w:rFonts w:ascii="Consolas" w:hAnsi="Consolas"/>
          <w:color w:val="111827"/>
          <w:sz w:val="17"/>
        </w:rPr>
        <w:t>1. sensor_readings arrive</w:t>
        <w:br/>
        <w:t>2. build event window around candidate anomaly</w:t>
        <w:br/>
        <w:t>3. validate and aggregate readings</w:t>
        <w:br/>
        <w:t>4. attach nearest weather observations</w:t>
        <w:br/>
        <w:t>5. attach candidate industrial sites</w:t>
        <w:br/>
        <w:t>6. attach industrial activity overlapping the event window</w:t>
        <w:br/>
        <w:t>7. run event classifier</w:t>
        <w:br/>
        <w:t>8. compute evidence factors</w:t>
        <w:br/>
        <w:t>9. rank candidate sources</w:t>
        <w:br/>
        <w:t>10. persist evidence_records + source_attributions</w:t>
        <w:br/>
        <w:t>11. publish event result over WebSocket</w:t>
        <w:br/>
        <w:t>12. expose result through FastAPI for inspector UI / report generation</w:t>
      </w:r>
    </w:p>
    <w:p>
      <w:pPr>
        <w:pStyle w:val="Heading1"/>
      </w:pPr>
      <w:r>
        <w:t>6. Event Window Construction</w:t>
      </w:r>
    </w:p>
    <w:p>
      <w:r>
        <w:t>Do not run source attribution on a single sample. Build a temporal event window so the system can reason about persistence, onset, peak and recovery.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3456"/>
            <w:vAlign w:val="center"/>
            <w:shd w:fill="0F172A"/>
          </w:tcPr>
          <w:p>
            <w:r/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3456"/>
            <w:vAlign w:val="center"/>
            <w:shd w:fill="0F172A"/>
          </w:tcPr>
          <w:p>
            <w:r/>
            <w:r>
              <w:rPr>
                <w:b/>
                <w:color w:val="FFFFFF"/>
                <w:sz w:val="17"/>
              </w:rPr>
              <w:t>Purpose</w:t>
            </w:r>
          </w:p>
        </w:tc>
        <w:tc>
          <w:tcPr>
            <w:tcW w:type="dxa" w:w="3456"/>
            <w:vAlign w:val="center"/>
            <w:shd w:fill="0F172A"/>
          </w:tcPr>
          <w:p>
            <w:r/>
            <w:r>
              <w:rPr>
                <w:b/>
                <w:color w:val="FFFFFF"/>
                <w:sz w:val="17"/>
              </w:rPr>
              <w:t>Initial default</w:t>
            </w:r>
          </w:p>
        </w:tc>
      </w:tr>
      <w:tr>
        <w:tc>
          <w:tcPr>
            <w:tcW w:type="dxa" w:w="3456"/>
            <w:vAlign w:val="center"/>
            <w:shd w:fill="F8FAFC"/>
          </w:tcPr>
          <w:p>
            <w:r/>
            <w:r>
              <w:rPr>
                <w:b w:val="0"/>
                <w:sz w:val="16"/>
              </w:rPr>
              <w:t>pre_window</w:t>
            </w:r>
          </w:p>
        </w:tc>
        <w:tc>
          <w:tcPr>
            <w:tcW w:type="dxa" w:w="3456"/>
            <w:vAlign w:val="center"/>
            <w:shd w:fill="F8FAFC"/>
          </w:tcPr>
          <w:p>
            <w:r/>
            <w:r>
              <w:rPr>
                <w:b w:val="0"/>
                <w:sz w:val="16"/>
              </w:rPr>
              <w:t>Baseline before onset</w:t>
            </w:r>
          </w:p>
        </w:tc>
        <w:tc>
          <w:tcPr>
            <w:tcW w:type="dxa" w:w="3456"/>
            <w:vAlign w:val="center"/>
            <w:shd w:fill="F8FAFC"/>
          </w:tcPr>
          <w:p>
            <w:r/>
            <w:r>
              <w:rPr>
                <w:b w:val="0"/>
                <w:sz w:val="16"/>
              </w:rPr>
              <w:t>30 minutes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event_window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Active event interval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Until anomaly drops below release threshold</w:t>
            </w:r>
          </w:p>
        </w:tc>
      </w:tr>
      <w:tr>
        <w:tc>
          <w:tcPr>
            <w:tcW w:type="dxa" w:w="3456"/>
            <w:vAlign w:val="center"/>
            <w:shd w:fill="F8FAFC"/>
          </w:tcPr>
          <w:p>
            <w:r/>
            <w:r>
              <w:rPr>
                <w:b w:val="0"/>
                <w:sz w:val="16"/>
              </w:rPr>
              <w:t>post_window</w:t>
            </w:r>
          </w:p>
        </w:tc>
        <w:tc>
          <w:tcPr>
            <w:tcW w:type="dxa" w:w="3456"/>
            <w:vAlign w:val="center"/>
            <w:shd w:fill="F8FAFC"/>
          </w:tcPr>
          <w:p>
            <w:r/>
            <w:r>
              <w:rPr>
                <w:b w:val="0"/>
                <w:sz w:val="16"/>
              </w:rPr>
              <w:t>Recovery/context window</w:t>
            </w:r>
          </w:p>
        </w:tc>
        <w:tc>
          <w:tcPr>
            <w:tcW w:type="dxa" w:w="3456"/>
            <w:vAlign w:val="center"/>
            <w:shd w:fill="F8FAFC"/>
          </w:tcPr>
          <w:p>
            <w:r/>
            <w:r>
              <w:rPr>
                <w:b w:val="0"/>
                <w:sz w:val="16"/>
              </w:rPr>
              <w:t>15 minutes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aggregation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Reduce noise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1-minute buckets for analysis</w:t>
            </w:r>
          </w:p>
        </w:tc>
      </w:tr>
      <w:tr>
        <w:tc>
          <w:tcPr>
            <w:tcW w:type="dxa" w:w="3456"/>
            <w:vAlign w:val="center"/>
            <w:shd w:fill="F8FAFC"/>
          </w:tcPr>
          <w:p>
            <w:r/>
            <w:r>
              <w:rPr>
                <w:b w:val="0"/>
                <w:sz w:val="16"/>
              </w:rPr>
              <w:t>minimum duration</w:t>
            </w:r>
          </w:p>
        </w:tc>
        <w:tc>
          <w:tcPr>
            <w:tcW w:type="dxa" w:w="3456"/>
            <w:vAlign w:val="center"/>
            <w:shd w:fill="F8FAFC"/>
          </w:tcPr>
          <w:p>
            <w:r/>
            <w:r>
              <w:rPr>
                <w:b w:val="0"/>
                <w:sz w:val="16"/>
              </w:rPr>
              <w:t>Avoid one-sample false alarms</w:t>
            </w:r>
          </w:p>
        </w:tc>
        <w:tc>
          <w:tcPr>
            <w:tcW w:type="dxa" w:w="3456"/>
            <w:vAlign w:val="center"/>
            <w:shd w:fill="F8FAFC"/>
          </w:tcPr>
          <w:p>
            <w:r/>
            <w:r>
              <w:rPr>
                <w:b w:val="0"/>
                <w:sz w:val="16"/>
              </w:rPr>
              <w:t>3 consecutive elevated buckets</w:t>
            </w:r>
          </w:p>
        </w:tc>
      </w:tr>
    </w:tbl>
    <w:p/>
    <w:p>
      <w:pPr>
        <w:spacing w:before="80" w:after="120"/>
      </w:pPr>
      <w:r>
        <w:rPr>
          <w:b/>
          <w:color w:val="2563EB"/>
          <w:sz w:val="20"/>
        </w:rPr>
        <w:t>Important</w:t>
        <w:br/>
      </w:r>
      <w:r>
        <w:rPr>
          <w:sz w:val="18"/>
        </w:rPr>
        <w:t>These defaults are starting values, not scientific constants. Keep them configurable and log the configuration version used for every event.</w:t>
      </w:r>
    </w:p>
    <w:p>
      <w:pPr>
        <w:pStyle w:val="Heading1"/>
      </w:pPr>
      <w:r>
        <w:t>7. Event Detection Engine</w:t>
      </w:r>
    </w:p>
    <w:p>
      <w:r>
        <w:t>Purpose: identify statistically unusual environmental behavior at a sensor or cluster of sensors. The output is an event candidate, not a source accusation.</w:t>
      </w:r>
    </w:p>
    <w:p>
      <w:pPr>
        <w:pStyle w:val="Heading2"/>
      </w:pPr>
      <w:r>
        <w:t>7.1 Baseline method</w:t>
      </w:r>
    </w:p>
    <w:p>
      <w:r>
        <w:t>Start with a robust rolling baseline because it is easy to explain and debug. A node’s expected PM2.5 and SO₂ baseline should account for time-of-day and recent history where possible.</w:t>
      </w:r>
    </w:p>
    <w:p>
      <w:pPr>
        <w:spacing w:before="60" w:after="100"/>
        <w:ind w:left="317" w:right="173"/>
        <w:shd w:fill="F3F4F6"/>
      </w:pPr>
      <w:r>
        <w:rPr>
          <w:rFonts w:ascii="Consolas" w:hAnsi="Consolas"/>
          <w:color w:val="111827"/>
          <w:sz w:val="17"/>
        </w:rPr>
        <w:t>z = (x - median_baseline) / robust_scale</w:t>
      </w:r>
    </w:p>
    <w:p>
      <w:pPr>
        <w:pStyle w:val="ListBullet"/>
        <w:spacing w:after="40"/>
      </w:pPr>
      <w:r>
        <w:t>Use median/MAD or another robust scale when data is noisy.</w:t>
      </w:r>
    </w:p>
    <w:p>
      <w:pPr>
        <w:pStyle w:val="ListBullet"/>
        <w:spacing w:after="40"/>
      </w:pPr>
      <w:r>
        <w:t>Require persistence to avoid one-sample spikes.</w:t>
      </w:r>
    </w:p>
    <w:p>
      <w:pPr>
        <w:pStyle w:val="ListBullet"/>
        <w:spacing w:after="40"/>
      </w:pPr>
      <w:r>
        <w:t>Down-weight readings with degraded/estimated quality.</w:t>
      </w:r>
    </w:p>
    <w:p>
      <w:pPr>
        <w:pStyle w:val="ListBullet"/>
        <w:spacing w:after="40"/>
      </w:pPr>
      <w:r>
        <w:t>Track onset, peak and recovery timestamps.</w:t>
      </w:r>
    </w:p>
    <w:p>
      <w:pPr>
        <w:pStyle w:val="Heading2"/>
      </w:pPr>
      <w:r>
        <w:t>7.2 Isolation Forest (optional secondary detector)</w:t>
      </w:r>
    </w:p>
    <w:p>
      <w:r>
        <w:t>Use Isolation Forest when the team has enough representative telemetry to learn normal patterns without labels. It should support the baseline detector, not replace it.</w:t>
      </w:r>
    </w:p>
    <w:p>
      <w:pPr>
        <w:spacing w:before="60" w:after="100"/>
        <w:ind w:left="317" w:right="173"/>
        <w:shd w:fill="F3F4F6"/>
      </w:pPr>
      <w:r>
        <w:rPr>
          <w:rFonts w:ascii="Consolas" w:hAnsi="Consolas"/>
          <w:color w:val="111827"/>
          <w:sz w:val="17"/>
        </w:rPr>
        <w:t>features = [pm25, so2, temperature, humidity, wind_speed, hour, day_of_week]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3456"/>
            <w:vAlign w:val="center"/>
            <w:shd w:fill="0F172A"/>
          </w:tcPr>
          <w:p>
            <w:r/>
            <w:r>
              <w:rPr>
                <w:b/>
                <w:color w:val="FFFFFF"/>
                <w:sz w:val="17"/>
              </w:rPr>
              <w:t>Model</w:t>
            </w:r>
          </w:p>
        </w:tc>
        <w:tc>
          <w:tcPr>
            <w:tcW w:type="dxa" w:w="3456"/>
            <w:vAlign w:val="center"/>
            <w:shd w:fill="0F172A"/>
          </w:tcPr>
          <w:p>
            <w:r/>
            <w:r>
              <w:rPr>
                <w:b/>
                <w:color w:val="FFFFFF"/>
                <w:sz w:val="17"/>
              </w:rPr>
              <w:t>Use</w:t>
            </w:r>
          </w:p>
        </w:tc>
        <w:tc>
          <w:tcPr>
            <w:tcW w:type="dxa" w:w="3456"/>
            <w:vAlign w:val="center"/>
            <w:shd w:fill="0F172A"/>
          </w:tcPr>
          <w:p>
            <w:r/>
            <w:r>
              <w:rPr>
                <w:b/>
                <w:color w:val="FFFFFF"/>
                <w:sz w:val="17"/>
              </w:rPr>
              <w:t>Do not use it for</w:t>
            </w:r>
          </w:p>
        </w:tc>
      </w:tr>
      <w:tr>
        <w:tc>
          <w:tcPr>
            <w:tcW w:type="dxa" w:w="3456"/>
            <w:vAlign w:val="center"/>
            <w:shd w:fill="F8FAFC"/>
          </w:tcPr>
          <w:p>
            <w:r/>
            <w:r>
              <w:rPr>
                <w:b w:val="0"/>
                <w:sz w:val="16"/>
              </w:rPr>
              <w:t>Rolling robust z-score/EWMA</w:t>
            </w:r>
          </w:p>
        </w:tc>
        <w:tc>
          <w:tcPr>
            <w:tcW w:type="dxa" w:w="3456"/>
            <w:vAlign w:val="center"/>
            <w:shd w:fill="F8FAFC"/>
          </w:tcPr>
          <w:p>
            <w:r/>
            <w:r>
              <w:rPr>
                <w:b w:val="0"/>
                <w:sz w:val="16"/>
              </w:rPr>
              <w:t>Primary transparent anomaly flag</w:t>
            </w:r>
          </w:p>
        </w:tc>
        <w:tc>
          <w:tcPr>
            <w:tcW w:type="dxa" w:w="3456"/>
            <w:vAlign w:val="center"/>
            <w:shd w:fill="F8FAFC"/>
          </w:tcPr>
          <w:p>
            <w:r/>
            <w:r>
              <w:rPr>
                <w:b w:val="0"/>
                <w:sz w:val="16"/>
              </w:rPr>
              <w:t>Source attribution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Isolation Forest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Secondary anomaly confirmation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Legal causality</w:t>
            </w:r>
          </w:p>
        </w:tc>
      </w:tr>
      <w:tr>
        <w:tc>
          <w:tcPr>
            <w:tcW w:type="dxa" w:w="3456"/>
            <w:vAlign w:val="center"/>
            <w:shd w:fill="F8FAFC"/>
          </w:tcPr>
          <w:p>
            <w:r/>
            <w:r>
              <w:rPr>
                <w:b w:val="0"/>
                <w:sz w:val="16"/>
              </w:rPr>
              <w:t>CUSUM/EWMA</w:t>
            </w:r>
          </w:p>
        </w:tc>
        <w:tc>
          <w:tcPr>
            <w:tcW w:type="dxa" w:w="3456"/>
            <w:vAlign w:val="center"/>
            <w:shd w:fill="F8FAFC"/>
          </w:tcPr>
          <w:p>
            <w:r/>
            <w:r>
              <w:rPr>
                <w:b w:val="0"/>
                <w:sz w:val="16"/>
              </w:rPr>
              <w:t>Persistent shift detection</w:t>
            </w:r>
          </w:p>
        </w:tc>
        <w:tc>
          <w:tcPr>
            <w:tcW w:type="dxa" w:w="3456"/>
            <w:vAlign w:val="center"/>
            <w:shd w:fill="F8FAFC"/>
          </w:tcPr>
          <w:p>
            <w:r/>
            <w:r>
              <w:rPr>
                <w:b w:val="0"/>
                <w:sz w:val="16"/>
              </w:rPr>
              <w:t>Factory identification</w:t>
            </w:r>
          </w:p>
        </w:tc>
      </w:tr>
    </w:tbl>
    <w:p/>
    <w:p>
      <w:pPr>
        <w:pStyle w:val="Heading1"/>
      </w:pPr>
      <w:r>
        <w:t>8. Event Classification Engine</w:t>
      </w:r>
    </w:p>
    <w:p>
      <w:r>
        <w:t>Goal: classify the detected event as likely industrial, agricultural/seasonal, background or unknown. This is a contextual classifier, not a direct factory detector.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5184"/>
            <w:vAlign w:val="center"/>
            <w:shd w:fill="0F172A"/>
          </w:tcPr>
          <w:p>
            <w:r/>
            <w:r>
              <w:rPr>
                <w:b/>
                <w:color w:val="FFFFFF"/>
                <w:sz w:val="17"/>
              </w:rPr>
              <w:t>Feature family</w:t>
            </w:r>
          </w:p>
        </w:tc>
        <w:tc>
          <w:tcPr>
            <w:tcW w:type="dxa" w:w="5184"/>
            <w:vAlign w:val="center"/>
            <w:shd w:fill="0F172A"/>
          </w:tcPr>
          <w:p>
            <w:r/>
            <w:r>
              <w:rPr>
                <w:b/>
                <w:color w:val="FFFFFF"/>
                <w:sz w:val="17"/>
              </w:rPr>
              <w:t>Examples</w:t>
            </w:r>
          </w:p>
        </w:tc>
      </w:tr>
      <w:tr>
        <w:tc>
          <w:tcPr>
            <w:tcW w:type="dxa" w:w="5184"/>
            <w:vAlign w:val="center"/>
            <w:shd w:fill="F8FAFC"/>
          </w:tcPr>
          <w:p>
            <w:r/>
            <w:r>
              <w:rPr>
                <w:b w:val="0"/>
                <w:sz w:val="16"/>
              </w:rPr>
              <w:t>Pollution</w:t>
            </w:r>
          </w:p>
        </w:tc>
        <w:tc>
          <w:tcPr>
            <w:tcW w:type="dxa" w:w="5184"/>
            <w:vAlign w:val="center"/>
            <w:shd w:fill="F8FAFC"/>
          </w:tcPr>
          <w:p>
            <w:r/>
            <w:r>
              <w:rPr>
                <w:b w:val="0"/>
                <w:sz w:val="16"/>
              </w:rPr>
              <w:t>PM2.5 level, SO₂ level, rate of change, pollutant ratio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6"/>
              </w:rPr>
              <w:t>Time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6"/>
              </w:rPr>
              <w:t>hour, day-of-week, month, season</w:t>
            </w:r>
          </w:p>
        </w:tc>
      </w:tr>
      <w:tr>
        <w:tc>
          <w:tcPr>
            <w:tcW w:type="dxa" w:w="5184"/>
            <w:vAlign w:val="center"/>
            <w:shd w:fill="F8FAFC"/>
          </w:tcPr>
          <w:p>
            <w:r/>
            <w:r>
              <w:rPr>
                <w:b w:val="0"/>
                <w:sz w:val="16"/>
              </w:rPr>
              <w:t>Weather</w:t>
            </w:r>
          </w:p>
        </w:tc>
        <w:tc>
          <w:tcPr>
            <w:tcW w:type="dxa" w:w="5184"/>
            <w:vAlign w:val="center"/>
            <w:shd w:fill="F8FAFC"/>
          </w:tcPr>
          <w:p>
            <w:r/>
            <w:r>
              <w:rPr>
                <w:b w:val="0"/>
                <w:sz w:val="16"/>
              </w:rPr>
              <w:t>temperature, humidity, wind speed, wind direction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6"/>
              </w:rPr>
              <w:t>Spatial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6"/>
              </w:rPr>
              <w:t>distance to industrial sites, nearby node anomalies</w:t>
            </w:r>
          </w:p>
        </w:tc>
      </w:tr>
      <w:tr>
        <w:tc>
          <w:tcPr>
            <w:tcW w:type="dxa" w:w="5184"/>
            <w:vAlign w:val="center"/>
            <w:shd w:fill="F8FAFC"/>
          </w:tcPr>
          <w:p>
            <w:r/>
            <w:r>
              <w:rPr>
                <w:b w:val="0"/>
                <w:sz w:val="16"/>
              </w:rPr>
              <w:t>Activity</w:t>
            </w:r>
          </w:p>
        </w:tc>
        <w:tc>
          <w:tcPr>
            <w:tcW w:type="dxa" w:w="5184"/>
            <w:vAlign w:val="center"/>
            <w:shd w:fill="F8FAFC"/>
          </w:tcPr>
          <w:p>
            <w:r/>
            <w:r>
              <w:rPr>
                <w:b w:val="0"/>
                <w:sz w:val="16"/>
              </w:rPr>
              <w:t>active industry count, activity overlap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6"/>
              </w:rPr>
              <w:t>History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6"/>
              </w:rPr>
              <w:t>typical baseline for this node/time window</w:t>
            </w:r>
          </w:p>
        </w:tc>
      </w:tr>
    </w:tbl>
    <w:p/>
    <w:p>
      <w:pPr>
        <w:spacing w:before="80" w:after="120"/>
      </w:pPr>
      <w:r>
        <w:rPr>
          <w:b/>
          <w:color w:val="2563EB"/>
          <w:sz w:val="20"/>
        </w:rPr>
        <w:t>Model choice</w:t>
        <w:br/>
      </w:r>
      <w:r>
        <w:rPr>
          <w:sz w:val="18"/>
        </w:rPr>
        <w:t>Use XGBoost when you have reliable labels. If you do not have enough labeled historical events, use a deterministic / probabilistic classification layer first and clearly mark the result as rule-based. Do not fabricate model performance.</w:t>
      </w:r>
    </w:p>
    <w:p>
      <w:pPr>
        <w:pStyle w:val="Heading1"/>
      </w:pPr>
      <w:r>
        <w:t>9. Evidence Fusion Engine</w:t>
      </w:r>
    </w:p>
    <w:p>
      <w:r>
        <w:t>This is the central HPEE engine. It combines independent observations into an explainable evidence assessment.</w:t>
      </w:r>
    </w:p>
    <w:p>
      <w:pPr>
        <w:spacing w:before="60" w:after="100"/>
        <w:ind w:left="317" w:right="173"/>
        <w:shd w:fill="F3F4F6"/>
      </w:pPr>
      <w:r>
        <w:rPr>
          <w:rFonts w:ascii="Consolas" w:hAnsi="Consolas"/>
          <w:color w:val="111827"/>
          <w:sz w:val="17"/>
        </w:rPr>
        <w:t>Evidence Score = weighted combination of:</w:t>
        <w:br/>
        <w:t xml:space="preserve">  anomaly_strength</w:t>
        <w:br/>
        <w:t xml:space="preserve">  pollutant_consistency</w:t>
        <w:br/>
        <w:t xml:space="preserve">  temporal_correlation</w:t>
        <w:br/>
        <w:t xml:space="preserve">  spatial_consistency</w:t>
        <w:br/>
        <w:t xml:space="preserve">  wind_alignment</w:t>
        <w:br/>
        <w:t xml:space="preserve">  industrial_activity_match</w:t>
        <w:br/>
        <w:t xml:space="preserve">  historical_consistency</w:t>
        <w:br/>
        <w:t xml:space="preserve">  node_agreement</w:t>
        <w:br/>
        <w:t xml:space="preserve">  data_quality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3456"/>
            <w:vAlign w:val="center"/>
            <w:shd w:fill="0F172A"/>
          </w:tcPr>
          <w:p>
            <w:r/>
            <w:r>
              <w:rPr>
                <w:b/>
                <w:color w:val="FFFFFF"/>
                <w:sz w:val="17"/>
              </w:rPr>
              <w:t>Factor</w:t>
            </w:r>
          </w:p>
        </w:tc>
        <w:tc>
          <w:tcPr>
            <w:tcW w:type="dxa" w:w="3456"/>
            <w:vAlign w:val="center"/>
            <w:shd w:fill="0F172A"/>
          </w:tcPr>
          <w:p>
            <w:r/>
            <w:r>
              <w:rPr>
                <w:b/>
                <w:color w:val="FFFFFF"/>
                <w:sz w:val="17"/>
              </w:rPr>
              <w:t>What it means</w:t>
            </w:r>
          </w:p>
        </w:tc>
        <w:tc>
          <w:tcPr>
            <w:tcW w:type="dxa" w:w="3456"/>
            <w:vAlign w:val="center"/>
            <w:shd w:fill="0F172A"/>
          </w:tcPr>
          <w:p>
            <w:r/>
            <w:r>
              <w:rPr>
                <w:b/>
                <w:color w:val="FFFFFF"/>
                <w:sz w:val="17"/>
              </w:rPr>
              <w:t>Example score range</w:t>
            </w:r>
          </w:p>
        </w:tc>
      </w:tr>
      <w:tr>
        <w:tc>
          <w:tcPr>
            <w:tcW w:type="dxa" w:w="3456"/>
            <w:vAlign w:val="center"/>
            <w:shd w:fill="F8FAFC"/>
          </w:tcPr>
          <w:p>
            <w:r/>
            <w:r>
              <w:rPr>
                <w:b w:val="0"/>
                <w:sz w:val="16"/>
              </w:rPr>
              <w:t>Anomaly strength</w:t>
            </w:r>
          </w:p>
        </w:tc>
        <w:tc>
          <w:tcPr>
            <w:tcW w:type="dxa" w:w="3456"/>
            <w:vAlign w:val="center"/>
            <w:shd w:fill="F8FAFC"/>
          </w:tcPr>
          <w:p>
            <w:r/>
            <w:r>
              <w:rPr>
                <w:b w:val="0"/>
                <w:sz w:val="16"/>
              </w:rPr>
              <w:t>How far measurements departed from baseline</w:t>
            </w:r>
          </w:p>
        </w:tc>
        <w:tc>
          <w:tcPr>
            <w:tcW w:type="dxa" w:w="3456"/>
            <w:vAlign w:val="center"/>
            <w:shd w:fill="F8FAFC"/>
          </w:tcPr>
          <w:p>
            <w:r/>
            <w:r>
              <w:rPr>
                <w:b w:val="0"/>
                <w:sz w:val="16"/>
              </w:rPr>
              <w:t>0–1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Pollutant consistency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Whether PM2.5/SO₂ pattern fits the event category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0–1</w:t>
            </w:r>
          </w:p>
        </w:tc>
      </w:tr>
      <w:tr>
        <w:tc>
          <w:tcPr>
            <w:tcW w:type="dxa" w:w="3456"/>
            <w:vAlign w:val="center"/>
            <w:shd w:fill="F8FAFC"/>
          </w:tcPr>
          <w:p>
            <w:r/>
            <w:r>
              <w:rPr>
                <w:b w:val="0"/>
                <w:sz w:val="16"/>
              </w:rPr>
              <w:t>Temporal correlation</w:t>
            </w:r>
          </w:p>
        </w:tc>
        <w:tc>
          <w:tcPr>
            <w:tcW w:type="dxa" w:w="3456"/>
            <w:vAlign w:val="center"/>
            <w:shd w:fill="F8FAFC"/>
          </w:tcPr>
          <w:p>
            <w:r/>
            <w:r>
              <w:rPr>
                <w:b w:val="0"/>
                <w:sz w:val="16"/>
              </w:rPr>
              <w:t>Whether source activity overlaps event time</w:t>
            </w:r>
          </w:p>
        </w:tc>
        <w:tc>
          <w:tcPr>
            <w:tcW w:type="dxa" w:w="3456"/>
            <w:vAlign w:val="center"/>
            <w:shd w:fill="F8FAFC"/>
          </w:tcPr>
          <w:p>
            <w:r/>
            <w:r>
              <w:rPr>
                <w:b w:val="0"/>
                <w:sz w:val="16"/>
              </w:rPr>
              <w:t>0–1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Wind alignment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Whether source lies in the upwind sector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0–1</w:t>
            </w:r>
          </w:p>
        </w:tc>
      </w:tr>
      <w:tr>
        <w:tc>
          <w:tcPr>
            <w:tcW w:type="dxa" w:w="3456"/>
            <w:vAlign w:val="center"/>
            <w:shd w:fill="F8FAFC"/>
          </w:tcPr>
          <w:p>
            <w:r/>
            <w:r>
              <w:rPr>
                <w:b w:val="0"/>
                <w:sz w:val="16"/>
              </w:rPr>
              <w:t>Spatial consistency</w:t>
            </w:r>
          </w:p>
        </w:tc>
        <w:tc>
          <w:tcPr>
            <w:tcW w:type="dxa" w:w="3456"/>
            <w:vAlign w:val="center"/>
            <w:shd w:fill="F8FAFC"/>
          </w:tcPr>
          <w:p>
            <w:r/>
            <w:r>
              <w:rPr>
                <w:b w:val="0"/>
                <w:sz w:val="16"/>
              </w:rPr>
              <w:t>Whether nearby nodes show a coherent pattern</w:t>
            </w:r>
          </w:p>
        </w:tc>
        <w:tc>
          <w:tcPr>
            <w:tcW w:type="dxa" w:w="3456"/>
            <w:vAlign w:val="center"/>
            <w:shd w:fill="F8FAFC"/>
          </w:tcPr>
          <w:p>
            <w:r/>
            <w:r>
              <w:rPr>
                <w:b w:val="0"/>
                <w:sz w:val="16"/>
              </w:rPr>
              <w:t>0–1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Node agreement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How many independent nodes support the event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0–1</w:t>
            </w:r>
          </w:p>
        </w:tc>
      </w:tr>
      <w:tr>
        <w:tc>
          <w:tcPr>
            <w:tcW w:type="dxa" w:w="3456"/>
            <w:vAlign w:val="center"/>
            <w:shd w:fill="F8FAFC"/>
          </w:tcPr>
          <w:p>
            <w:r/>
            <w:r>
              <w:rPr>
                <w:b w:val="0"/>
                <w:sz w:val="16"/>
              </w:rPr>
              <w:t>Historical consistency</w:t>
            </w:r>
          </w:p>
        </w:tc>
        <w:tc>
          <w:tcPr>
            <w:tcW w:type="dxa" w:w="3456"/>
            <w:vAlign w:val="center"/>
            <w:shd w:fill="F8FAFC"/>
          </w:tcPr>
          <w:p>
            <w:r/>
            <w:r>
              <w:rPr>
                <w:b w:val="0"/>
                <w:sz w:val="16"/>
              </w:rPr>
              <w:t>Whether similar events have occurred under similar conditions</w:t>
            </w:r>
          </w:p>
        </w:tc>
        <w:tc>
          <w:tcPr>
            <w:tcW w:type="dxa" w:w="3456"/>
            <w:vAlign w:val="center"/>
            <w:shd w:fill="F8FAFC"/>
          </w:tcPr>
          <w:p>
            <w:r/>
            <w:r>
              <w:rPr>
                <w:b w:val="0"/>
                <w:sz w:val="16"/>
              </w:rPr>
              <w:t>0–1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Data quality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Reliability of the contributing measurements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0–1</w:t>
            </w:r>
          </w:p>
        </w:tc>
      </w:tr>
    </w:tbl>
    <w:p/>
    <w:p>
      <w:pPr>
        <w:spacing w:before="80" w:after="120"/>
      </w:pPr>
      <w:r>
        <w:rPr>
          <w:b/>
          <w:color w:val="2563EB"/>
          <w:sz w:val="20"/>
        </w:rPr>
        <w:t>Recommended implementation</w:t>
        <w:br/>
      </w:r>
      <w:r>
        <w:rPr>
          <w:sz w:val="18"/>
        </w:rPr>
        <w:t>Start with a transparent weighted score, not a neural network. Store every factor and weight used for each result. This gives the inspector an explanation and makes later model upgrades safer.</w:t>
      </w:r>
    </w:p>
    <w:p>
      <w:pPr>
        <w:pStyle w:val="Heading1"/>
      </w:pPr>
      <w:r>
        <w:t>10. Source Attribution Engine</w:t>
      </w:r>
    </w:p>
    <w:p>
      <w:r>
        <w:t>The source attribution engine takes an event and ranks plausible industrial sources. It must be framed as probabilistic source assessment, not proof of causation.</w:t>
      </w:r>
    </w:p>
    <w:p>
      <w:pPr>
        <w:pStyle w:val="Heading2"/>
      </w:pPr>
      <w:r>
        <w:t>10.1 Candidate generation</w:t>
      </w:r>
    </w:p>
    <w:p>
      <w:pPr>
        <w:spacing w:before="60" w:after="100"/>
        <w:ind w:left="317" w:right="173"/>
        <w:shd w:fill="F3F4F6"/>
      </w:pPr>
      <w:r>
        <w:rPr>
          <w:rFonts w:ascii="Consolas" w:hAnsi="Consolas"/>
          <w:color w:val="111827"/>
          <w:sz w:val="17"/>
        </w:rPr>
        <w:t>1. Locate affected node/event centroid</w:t>
        <w:br/>
        <w:t>2. Query industries within configured radius (e.g., 3 km)</w:t>
        <w:br/>
        <w:t>3. Obtain wind speed + direction for event window</w:t>
        <w:br/>
        <w:t>4. Compute source -&gt; receptor bearing</w:t>
        <w:br/>
        <w:t>5. Keep candidates in the upwind sector</w:t>
        <w:br/>
        <w:t>6. Join industrial activity overlapping event time</w:t>
      </w:r>
    </w:p>
    <w:p>
      <w:pPr>
        <w:pStyle w:val="Heading2"/>
      </w:pPr>
      <w:r>
        <w:t>10.2 Wind geometry</w:t>
      </w:r>
    </w:p>
    <w:p>
      <w:r>
        <w:t>Represent wind direction as a vector. For a source candidate, compare the source-to-event bearing with the wind direction. A smaller angular difference means better alignment.</w:t>
      </w:r>
    </w:p>
    <w:p>
      <w:pPr>
        <w:spacing w:before="60" w:after="100"/>
        <w:ind w:left="317" w:right="173"/>
        <w:shd w:fill="F3F4F6"/>
      </w:pPr>
      <w:r>
        <w:rPr>
          <w:rFonts w:ascii="Consolas" w:hAnsi="Consolas"/>
          <w:color w:val="111827"/>
          <w:sz w:val="17"/>
        </w:rPr>
        <w:t>angular_error = min(abs(source_bearing - wind_dir), 360 - abs(source_bearing - wind_dir))</w:t>
        <w:br/>
        <w:t>wind_alignment = max(0, cos(radians(angular_error)))</w:t>
      </w:r>
    </w:p>
    <w:p>
      <w:pPr>
        <w:pStyle w:val="Heading2"/>
      </w:pPr>
      <w:r>
        <w:t>10.3 Candidate score</w:t>
      </w:r>
    </w:p>
    <w:p>
      <w:pPr>
        <w:spacing w:before="60" w:after="100"/>
        <w:ind w:left="317" w:right="173"/>
        <w:shd w:fill="F3F4F6"/>
      </w:pPr>
      <w:r>
        <w:rPr>
          <w:rFonts w:ascii="Consolas" w:hAnsi="Consolas"/>
          <w:color w:val="111827"/>
          <w:sz w:val="17"/>
        </w:rPr>
        <w:t>source_score =</w:t>
        <w:br/>
        <w:t xml:space="preserve">  w1 * wind_alignment</w:t>
        <w:br/>
        <w:t>+ w2 * activity_match</w:t>
        <w:br/>
        <w:t>+ w3 * distance_score</w:t>
        <w:br/>
        <w:t>+ w4 * pollutant_match</w:t>
        <w:br/>
        <w:t>+ w5 * spatial_consistency</w:t>
        <w:br/>
        <w:t>+ w6 * event_class_probability</w:t>
        <w:br/>
        <w:t>+ w7 * data_quality</w:t>
      </w:r>
    </w:p>
    <w:p>
      <w:pPr>
        <w:spacing w:before="80" w:after="120"/>
      </w:pPr>
      <w:r>
        <w:rPr>
          <w:b/>
          <w:color w:val="2563EB"/>
          <w:sz w:val="20"/>
        </w:rPr>
        <w:t>Do not hard-code weights in multiple files.</w:t>
        <w:br/>
      </w:r>
      <w:r>
        <w:rPr>
          <w:sz w:val="18"/>
        </w:rPr>
        <w:t>Store them in one configuration object / table with a version identifier. Every attribution record should store the model_version and scoring_version used.</w:t>
      </w:r>
    </w:p>
    <w:p>
      <w:pPr>
        <w:pStyle w:val="Heading2"/>
      </w:pPr>
      <w:r>
        <w:t>11. Distance Function</w:t>
      </w:r>
    </w:p>
    <w:p>
      <w:r>
        <w:t>Use PostGIS for production spatial queries. Example candidate query: industries within 3 km of the event centroid or affected sensor.</w:t>
      </w:r>
    </w:p>
    <w:p>
      <w:pPr>
        <w:spacing w:before="60" w:after="100"/>
        <w:ind w:left="317" w:right="173"/>
        <w:shd w:fill="F3F4F6"/>
      </w:pPr>
      <w:r>
        <w:rPr>
          <w:rFonts w:ascii="Consolas" w:hAnsi="Consolas"/>
          <w:color w:val="111827"/>
          <w:sz w:val="17"/>
        </w:rPr>
        <w:t>SELECT industry_id, name, ST_Distance(location, :event_point) / 1000 AS distance_km</w:t>
        <w:br/>
        <w:t>FROM industrial_sites</w:t>
        <w:br/>
        <w:t>WHERE ST_DWithin(location, :event_point, 3000);</w:t>
      </w:r>
    </w:p>
    <w:p>
      <w:pPr>
        <w:pStyle w:val="Heading1"/>
      </w:pPr>
      <w:r>
        <w:t>12. Evidence Record Design</w:t>
      </w:r>
    </w:p>
    <w:p>
      <w:r>
        <w:t>Every important conclusion must point back to evidence records. The UI should be able to answer “Why did the engine produce this result?” without rerunning the model.</w:t>
      </w:r>
    </w:p>
    <w:p>
      <w:pPr>
        <w:spacing w:before="60" w:after="100"/>
        <w:ind w:left="317" w:right="173"/>
        <w:shd w:fill="F3F4F6"/>
      </w:pPr>
      <w:r>
        <w:rPr>
          <w:rFonts w:ascii="Consolas" w:hAnsi="Consolas"/>
          <w:color w:val="111827"/>
          <w:sz w:val="17"/>
        </w:rPr>
        <w:t>EvidenceRecord:</w:t>
        <w:br/>
        <w:t xml:space="preserve">  event_id</w:t>
        <w:br/>
        <w:t xml:space="preserve">  evidence_type</w:t>
        <w:br/>
        <w:t xml:space="preserve">  source_type</w:t>
        <w:br/>
        <w:t xml:space="preserve">  source_reference</w:t>
        <w:br/>
        <w:t xml:space="preserve">  description</w:t>
        <w:br/>
        <w:t xml:space="preserve">  evidence_strength</w:t>
        <w:br/>
        <w:t xml:space="preserve">  time_range</w:t>
        <w:br/>
        <w:t xml:space="preserve">  geometry</w:t>
        <w:br/>
        <w:t xml:space="preserve">  metadata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5184"/>
            <w:vAlign w:val="center"/>
            <w:shd w:fill="0F172A"/>
          </w:tcPr>
          <w:p>
            <w:r/>
            <w:r>
              <w:rPr>
                <w:b/>
                <w:color w:val="FFFFFF"/>
                <w:sz w:val="17"/>
              </w:rPr>
              <w:t>Evidence type</w:t>
            </w:r>
          </w:p>
        </w:tc>
        <w:tc>
          <w:tcPr>
            <w:tcW w:type="dxa" w:w="5184"/>
            <w:vAlign w:val="center"/>
            <w:shd w:fill="0F172A"/>
          </w:tcPr>
          <w:p>
            <w:r/>
            <w:r>
              <w:rPr>
                <w:b/>
                <w:color w:val="FFFFFF"/>
                <w:sz w:val="17"/>
              </w:rPr>
              <w:t>Example</w:t>
            </w:r>
          </w:p>
        </w:tc>
      </w:tr>
      <w:tr>
        <w:tc>
          <w:tcPr>
            <w:tcW w:type="dxa" w:w="5184"/>
            <w:vAlign w:val="center"/>
            <w:shd w:fill="F8FAFC"/>
          </w:tcPr>
          <w:p>
            <w:r/>
            <w:r>
              <w:rPr>
                <w:b w:val="0"/>
                <w:sz w:val="16"/>
              </w:rPr>
              <w:t>SENSOR_ANOMALY</w:t>
            </w:r>
          </w:p>
        </w:tc>
        <w:tc>
          <w:tcPr>
            <w:tcW w:type="dxa" w:w="5184"/>
            <w:vAlign w:val="center"/>
            <w:shd w:fill="F8FAFC"/>
          </w:tcPr>
          <w:p>
            <w:r/>
            <w:r>
              <w:rPr>
                <w:b w:val="0"/>
                <w:sz w:val="16"/>
              </w:rPr>
              <w:t>PM2.5 increased 4.8x baseline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6"/>
              </w:rPr>
              <w:t>POLLUTANT_PATTERN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6"/>
              </w:rPr>
              <w:t>PM2.5 + SO₂ elevated together</w:t>
            </w:r>
          </w:p>
        </w:tc>
      </w:tr>
      <w:tr>
        <w:tc>
          <w:tcPr>
            <w:tcW w:type="dxa" w:w="5184"/>
            <w:vAlign w:val="center"/>
            <w:shd w:fill="F8FAFC"/>
          </w:tcPr>
          <w:p>
            <w:r/>
            <w:r>
              <w:rPr>
                <w:b w:val="0"/>
                <w:sz w:val="16"/>
              </w:rPr>
              <w:t>WIND_ALIGNMENT</w:t>
            </w:r>
          </w:p>
        </w:tc>
        <w:tc>
          <w:tcPr>
            <w:tcW w:type="dxa" w:w="5184"/>
            <w:vAlign w:val="center"/>
            <w:shd w:fill="F8FAFC"/>
          </w:tcPr>
          <w:p>
            <w:r/>
            <w:r>
              <w:rPr>
                <w:b w:val="0"/>
                <w:sz w:val="16"/>
              </w:rPr>
              <w:t>Source lies 11° from prevailing wind direction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6"/>
              </w:rPr>
              <w:t>INDUSTRIAL_ACTIVITY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6"/>
              </w:rPr>
              <w:t>Facility active during 02:20–02:50</w:t>
            </w:r>
          </w:p>
        </w:tc>
      </w:tr>
      <w:tr>
        <w:tc>
          <w:tcPr>
            <w:tcW w:type="dxa" w:w="5184"/>
            <w:vAlign w:val="center"/>
            <w:shd w:fill="F8FAFC"/>
          </w:tcPr>
          <w:p>
            <w:r/>
            <w:r>
              <w:rPr>
                <w:b w:val="0"/>
                <w:sz w:val="16"/>
              </w:rPr>
              <w:t>SPATIAL_CORRELATION</w:t>
            </w:r>
          </w:p>
        </w:tc>
        <w:tc>
          <w:tcPr>
            <w:tcW w:type="dxa" w:w="5184"/>
            <w:vAlign w:val="center"/>
            <w:shd w:fill="F8FAFC"/>
          </w:tcPr>
          <w:p>
            <w:r/>
            <w:r>
              <w:rPr>
                <w:b w:val="0"/>
                <w:sz w:val="16"/>
              </w:rPr>
              <w:t>3 nearby nodes recorded the surge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6"/>
              </w:rPr>
              <w:t>HISTORICAL_PATTERN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6"/>
              </w:rPr>
              <w:t>Similar event under same wind regime</w:t>
            </w:r>
          </w:p>
        </w:tc>
      </w:tr>
      <w:tr>
        <w:tc>
          <w:tcPr>
            <w:tcW w:type="dxa" w:w="5184"/>
            <w:vAlign w:val="center"/>
            <w:shd w:fill="F8FAFC"/>
          </w:tcPr>
          <w:p>
            <w:r/>
            <w:r>
              <w:rPr>
                <w:b w:val="0"/>
                <w:sz w:val="16"/>
              </w:rPr>
              <w:t>WEATHER_CORRELATION</w:t>
            </w:r>
          </w:p>
        </w:tc>
        <w:tc>
          <w:tcPr>
            <w:tcW w:type="dxa" w:w="5184"/>
            <w:vAlign w:val="center"/>
            <w:shd w:fill="F8FAFC"/>
          </w:tcPr>
          <w:p>
            <w:r/>
            <w:r>
              <w:rPr>
                <w:b w:val="0"/>
                <w:sz w:val="16"/>
              </w:rPr>
              <w:t>Weather conditions consistent with event persistence</w:t>
            </w:r>
          </w:p>
        </w:tc>
      </w:tr>
    </w:tbl>
    <w:p/>
    <w:p>
      <w:pPr>
        <w:pStyle w:val="Heading1"/>
      </w:pPr>
      <w:r>
        <w:t>13. Database Connection Rules</w:t>
      </w:r>
    </w:p>
    <w:p>
      <w:pPr>
        <w:spacing w:before="60" w:after="100"/>
        <w:ind w:left="317" w:right="173"/>
        <w:shd w:fill="F3F4F6"/>
      </w:pPr>
      <w:r>
        <w:rPr>
          <w:rFonts w:ascii="Consolas" w:hAnsi="Consolas"/>
          <w:color w:val="111827"/>
          <w:sz w:val="17"/>
        </w:rPr>
        <w:t>sensor_readings</w:t>
        <w:br/>
        <w:t xml:space="preserve">      ↓</w:t>
        <w:br/>
        <w:t>pollution_events</w:t>
        <w:br/>
        <w:t xml:space="preserve">      ↓</w:t>
        <w:br/>
        <w:t>event_readings + event_classifications</w:t>
        <w:br/>
        <w:t xml:space="preserve">      ↓</w:t>
        <w:br/>
        <w:t>evidence_records</w:t>
        <w:br/>
        <w:t xml:space="preserve">      ↓</w:t>
        <w:br/>
        <w:t>source_attributions</w:t>
        <w:br/>
        <w:t xml:space="preserve">      ↓</w:t>
        <w:br/>
        <w:t>evidence_snapshots / reports / complaints</w:t>
      </w:r>
    </w:p>
    <w:p>
      <w:pPr>
        <w:pStyle w:val="ListBullet"/>
        <w:spacing w:after="40"/>
      </w:pPr>
      <w:r>
        <w:t>Never overwrite raw sensor_readings because they are the foundation of the evidence trail.</w:t>
      </w:r>
    </w:p>
    <w:p>
      <w:pPr>
        <w:pStyle w:val="ListBullet"/>
        <w:spacing w:after="40"/>
      </w:pPr>
      <w:r>
        <w:t>Derived results may be versioned/recomputed.</w:t>
      </w:r>
    </w:p>
    <w:p>
      <w:pPr>
        <w:pStyle w:val="ListBullet"/>
        <w:spacing w:after="40"/>
      </w:pPr>
      <w:r>
        <w:t>Store model_version, scoring_version and generated_at for every derived result.</w:t>
      </w:r>
    </w:p>
    <w:p>
      <w:pPr>
        <w:pStyle w:val="ListBullet"/>
        <w:spacing w:after="40"/>
      </w:pPr>
      <w:r>
        <w:t>Use database transactions when an event, evidence records and attributions must be committed together.</w:t>
      </w:r>
    </w:p>
    <w:p>
      <w:pPr>
        <w:pStyle w:val="Heading1"/>
      </w:pPr>
      <w:r>
        <w:t>14. Integration With Backend Data Ingestion (#1)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2592"/>
            <w:vAlign w:val="center"/>
            <w:shd w:fill="0F172A"/>
          </w:tcPr>
          <w:p>
            <w:r/>
            <w:r>
              <w:rPr>
                <w:b/>
                <w:color w:val="FFFFFF"/>
                <w:sz w:val="17"/>
              </w:rPr>
              <w:t>Interface</w:t>
            </w:r>
          </w:p>
        </w:tc>
        <w:tc>
          <w:tcPr>
            <w:tcW w:type="dxa" w:w="2592"/>
            <w:vAlign w:val="center"/>
            <w:shd w:fill="0F172A"/>
          </w:tcPr>
          <w:p>
            <w:r/>
            <w:r>
              <w:rPr>
                <w:b/>
                <w:color w:val="FFFFFF"/>
                <w:sz w:val="17"/>
              </w:rPr>
              <w:t>Direction</w:t>
            </w:r>
          </w:p>
        </w:tc>
        <w:tc>
          <w:tcPr>
            <w:tcW w:type="dxa" w:w="2592"/>
            <w:vAlign w:val="center"/>
            <w:shd w:fill="0F172A"/>
          </w:tcPr>
          <w:p>
            <w:r/>
            <w:r>
              <w:rPr>
                <w:b/>
                <w:color w:val="FFFFFF"/>
                <w:sz w:val="17"/>
              </w:rPr>
              <w:t>Payload</w:t>
            </w:r>
          </w:p>
        </w:tc>
        <w:tc>
          <w:tcPr>
            <w:tcW w:type="dxa" w:w="2592"/>
            <w:vAlign w:val="center"/>
            <w:shd w:fill="0F172A"/>
          </w:tcPr>
          <w:p>
            <w:r/>
            <w:r>
              <w:rPr>
                <w:b/>
                <w:color w:val="FFFFFF"/>
                <w:sz w:val="17"/>
              </w:rPr>
              <w:t>Owner</w:t>
            </w:r>
          </w:p>
        </w:tc>
      </w:tr>
      <w:tr>
        <w:tc>
          <w:tcPr>
            <w:tcW w:type="dxa" w:w="2592"/>
            <w:vAlign w:val="center"/>
            <w:shd w:fill="F8FAFC"/>
          </w:tcPr>
          <w:p>
            <w:r/>
            <w:r>
              <w:rPr>
                <w:b w:val="0"/>
                <w:sz w:val="16"/>
              </w:rPr>
              <w:t>Sensor ingestion</w:t>
            </w:r>
          </w:p>
        </w:tc>
        <w:tc>
          <w:tcPr>
            <w:tcW w:type="dxa" w:w="2592"/>
            <w:vAlign w:val="center"/>
            <w:shd w:fill="F8FAFC"/>
          </w:tcPr>
          <w:p>
            <w:r/>
            <w:r>
              <w:rPr>
                <w:b w:val="0"/>
                <w:sz w:val="16"/>
              </w:rPr>
              <w:t>Backend -&gt; Engine</w:t>
            </w:r>
          </w:p>
        </w:tc>
        <w:tc>
          <w:tcPr>
            <w:tcW w:type="dxa" w:w="2592"/>
            <w:vAlign w:val="center"/>
            <w:shd w:fill="F8FAFC"/>
          </w:tcPr>
          <w:p>
            <w:r/>
            <w:r>
              <w:rPr>
                <w:b w:val="0"/>
                <w:sz w:val="16"/>
              </w:rPr>
              <w:t>validated sensor reading</w:t>
            </w:r>
          </w:p>
        </w:tc>
        <w:tc>
          <w:tcPr>
            <w:tcW w:type="dxa" w:w="2592"/>
            <w:vAlign w:val="center"/>
            <w:shd w:fill="F8FAFC"/>
          </w:tcPr>
          <w:p>
            <w:r/>
            <w:r>
              <w:rPr>
                <w:b w:val="0"/>
                <w:sz w:val="16"/>
              </w:rPr>
              <w:t>Backend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Event trigger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Backend -&gt; Event Detection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node/time window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Event Detection</w:t>
            </w:r>
          </w:p>
        </w:tc>
      </w:tr>
      <w:tr>
        <w:tc>
          <w:tcPr>
            <w:tcW w:type="dxa" w:w="2592"/>
            <w:vAlign w:val="center"/>
            <w:shd w:fill="F8FAFC"/>
          </w:tcPr>
          <w:p>
            <w:r/>
            <w:r>
              <w:rPr>
                <w:b w:val="0"/>
                <w:sz w:val="16"/>
              </w:rPr>
              <w:t>Context fetch</w:t>
            </w:r>
          </w:p>
        </w:tc>
        <w:tc>
          <w:tcPr>
            <w:tcW w:type="dxa" w:w="2592"/>
            <w:vAlign w:val="center"/>
            <w:shd w:fill="F8FAFC"/>
          </w:tcPr>
          <w:p>
            <w:r/>
            <w:r>
              <w:rPr>
                <w:b w:val="0"/>
                <w:sz w:val="16"/>
              </w:rPr>
              <w:t>Engine -&gt; DB/API</w:t>
            </w:r>
          </w:p>
        </w:tc>
        <w:tc>
          <w:tcPr>
            <w:tcW w:type="dxa" w:w="2592"/>
            <w:vAlign w:val="center"/>
            <w:shd w:fill="F8FAFC"/>
          </w:tcPr>
          <w:p>
            <w:r/>
            <w:r>
              <w:rPr>
                <w:b w:val="0"/>
                <w:sz w:val="16"/>
              </w:rPr>
              <w:t>weather + industrial + GIS data</w:t>
            </w:r>
          </w:p>
        </w:tc>
        <w:tc>
          <w:tcPr>
            <w:tcW w:type="dxa" w:w="2592"/>
            <w:vAlign w:val="center"/>
            <w:shd w:fill="F8FAFC"/>
          </w:tcPr>
          <w:p>
            <w:r/>
            <w:r>
              <w:rPr>
                <w:b w:val="0"/>
                <w:sz w:val="16"/>
              </w:rPr>
              <w:t>Engine Integration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Classification result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Classifier -&gt; Backend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event classification + confidence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Classification</w:t>
            </w:r>
          </w:p>
        </w:tc>
      </w:tr>
      <w:tr>
        <w:tc>
          <w:tcPr>
            <w:tcW w:type="dxa" w:w="2592"/>
            <w:vAlign w:val="center"/>
            <w:shd w:fill="F8FAFC"/>
          </w:tcPr>
          <w:p>
            <w:r/>
            <w:r>
              <w:rPr>
                <w:b w:val="0"/>
                <w:sz w:val="16"/>
              </w:rPr>
              <w:t>Evidence result</w:t>
            </w:r>
          </w:p>
        </w:tc>
        <w:tc>
          <w:tcPr>
            <w:tcW w:type="dxa" w:w="2592"/>
            <w:vAlign w:val="center"/>
            <w:shd w:fill="F8FAFC"/>
          </w:tcPr>
          <w:p>
            <w:r/>
            <w:r>
              <w:rPr>
                <w:b w:val="0"/>
                <w:sz w:val="16"/>
              </w:rPr>
              <w:t>Fusion -&gt; Backend</w:t>
            </w:r>
          </w:p>
        </w:tc>
        <w:tc>
          <w:tcPr>
            <w:tcW w:type="dxa" w:w="2592"/>
            <w:vAlign w:val="center"/>
            <w:shd w:fill="F8FAFC"/>
          </w:tcPr>
          <w:p>
            <w:r/>
            <w:r>
              <w:rPr>
                <w:b w:val="0"/>
                <w:sz w:val="16"/>
              </w:rPr>
              <w:t>score + factors + evidence records</w:t>
            </w:r>
          </w:p>
        </w:tc>
        <w:tc>
          <w:tcPr>
            <w:tcW w:type="dxa" w:w="2592"/>
            <w:vAlign w:val="center"/>
            <w:shd w:fill="F8FAFC"/>
          </w:tcPr>
          <w:p>
            <w:r/>
            <w:r>
              <w:rPr>
                <w:b w:val="0"/>
                <w:sz w:val="16"/>
              </w:rPr>
              <w:t>Evidence Fusion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Attribution result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Attribution -&gt; Backend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ranked candidates + factor scores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Source Attribution</w:t>
            </w:r>
          </w:p>
        </w:tc>
      </w:tr>
      <w:tr>
        <w:tc>
          <w:tcPr>
            <w:tcW w:type="dxa" w:w="2592"/>
            <w:vAlign w:val="center"/>
            <w:shd w:fill="F8FAFC"/>
          </w:tcPr>
          <w:p>
            <w:r/>
            <w:r>
              <w:rPr>
                <w:b w:val="0"/>
                <w:sz w:val="16"/>
              </w:rPr>
              <w:t>Live update</w:t>
            </w:r>
          </w:p>
        </w:tc>
        <w:tc>
          <w:tcPr>
            <w:tcW w:type="dxa" w:w="2592"/>
            <w:vAlign w:val="center"/>
            <w:shd w:fill="F8FAFC"/>
          </w:tcPr>
          <w:p>
            <w:r/>
            <w:r>
              <w:rPr>
                <w:b w:val="0"/>
                <w:sz w:val="16"/>
              </w:rPr>
              <w:t>Backend -&gt; Frontend</w:t>
            </w:r>
          </w:p>
        </w:tc>
        <w:tc>
          <w:tcPr>
            <w:tcW w:type="dxa" w:w="2592"/>
            <w:vAlign w:val="center"/>
            <w:shd w:fill="F8FAFC"/>
          </w:tcPr>
          <w:p>
            <w:r/>
            <w:r>
              <w:rPr>
                <w:b w:val="0"/>
                <w:sz w:val="16"/>
              </w:rPr>
              <w:t>event + attribution summary</w:t>
            </w:r>
          </w:p>
        </w:tc>
        <w:tc>
          <w:tcPr>
            <w:tcW w:type="dxa" w:w="2592"/>
            <w:vAlign w:val="center"/>
            <w:shd w:fill="F8FAFC"/>
          </w:tcPr>
          <w:p>
            <w:r/>
            <w:r>
              <w:rPr>
                <w:b w:val="0"/>
                <w:sz w:val="16"/>
              </w:rPr>
              <w:t>Backend/WebSocket</w:t>
            </w:r>
          </w:p>
        </w:tc>
      </w:tr>
    </w:tbl>
    <w:p/>
    <w:p>
      <w:pPr>
        <w:spacing w:before="80" w:after="120"/>
      </w:pPr>
      <w:r>
        <w:rPr>
          <w:b/>
          <w:color w:val="2563EB"/>
          <w:sz w:val="20"/>
        </w:rPr>
        <w:t>Integration principle</w:t>
        <w:br/>
      </w:r>
      <w:r>
        <w:rPr>
          <w:sz w:val="18"/>
        </w:rPr>
        <w:t>The engines should expose Python functions/services with typed request/response objects. The FastAPI layer owns HTTP/WebSocket semantics. The engines should not import FastAPI routers or UI code.</w:t>
      </w:r>
    </w:p>
    <w:p>
      <w:pPr>
        <w:pStyle w:val="Heading1"/>
      </w:pPr>
      <w:r>
        <w:t>15. Suggested Python Package Layout</w:t>
      </w:r>
    </w:p>
    <w:p>
      <w:pPr>
        <w:spacing w:before="60" w:after="100"/>
        <w:ind w:left="317" w:right="173"/>
        <w:shd w:fill="F3F4F6"/>
      </w:pPr>
      <w:r>
        <w:rPr>
          <w:rFonts w:ascii="Consolas" w:hAnsi="Consolas"/>
          <w:color w:val="111827"/>
          <w:sz w:val="17"/>
        </w:rPr>
        <w:t>backend/app/engines/</w:t>
        <w:br/>
        <w:t>├── common/</w:t>
        <w:br/>
        <w:t>│   ├── types.py</w:t>
        <w:br/>
        <w:t>│   ├── config.py</w:t>
        <w:br/>
        <w:t>│   └── errors.py</w:t>
        <w:br/>
        <w:t>├── event_detection/</w:t>
        <w:br/>
        <w:t>│   ├── service.py</w:t>
        <w:br/>
        <w:t>│   ├── features.py</w:t>
        <w:br/>
        <w:t>│   └── tests/</w:t>
        <w:br/>
        <w:t>├── classification/</w:t>
        <w:br/>
        <w:t>│   ├── service.py</w:t>
        <w:br/>
        <w:t>│   ├── model.py</w:t>
        <w:br/>
        <w:t>│   └── tests/</w:t>
        <w:br/>
        <w:t>├── evidence_fusion/</w:t>
        <w:br/>
        <w:t>│   ├── service.py</w:t>
        <w:br/>
        <w:t>│   ├── scoring.py</w:t>
        <w:br/>
        <w:t>│   ├── factors.py</w:t>
        <w:br/>
        <w:t>│   └── tests/</w:t>
        <w:br/>
        <w:t>├── source_attribution/</w:t>
        <w:br/>
        <w:t>│   ├── service.py</w:t>
        <w:br/>
        <w:t>│   ├── geometry.py</w:t>
        <w:br/>
        <w:t>│   ├── ranking.py</w:t>
        <w:br/>
        <w:t>│   └── tests/</w:t>
        <w:br/>
        <w:t>└── orchestration/</w:t>
        <w:br/>
        <w:t xml:space="preserve">    ├── pipeline.py</w:t>
        <w:br/>
        <w:t xml:space="preserve">    └── tests/</w:t>
      </w:r>
    </w:p>
    <w:p>
      <w:pPr>
        <w:pStyle w:val="Heading1"/>
      </w:pPr>
      <w:r>
        <w:t>16. Typed Engine Interfaces</w:t>
      </w:r>
    </w:p>
    <w:p>
      <w:r>
        <w:t>Define typed objects before writing implementation. Example:</w:t>
      </w:r>
    </w:p>
    <w:p>
      <w:pPr>
        <w:spacing w:before="60" w:after="100"/>
        <w:ind w:left="317" w:right="173"/>
        <w:shd w:fill="F3F4F6"/>
      </w:pPr>
      <w:r>
        <w:rPr>
          <w:rFonts w:ascii="Consolas" w:hAnsi="Consolas"/>
          <w:color w:val="111827"/>
          <w:sz w:val="17"/>
        </w:rPr>
        <w:t>class EventContext(BaseModel):</w:t>
        <w:br/>
        <w:t xml:space="preserve">    event_id: UUID</w:t>
        <w:br/>
        <w:t xml:space="preserve">    start_time: datetime</w:t>
        <w:br/>
        <w:t xml:space="preserve">    end_time: datetime | None</w:t>
        <w:br/>
        <w:t xml:space="preserve">    node_ids: list[str]</w:t>
        <w:br/>
        <w:t xml:space="preserve">    centroid_lat: float</w:t>
        <w:br/>
        <w:t xml:space="preserve">    centroid_lon: float</w:t>
        <w:br/>
        <w:br/>
        <w:t>class AttributionCandidate(BaseModel):</w:t>
        <w:br/>
        <w:t xml:space="preserve">    industry_id: UUID</w:t>
        <w:br/>
        <w:t xml:space="preserve">    probability: float</w:t>
        <w:br/>
        <w:t xml:space="preserve">    wind_alignment_score: float</w:t>
        <w:br/>
        <w:t xml:space="preserve">    distance_km: float</w:t>
        <w:br/>
        <w:t xml:space="preserve">    activity_score: float</w:t>
        <w:br/>
        <w:t xml:space="preserve">    pollutant_match_score: float</w:t>
        <w:br/>
        <w:t xml:space="preserve">    explanation: str</w:t>
      </w:r>
    </w:p>
    <w:p>
      <w:pPr>
        <w:pStyle w:val="Heading1"/>
      </w:pPr>
      <w:r>
        <w:t>17. API Endpoints for the Engine Layer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3456"/>
            <w:vAlign w:val="center"/>
            <w:shd w:fill="0F172A"/>
          </w:tcPr>
          <w:p>
            <w:r/>
            <w:r>
              <w:rPr>
                <w:b/>
                <w:color w:val="FFFFFF"/>
                <w:sz w:val="17"/>
              </w:rPr>
              <w:t>Method</w:t>
            </w:r>
          </w:p>
        </w:tc>
        <w:tc>
          <w:tcPr>
            <w:tcW w:type="dxa" w:w="3456"/>
            <w:vAlign w:val="center"/>
            <w:shd w:fill="0F172A"/>
          </w:tcPr>
          <w:p>
            <w:r/>
            <w:r>
              <w:rPr>
                <w:b/>
                <w:color w:val="FFFFFF"/>
                <w:sz w:val="17"/>
              </w:rPr>
              <w:t>Endpoint</w:t>
            </w:r>
          </w:p>
        </w:tc>
        <w:tc>
          <w:tcPr>
            <w:tcW w:type="dxa" w:w="3456"/>
            <w:vAlign w:val="center"/>
            <w:shd w:fill="0F172A"/>
          </w:tcPr>
          <w:p>
            <w:r/>
            <w:r>
              <w:rPr>
                <w:b/>
                <w:color w:val="FFFFFF"/>
                <w:sz w:val="17"/>
              </w:rPr>
              <w:t>Purpose</w:t>
            </w:r>
          </w:p>
        </w:tc>
      </w:tr>
      <w:tr>
        <w:tc>
          <w:tcPr>
            <w:tcW w:type="dxa" w:w="3456"/>
            <w:vAlign w:val="center"/>
            <w:shd w:fill="F8FAFC"/>
          </w:tcPr>
          <w:p>
            <w:r/>
            <w:r>
              <w:rPr>
                <w:b w:val="0"/>
                <w:sz w:val="16"/>
              </w:rPr>
              <w:t>GET</w:t>
            </w:r>
          </w:p>
        </w:tc>
        <w:tc>
          <w:tcPr>
            <w:tcW w:type="dxa" w:w="3456"/>
            <w:vAlign w:val="center"/>
            <w:shd w:fill="F8FAFC"/>
          </w:tcPr>
          <w:p>
            <w:r/>
            <w:r>
              <w:rPr>
                <w:b w:val="0"/>
                <w:sz w:val="16"/>
              </w:rPr>
              <w:t>/api/v1/events/{event_id}</w:t>
            </w:r>
          </w:p>
        </w:tc>
        <w:tc>
          <w:tcPr>
            <w:tcW w:type="dxa" w:w="3456"/>
            <w:vAlign w:val="center"/>
            <w:shd w:fill="F8FAFC"/>
          </w:tcPr>
          <w:p>
            <w:r/>
            <w:r>
              <w:rPr>
                <w:b w:val="0"/>
                <w:sz w:val="16"/>
              </w:rPr>
              <w:t>Fetch event + latest analysis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GET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/api/v1/events/{event_id}/evidence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Fetch evidence factors/records</w:t>
            </w:r>
          </w:p>
        </w:tc>
      </w:tr>
      <w:tr>
        <w:tc>
          <w:tcPr>
            <w:tcW w:type="dxa" w:w="3456"/>
            <w:vAlign w:val="center"/>
            <w:shd w:fill="F8FAFC"/>
          </w:tcPr>
          <w:p>
            <w:r/>
            <w:r>
              <w:rPr>
                <w:b w:val="0"/>
                <w:sz w:val="16"/>
              </w:rPr>
              <w:t>GET</w:t>
            </w:r>
          </w:p>
        </w:tc>
        <w:tc>
          <w:tcPr>
            <w:tcW w:type="dxa" w:w="3456"/>
            <w:vAlign w:val="center"/>
            <w:shd w:fill="F8FAFC"/>
          </w:tcPr>
          <w:p>
            <w:r/>
            <w:r>
              <w:rPr>
                <w:b w:val="0"/>
                <w:sz w:val="16"/>
              </w:rPr>
              <w:t>/api/v1/events/{event_id}/sources</w:t>
            </w:r>
          </w:p>
        </w:tc>
        <w:tc>
          <w:tcPr>
            <w:tcW w:type="dxa" w:w="3456"/>
            <w:vAlign w:val="center"/>
            <w:shd w:fill="F8FAFC"/>
          </w:tcPr>
          <w:p>
            <w:r/>
            <w:r>
              <w:rPr>
                <w:b w:val="0"/>
                <w:sz w:val="16"/>
              </w:rPr>
              <w:t>Fetch ranked source candidates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POST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/api/v1/events/{event_id}/analyze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Run/re-run analysis explicitly</w:t>
            </w:r>
          </w:p>
        </w:tc>
      </w:tr>
      <w:tr>
        <w:tc>
          <w:tcPr>
            <w:tcW w:type="dxa" w:w="3456"/>
            <w:vAlign w:val="center"/>
            <w:shd w:fill="F8FAFC"/>
          </w:tcPr>
          <w:p>
            <w:r/>
            <w:r>
              <w:rPr>
                <w:b w:val="0"/>
                <w:sz w:val="16"/>
              </w:rPr>
              <w:t>POST</w:t>
            </w:r>
          </w:p>
        </w:tc>
        <w:tc>
          <w:tcPr>
            <w:tcW w:type="dxa" w:w="3456"/>
            <w:vAlign w:val="center"/>
            <w:shd w:fill="F8FAFC"/>
          </w:tcPr>
          <w:p>
            <w:r/>
            <w:r>
              <w:rPr>
                <w:b w:val="0"/>
                <w:sz w:val="16"/>
              </w:rPr>
              <w:t>/api/v1/events/{event_id}/generate-report</w:t>
            </w:r>
          </w:p>
        </w:tc>
        <w:tc>
          <w:tcPr>
            <w:tcW w:type="dxa" w:w="3456"/>
            <w:vAlign w:val="center"/>
            <w:shd w:fill="F8FAFC"/>
          </w:tcPr>
          <w:p>
            <w:r/>
            <w:r>
              <w:rPr>
                <w:b w:val="0"/>
                <w:sz w:val="16"/>
              </w:rPr>
              <w:t>Create evidence package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WS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/api/v1/ws/live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Push new events / analysis status</w:t>
            </w:r>
          </w:p>
        </w:tc>
      </w:tr>
    </w:tbl>
    <w:p/>
    <w:p>
      <w:pPr>
        <w:spacing w:before="80" w:after="120"/>
      </w:pPr>
      <w:r>
        <w:rPr>
          <w:b/>
          <w:color w:val="2563EB"/>
          <w:sz w:val="20"/>
        </w:rPr>
        <w:t>Security</w:t>
        <w:br/>
      </w:r>
      <w:r>
        <w:rPr>
          <w:sz w:val="18"/>
        </w:rPr>
        <w:t>Protect explicit analyze/re-run endpoints with inspector/admin permissions. Public users should never be able to trigger arbitrary model runs against production data.</w:t>
      </w:r>
    </w:p>
    <w:p>
      <w:pPr>
        <w:pStyle w:val="Heading1"/>
      </w:pPr>
      <w:r>
        <w:t>18. Real-Time Orchestration</w:t>
      </w:r>
    </w:p>
    <w:p>
      <w:pPr>
        <w:spacing w:before="60" w:after="100"/>
        <w:ind w:left="317" w:right="173"/>
        <w:shd w:fill="F3F4F6"/>
      </w:pPr>
      <w:r>
        <w:rPr>
          <w:rFonts w:ascii="Consolas" w:hAnsi="Consolas"/>
          <w:color w:val="111827"/>
          <w:sz w:val="17"/>
        </w:rPr>
        <w:t>Sensor reading received</w:t>
        <w:br/>
        <w:t xml:space="preserve">       ↓</w:t>
        <w:br/>
        <w:t>Persist reading</w:t>
        <w:br/>
        <w:t xml:space="preserve">       ↓</w:t>
        <w:br/>
        <w:t>Queue / background task</w:t>
        <w:br/>
        <w:t xml:space="preserve">       ↓</w:t>
        <w:br/>
        <w:t>Event detection</w:t>
        <w:br/>
        <w:t xml:space="preserve">       ↓</w:t>
        <w:br/>
        <w:t>If candidate event -&gt; classification</w:t>
        <w:br/>
        <w:t xml:space="preserve">       ↓</w:t>
        <w:br/>
        <w:t>Evidence fusion</w:t>
        <w:br/>
        <w:t xml:space="preserve">       ↓</w:t>
        <w:br/>
        <w:t>Source attribution</w:t>
        <w:br/>
        <w:t xml:space="preserve">       ↓</w:t>
        <w:br/>
        <w:t>Persist results</w:t>
        <w:br/>
        <w:t xml:space="preserve">       ↓</w:t>
        <w:br/>
        <w:t>Publish WebSocket update</w:t>
      </w:r>
    </w:p>
    <w:p>
      <w:r>
        <w:t>Do not run heavy source attribution inside the synchronous sensor-ingestion HTTP request. The ingestion API should acknowledge quickly and enqueue analysis work.</w:t>
      </w:r>
    </w:p>
    <w:p>
      <w:pPr>
        <w:pStyle w:val="Heading1"/>
      </w:pPr>
      <w:r>
        <w:t>19. Model and Scoring Versioning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3456"/>
            <w:vAlign w:val="center"/>
            <w:shd w:fill="0F172A"/>
          </w:tcPr>
          <w:p>
            <w:r/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3456"/>
            <w:vAlign w:val="center"/>
            <w:shd w:fill="0F172A"/>
          </w:tcPr>
          <w:p>
            <w:r/>
            <w:r>
              <w:rPr>
                <w:b/>
                <w:color w:val="FFFFFF"/>
                <w:sz w:val="17"/>
              </w:rPr>
              <w:t>Example</w:t>
            </w:r>
          </w:p>
        </w:tc>
        <w:tc>
          <w:tcPr>
            <w:tcW w:type="dxa" w:w="3456"/>
            <w:vAlign w:val="center"/>
            <w:shd w:fill="0F172A"/>
          </w:tcPr>
          <w:p>
            <w:r/>
            <w:r>
              <w:rPr>
                <w:b/>
                <w:color w:val="FFFFFF"/>
                <w:sz w:val="17"/>
              </w:rPr>
              <w:t>Why</w:t>
            </w:r>
          </w:p>
        </w:tc>
      </w:tr>
      <w:tr>
        <w:tc>
          <w:tcPr>
            <w:tcW w:type="dxa" w:w="3456"/>
            <w:vAlign w:val="center"/>
            <w:shd w:fill="F8FAFC"/>
          </w:tcPr>
          <w:p>
            <w:r/>
            <w:r>
              <w:rPr>
                <w:b w:val="0"/>
                <w:sz w:val="16"/>
              </w:rPr>
              <w:t>model_version</w:t>
            </w:r>
          </w:p>
        </w:tc>
        <w:tc>
          <w:tcPr>
            <w:tcW w:type="dxa" w:w="3456"/>
            <w:vAlign w:val="center"/>
            <w:shd w:fill="F8FAFC"/>
          </w:tcPr>
          <w:p>
            <w:r/>
            <w:r>
              <w:rPr>
                <w:b w:val="0"/>
                <w:sz w:val="16"/>
              </w:rPr>
              <w:t>event-classifier-0.3.0</w:t>
            </w:r>
          </w:p>
        </w:tc>
        <w:tc>
          <w:tcPr>
            <w:tcW w:type="dxa" w:w="3456"/>
            <w:vAlign w:val="center"/>
            <w:shd w:fill="F8FAFC"/>
          </w:tcPr>
          <w:p>
            <w:r/>
            <w:r>
              <w:rPr>
                <w:b w:val="0"/>
                <w:sz w:val="16"/>
              </w:rPr>
              <w:t>Reproducibility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scoring_version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source-score-0.2.0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Weight changes are traceable</w:t>
            </w:r>
          </w:p>
        </w:tc>
      </w:tr>
      <w:tr>
        <w:tc>
          <w:tcPr>
            <w:tcW w:type="dxa" w:w="3456"/>
            <w:vAlign w:val="center"/>
            <w:shd w:fill="F8FAFC"/>
          </w:tcPr>
          <w:p>
            <w:r/>
            <w:r>
              <w:rPr>
                <w:b w:val="0"/>
                <w:sz w:val="16"/>
              </w:rPr>
              <w:t>feature_version</w:t>
            </w:r>
          </w:p>
        </w:tc>
        <w:tc>
          <w:tcPr>
            <w:tcW w:type="dxa" w:w="3456"/>
            <w:vAlign w:val="center"/>
            <w:shd w:fill="F8FAFC"/>
          </w:tcPr>
          <w:p>
            <w:r/>
            <w:r>
              <w:rPr>
                <w:b w:val="0"/>
                <w:sz w:val="16"/>
              </w:rPr>
              <w:t>features-0.4.0</w:t>
            </w:r>
          </w:p>
        </w:tc>
        <w:tc>
          <w:tcPr>
            <w:tcW w:type="dxa" w:w="3456"/>
            <w:vAlign w:val="center"/>
            <w:shd w:fill="F8FAFC"/>
          </w:tcPr>
          <w:p>
            <w:r/>
            <w:r>
              <w:rPr>
                <w:b w:val="0"/>
                <w:sz w:val="16"/>
              </w:rPr>
              <w:t>Prevents silent feature drift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data_snapshot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2026-08-26T12:00Z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Records context used for analysis</w:t>
            </w:r>
          </w:p>
        </w:tc>
      </w:tr>
    </w:tbl>
    <w:p/>
    <w:p>
      <w:pPr>
        <w:pStyle w:val="Heading1"/>
      </w:pPr>
      <w:r>
        <w:t>20. AI/Coding Agent Prompts</w:t>
      </w:r>
    </w:p>
    <w:p>
      <w:r>
        <w:t>Use the following prompts as starting templates. Each agent must receive the latest contracts/specs from the repository before coding.</w:t>
      </w:r>
    </w:p>
    <w:p>
      <w:pPr>
        <w:pStyle w:val="Heading2"/>
      </w:pPr>
      <w:r>
        <w:t>Prompt A — Evidence Fusion Agent</w:t>
      </w:r>
    </w:p>
    <w:p>
      <w:pPr>
        <w:spacing w:before="60" w:after="100"/>
        <w:ind w:left="317" w:right="173"/>
        <w:shd w:fill="F3F4F6"/>
      </w:pPr>
      <w:r>
        <w:rPr>
          <w:rFonts w:ascii="Consolas" w:hAnsi="Consolas"/>
          <w:color w:val="111827"/>
          <w:sz w:val="17"/>
        </w:rPr>
        <w:t>You are the Evidence Fusion Engineer for HPEE.</w:t>
        <w:br/>
        <w:t>Read docs/SYSTEM_ARCHITECTURE.md, docs/DATABASE_CONTRACT.md, docs/API_CONTRACT.md and docs/ENGINE_SPECS.md before changing code.</w:t>
        <w:br/>
        <w:t>Implement only the evidence_fusion module.</w:t>
        <w:br/>
        <w:t>Inputs: validated event context, sensor observations, weather observations, industrial activity, candidate-source context.</w:t>
        <w:br/>
        <w:t>Outputs: evidence_score, factor scores, factor explanations, evidence_records payloads, scoring_version.</w:t>
        <w:br/>
        <w:t>Rules:</w:t>
        <w:br/>
        <w:t>1. Never invent database fields or API fields.</w:t>
        <w:br/>
        <w:t>2. Never claim legal causality.</w:t>
        <w:br/>
        <w:t>3. Keep scoring weights centralized and versioned.</w:t>
        <w:br/>
        <w:t>4. Every score must have an explanation.</w:t>
        <w:br/>
        <w:t>5. Add unit tests for normal, weak, strong and conflicting evidence.</w:t>
        <w:br/>
        <w:t>6. Do not modify frontend code.</w:t>
        <w:br/>
        <w:t>7. Return a summary of files changed and tests run.</w:t>
      </w:r>
    </w:p>
    <w:p>
      <w:pPr>
        <w:pStyle w:val="Heading2"/>
      </w:pPr>
      <w:r>
        <w:t>Prompt B — Source Attribution Agent</w:t>
      </w:r>
    </w:p>
    <w:p>
      <w:pPr>
        <w:spacing w:before="60" w:after="100"/>
        <w:ind w:left="317" w:right="173"/>
        <w:shd w:fill="F3F4F6"/>
      </w:pPr>
      <w:r>
        <w:rPr>
          <w:rFonts w:ascii="Consolas" w:hAnsi="Consolas"/>
          <w:color w:val="111827"/>
          <w:sz w:val="17"/>
        </w:rPr>
        <w:t>You are the Source Attribution Engineer for HPEE.</w:t>
        <w:br/>
        <w:t>Read all current contracts before coding.</w:t>
        <w:br/>
        <w:t>Implement candidate generation, wind-vector geometry, PostGIS radius filtering, activity overlap scoring and candidate ranking.</w:t>
        <w:br/>
        <w:t>Return ranked candidates with probability/score, distance_km, wind_alignment_score, activity_score, pollutant_match_score, spatial_score, explanation and model/scoring version.</w:t>
        <w:br/>
        <w:t>Never output a “confirmed polluter”. Use “probable source” language.</w:t>
        <w:br/>
        <w:t>Add deterministic unit tests for bearing, angular error, upwind filtering and ranking.</w:t>
        <w:br/>
        <w:t>Do not change the database schema without an approved migration.</w:t>
      </w:r>
    </w:p>
    <w:p>
      <w:pPr>
        <w:pStyle w:val="Heading2"/>
      </w:pPr>
      <w:r>
        <w:t>Prompt C — Evaluation Agent</w:t>
      </w:r>
    </w:p>
    <w:p>
      <w:pPr>
        <w:spacing w:before="60" w:after="100"/>
        <w:ind w:left="317" w:right="173"/>
        <w:shd w:fill="F3F4F6"/>
      </w:pPr>
      <w:r>
        <w:rPr>
          <w:rFonts w:ascii="Consolas" w:hAnsi="Consolas"/>
          <w:color w:val="111827"/>
          <w:sz w:val="17"/>
        </w:rPr>
        <w:t>Act as HPEE model/evidence QA engineer.</w:t>
        <w:br/>
        <w:t>Create synthetic scenarios for: industrial surge, agricultural event, background variation, sensor fault, multiple candidate factories, changing wind, missing SO2, conflicting sensor nodes.</w:t>
        <w:br/>
        <w:t>Run the full pipeline and report false positives, false negatives, unstable rankings and unexplained scores.</w:t>
        <w:br/>
        <w:t>Do not change production logic without proposing a fix first.</w:t>
      </w:r>
    </w:p>
    <w:p>
      <w:pPr>
        <w:pStyle w:val="Heading2"/>
      </w:pPr>
      <w:r>
        <w:t>Prompt D — Integration Agent</w:t>
      </w:r>
    </w:p>
    <w:p>
      <w:pPr>
        <w:spacing w:before="60" w:after="100"/>
        <w:ind w:left="317" w:right="173"/>
        <w:shd w:fill="F3F4F6"/>
      </w:pPr>
      <w:r>
        <w:rPr>
          <w:rFonts w:ascii="Consolas" w:hAnsi="Consolas"/>
          <w:color w:val="111827"/>
          <w:sz w:val="17"/>
        </w:rPr>
        <w:t>Integrate the approved engines into the HPEE FastAPI backend.</w:t>
        <w:br/>
        <w:t>Use dependency injection, typed interfaces and existing database models.</w:t>
        <w:br/>
        <w:t>Trigger engines asynchronously after relevant event candidates.</w:t>
        <w:br/>
        <w:t>Persist outputs using the existing schema.</w:t>
        <w:br/>
        <w:t>Publish a WebSocket update after successful persistence.</w:t>
        <w:br/>
        <w:t>Add integration tests proving sensor reading -&gt; event -&gt; evidence -&gt; attribution.</w:t>
      </w:r>
    </w:p>
    <w:p>
      <w:pPr>
        <w:pStyle w:val="Heading1"/>
      </w:pPr>
      <w:r>
        <w:t>21. Testing Strategy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5184"/>
            <w:vAlign w:val="center"/>
            <w:shd w:fill="0F172A"/>
          </w:tcPr>
          <w:p>
            <w:r/>
            <w:r>
              <w:rPr>
                <w:b/>
                <w:color w:val="FFFFFF"/>
                <w:sz w:val="17"/>
              </w:rPr>
              <w:t>Level</w:t>
            </w:r>
          </w:p>
        </w:tc>
        <w:tc>
          <w:tcPr>
            <w:tcW w:type="dxa" w:w="5184"/>
            <w:vAlign w:val="center"/>
            <w:shd w:fill="0F172A"/>
          </w:tcPr>
          <w:p>
            <w:r/>
            <w:r>
              <w:rPr>
                <w:b/>
                <w:color w:val="FFFFFF"/>
                <w:sz w:val="17"/>
              </w:rPr>
              <w:t>Examples</w:t>
            </w:r>
          </w:p>
        </w:tc>
      </w:tr>
      <w:tr>
        <w:tc>
          <w:tcPr>
            <w:tcW w:type="dxa" w:w="5184"/>
            <w:vAlign w:val="center"/>
            <w:shd w:fill="F8FAFC"/>
          </w:tcPr>
          <w:p>
            <w:r/>
            <w:r>
              <w:rPr>
                <w:b w:val="0"/>
                <w:sz w:val="16"/>
              </w:rPr>
              <w:t>Unit</w:t>
            </w:r>
          </w:p>
        </w:tc>
        <w:tc>
          <w:tcPr>
            <w:tcW w:type="dxa" w:w="5184"/>
            <w:vAlign w:val="center"/>
            <w:shd w:fill="F8FAFC"/>
          </w:tcPr>
          <w:p>
            <w:r/>
            <w:r>
              <w:rPr>
                <w:b w:val="0"/>
                <w:sz w:val="16"/>
              </w:rPr>
              <w:t>bearing calculations, wind alignment, distance score, each evidence factor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6"/>
              </w:rPr>
              <w:t>Data validation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6"/>
              </w:rPr>
              <w:t>missing values, impossible values, stale timestamps, sensor quality flags</w:t>
            </w:r>
          </w:p>
        </w:tc>
      </w:tr>
      <w:tr>
        <w:tc>
          <w:tcPr>
            <w:tcW w:type="dxa" w:w="5184"/>
            <w:vAlign w:val="center"/>
            <w:shd w:fill="F8FAFC"/>
          </w:tcPr>
          <w:p>
            <w:r/>
            <w:r>
              <w:rPr>
                <w:b w:val="0"/>
                <w:sz w:val="16"/>
              </w:rPr>
              <w:t>Engine integration</w:t>
            </w:r>
          </w:p>
        </w:tc>
        <w:tc>
          <w:tcPr>
            <w:tcW w:type="dxa" w:w="5184"/>
            <w:vAlign w:val="center"/>
            <w:shd w:fill="F8FAFC"/>
          </w:tcPr>
          <w:p>
            <w:r/>
            <w:r>
              <w:rPr>
                <w:b w:val="0"/>
                <w:sz w:val="16"/>
              </w:rPr>
              <w:t>event -&gt; classification -&gt; fusion -&gt; attribution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6"/>
              </w:rPr>
              <w:t>Database integration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6"/>
              </w:rPr>
              <w:t>PostGIS candidate queries, evidence persistence</w:t>
            </w:r>
          </w:p>
        </w:tc>
      </w:tr>
      <w:tr>
        <w:tc>
          <w:tcPr>
            <w:tcW w:type="dxa" w:w="5184"/>
            <w:vAlign w:val="center"/>
            <w:shd w:fill="F8FAFC"/>
          </w:tcPr>
          <w:p>
            <w:r/>
            <w:r>
              <w:rPr>
                <w:b w:val="0"/>
                <w:sz w:val="16"/>
              </w:rPr>
              <w:t>Scenario</w:t>
            </w:r>
          </w:p>
        </w:tc>
        <w:tc>
          <w:tcPr>
            <w:tcW w:type="dxa" w:w="5184"/>
            <w:vAlign w:val="center"/>
            <w:shd w:fill="F8FAFC"/>
          </w:tcPr>
          <w:p>
            <w:r/>
            <w:r>
              <w:rPr>
                <w:b w:val="0"/>
                <w:sz w:val="16"/>
              </w:rPr>
              <w:t>industrial, agricultural, sensor fault, multiple factories, wind reversal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6"/>
              </w:rPr>
              <w:t>Regression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6"/>
              </w:rPr>
              <w:t>same input snapshot should produce same result for a fixed model/scoring version</w:t>
            </w:r>
          </w:p>
        </w:tc>
      </w:tr>
      <w:tr>
        <w:tc>
          <w:tcPr>
            <w:tcW w:type="dxa" w:w="5184"/>
            <w:vAlign w:val="center"/>
            <w:shd w:fill="F8FAFC"/>
          </w:tcPr>
          <w:p>
            <w:r/>
            <w:r>
              <w:rPr>
                <w:b w:val="0"/>
                <w:sz w:val="16"/>
              </w:rPr>
              <w:t>API</w:t>
            </w:r>
          </w:p>
        </w:tc>
        <w:tc>
          <w:tcPr>
            <w:tcW w:type="dxa" w:w="5184"/>
            <w:vAlign w:val="center"/>
            <w:shd w:fill="F8FAFC"/>
          </w:tcPr>
          <w:p>
            <w:r/>
            <w:r>
              <w:rPr>
                <w:b w:val="0"/>
                <w:sz w:val="16"/>
              </w:rPr>
              <w:t>event/evidence/source endpoints return contract-compliant JSON</w:t>
            </w:r>
          </w:p>
        </w:tc>
      </w:tr>
    </w:tbl>
    <w:p/>
    <w:p>
      <w:pPr>
        <w:pStyle w:val="Heading1"/>
      </w:pPr>
      <w:r>
        <w:t>22. Synthetic Test Scenarios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5184"/>
            <w:vAlign w:val="center"/>
            <w:shd w:fill="0F172A"/>
          </w:tcPr>
          <w:p>
            <w:r/>
            <w:r>
              <w:rPr>
                <w:b/>
                <w:color w:val="FFFFFF"/>
                <w:sz w:val="17"/>
              </w:rPr>
              <w:t>Scenario</w:t>
            </w:r>
          </w:p>
        </w:tc>
        <w:tc>
          <w:tcPr>
            <w:tcW w:type="dxa" w:w="5184"/>
            <w:vAlign w:val="center"/>
            <w:shd w:fill="0F172A"/>
          </w:tcPr>
          <w:p>
            <w:r/>
            <w:r>
              <w:rPr>
                <w:b/>
                <w:color w:val="FFFFFF"/>
                <w:sz w:val="17"/>
              </w:rPr>
              <w:t>Expected behavior</w:t>
            </w:r>
          </w:p>
        </w:tc>
      </w:tr>
      <w:tr>
        <w:tc>
          <w:tcPr>
            <w:tcW w:type="dxa" w:w="5184"/>
            <w:vAlign w:val="center"/>
            <w:shd w:fill="F8FAFC"/>
          </w:tcPr>
          <w:p>
            <w:r/>
            <w:r>
              <w:rPr>
                <w:b w:val="0"/>
                <w:sz w:val="16"/>
              </w:rPr>
              <w:t>Industrial surge</w:t>
            </w:r>
          </w:p>
        </w:tc>
        <w:tc>
          <w:tcPr>
            <w:tcW w:type="dxa" w:w="5184"/>
            <w:vAlign w:val="center"/>
            <w:shd w:fill="F8FAFC"/>
          </w:tcPr>
          <w:p>
            <w:r/>
            <w:r>
              <w:rPr>
                <w:b w:val="0"/>
                <w:sz w:val="16"/>
              </w:rPr>
              <w:t>High anomaly + strong wind alignment + active industry -&gt; high industrial evidence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6"/>
              </w:rPr>
              <w:t>Agricultural smoke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6"/>
              </w:rPr>
              <w:t>High PM2.5 but weak industrial activity + non-industrial context -&gt; lower industrial probability</w:t>
            </w:r>
          </w:p>
        </w:tc>
      </w:tr>
      <w:tr>
        <w:tc>
          <w:tcPr>
            <w:tcW w:type="dxa" w:w="5184"/>
            <w:vAlign w:val="center"/>
            <w:shd w:fill="F8FAFC"/>
          </w:tcPr>
          <w:p>
            <w:r/>
            <w:r>
              <w:rPr>
                <w:b w:val="0"/>
                <w:sz w:val="16"/>
              </w:rPr>
              <w:t>Single-node spike</w:t>
            </w:r>
          </w:p>
        </w:tc>
        <w:tc>
          <w:tcPr>
            <w:tcW w:type="dxa" w:w="5184"/>
            <w:vAlign w:val="center"/>
            <w:shd w:fill="F8FAFC"/>
          </w:tcPr>
          <w:p>
            <w:r/>
            <w:r>
              <w:rPr>
                <w:b w:val="0"/>
                <w:sz w:val="16"/>
              </w:rPr>
              <w:t>One node spikes but neighbors stay normal -&gt; lower confidence / possible sensor issue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6"/>
              </w:rPr>
              <w:t>Three-node coherent event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6"/>
              </w:rPr>
              <w:t>Multiple nodes align with wind direction -&gt; higher confidence</w:t>
            </w:r>
          </w:p>
        </w:tc>
      </w:tr>
      <w:tr>
        <w:tc>
          <w:tcPr>
            <w:tcW w:type="dxa" w:w="5184"/>
            <w:vAlign w:val="center"/>
            <w:shd w:fill="F8FAFC"/>
          </w:tcPr>
          <w:p>
            <w:r/>
            <w:r>
              <w:rPr>
                <w:b w:val="0"/>
                <w:sz w:val="16"/>
              </w:rPr>
              <w:t>Wind reversal</w:t>
            </w:r>
          </w:p>
        </w:tc>
        <w:tc>
          <w:tcPr>
            <w:tcW w:type="dxa" w:w="5184"/>
            <w:vAlign w:val="center"/>
            <w:shd w:fill="F8FAFC"/>
          </w:tcPr>
          <w:p>
            <w:r/>
            <w:r>
              <w:rPr>
                <w:b w:val="0"/>
                <w:sz w:val="16"/>
              </w:rPr>
              <w:t>Candidate ranking changes when wind direction reverses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6"/>
              </w:rPr>
              <w:t>Two equal candidates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6"/>
              </w:rPr>
              <w:t>Return ranked candidates rather than false certainty</w:t>
            </w:r>
          </w:p>
        </w:tc>
      </w:tr>
      <w:tr>
        <w:tc>
          <w:tcPr>
            <w:tcW w:type="dxa" w:w="5184"/>
            <w:vAlign w:val="center"/>
            <w:shd w:fill="F8FAFC"/>
          </w:tcPr>
          <w:p>
            <w:r/>
            <w:r>
              <w:rPr>
                <w:b w:val="0"/>
                <w:sz w:val="16"/>
              </w:rPr>
              <w:t>Missing SO₂</w:t>
            </w:r>
          </w:p>
        </w:tc>
        <w:tc>
          <w:tcPr>
            <w:tcW w:type="dxa" w:w="5184"/>
            <w:vAlign w:val="center"/>
            <w:shd w:fill="F8FAFC"/>
          </w:tcPr>
          <w:p>
            <w:r/>
            <w:r>
              <w:rPr>
                <w:b w:val="0"/>
                <w:sz w:val="16"/>
              </w:rPr>
              <w:t>Run with reduced evidence and lower confidence; never crash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6"/>
              </w:rPr>
              <w:t>Sensor degraded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6"/>
              </w:rPr>
              <w:t>Exclude or down-weight degraded observation</w:t>
            </w:r>
          </w:p>
        </w:tc>
      </w:tr>
    </w:tbl>
    <w:p/>
    <w:p>
      <w:pPr>
        <w:pStyle w:val="Heading1"/>
      </w:pPr>
      <w:r>
        <w:t>23. Explainability Requirements</w:t>
      </w:r>
    </w:p>
    <w:p>
      <w:pPr>
        <w:pStyle w:val="ListBullet"/>
        <w:spacing w:after="40"/>
      </w:pPr>
      <w:r>
        <w:t>Every event classification must include the factors that influenced it.</w:t>
      </w:r>
    </w:p>
    <w:p>
      <w:pPr>
        <w:pStyle w:val="ListBullet"/>
        <w:spacing w:after="40"/>
      </w:pPr>
      <w:r>
        <w:t>Every source attribution must include candidate ranking and factor scores.</w:t>
      </w:r>
    </w:p>
    <w:p>
      <w:pPr>
        <w:pStyle w:val="ListBullet"/>
        <w:spacing w:after="40"/>
      </w:pPr>
      <w:r>
        <w:t>Every evidence report must link back to raw sensor/time windows and contextual data.</w:t>
      </w:r>
    </w:p>
    <w:p>
      <w:pPr>
        <w:pStyle w:val="ListBullet"/>
        <w:spacing w:after="40"/>
      </w:pPr>
      <w:r>
        <w:t>Confidence must never be displayed without its evidence basis.</w:t>
      </w:r>
    </w:p>
    <w:p>
      <w:pPr>
        <w:pStyle w:val="ListBullet"/>
        <w:spacing w:after="40"/>
      </w:pPr>
      <w:r>
        <w:t>The UI should distinguish “probable source” from “confirmed source”.</w:t>
      </w:r>
    </w:p>
    <w:p>
      <w:pPr>
        <w:pStyle w:val="ListBullet"/>
        <w:spacing w:after="40"/>
      </w:pPr>
      <w:r>
        <w:t>If evidence is insufficient, the engine should output “insufficient evidence” instead of forcing a source.</w:t>
      </w:r>
    </w:p>
    <w:p>
      <w:pPr>
        <w:pStyle w:val="Heading1"/>
      </w:pPr>
      <w:r>
        <w:t>24. Failure and Edge Cases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5184"/>
            <w:vAlign w:val="center"/>
            <w:shd w:fill="0F172A"/>
          </w:tcPr>
          <w:p>
            <w:r/>
            <w:r>
              <w:rPr>
                <w:b/>
                <w:color w:val="FFFFFF"/>
                <w:sz w:val="17"/>
              </w:rPr>
              <w:t>Failure</w:t>
            </w:r>
          </w:p>
        </w:tc>
        <w:tc>
          <w:tcPr>
            <w:tcW w:type="dxa" w:w="5184"/>
            <w:vAlign w:val="center"/>
            <w:shd w:fill="0F172A"/>
          </w:tcPr>
          <w:p>
            <w:r/>
            <w:r>
              <w:rPr>
                <w:b/>
                <w:color w:val="FFFFFF"/>
                <w:sz w:val="17"/>
              </w:rPr>
              <w:t>Required behavior</w:t>
            </w:r>
          </w:p>
        </w:tc>
      </w:tr>
      <w:tr>
        <w:tc>
          <w:tcPr>
            <w:tcW w:type="dxa" w:w="5184"/>
            <w:vAlign w:val="center"/>
            <w:shd w:fill="F8FAFC"/>
          </w:tcPr>
          <w:p>
            <w:r/>
            <w:r>
              <w:rPr>
                <w:b w:val="0"/>
                <w:sz w:val="16"/>
              </w:rPr>
              <w:t>Weather API unavailable</w:t>
            </w:r>
          </w:p>
        </w:tc>
        <w:tc>
          <w:tcPr>
            <w:tcW w:type="dxa" w:w="5184"/>
            <w:vAlign w:val="center"/>
            <w:shd w:fill="F8FAFC"/>
          </w:tcPr>
          <w:p>
            <w:r/>
            <w:r>
              <w:rPr>
                <w:b w:val="0"/>
                <w:sz w:val="16"/>
              </w:rPr>
              <w:t>Use latest known weather within freshness window; mark stale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6"/>
              </w:rPr>
              <w:t>No industrial schedule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6"/>
              </w:rPr>
              <w:t>Continue wind/spatial analysis; lower confidence</w:t>
            </w:r>
          </w:p>
        </w:tc>
      </w:tr>
      <w:tr>
        <w:tc>
          <w:tcPr>
            <w:tcW w:type="dxa" w:w="5184"/>
            <w:vAlign w:val="center"/>
            <w:shd w:fill="F8FAFC"/>
          </w:tcPr>
          <w:p>
            <w:r/>
            <w:r>
              <w:rPr>
                <w:b w:val="0"/>
                <w:sz w:val="16"/>
              </w:rPr>
              <w:t>One sensor offline</w:t>
            </w:r>
          </w:p>
        </w:tc>
        <w:tc>
          <w:tcPr>
            <w:tcW w:type="dxa" w:w="5184"/>
            <w:vAlign w:val="center"/>
            <w:shd w:fill="F8FAFC"/>
          </w:tcPr>
          <w:p>
            <w:r/>
            <w:r>
              <w:rPr>
                <w:b w:val="0"/>
                <w:sz w:val="16"/>
              </w:rPr>
              <w:t>Continue with remaining nodes; flag node health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6"/>
              </w:rPr>
              <w:t>SO₂ unavailable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6"/>
              </w:rPr>
              <w:t>Do not fabricate it; run with missing factor</w:t>
            </w:r>
          </w:p>
        </w:tc>
      </w:tr>
      <w:tr>
        <w:tc>
          <w:tcPr>
            <w:tcW w:type="dxa" w:w="5184"/>
            <w:vAlign w:val="center"/>
            <w:shd w:fill="F8FAFC"/>
          </w:tcPr>
          <w:p>
            <w:r/>
            <w:r>
              <w:rPr>
                <w:b w:val="0"/>
                <w:sz w:val="16"/>
              </w:rPr>
              <w:t>Conflicting wind sources</w:t>
            </w:r>
          </w:p>
        </w:tc>
        <w:tc>
          <w:tcPr>
            <w:tcW w:type="dxa" w:w="5184"/>
            <w:vAlign w:val="center"/>
            <w:shd w:fill="F8FAFC"/>
          </w:tcPr>
          <w:p>
            <w:r/>
            <w:r>
              <w:rPr>
                <w:b w:val="0"/>
                <w:sz w:val="16"/>
              </w:rPr>
              <w:t>Prefer highest-quality source and retain disagreement evidence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6"/>
              </w:rPr>
              <w:t>All candidates weak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6"/>
              </w:rPr>
              <w:t>Return no probable source; recommend inspection/manual review</w:t>
            </w:r>
          </w:p>
        </w:tc>
      </w:tr>
      <w:tr>
        <w:tc>
          <w:tcPr>
            <w:tcW w:type="dxa" w:w="5184"/>
            <w:vAlign w:val="center"/>
            <w:shd w:fill="F8FAFC"/>
          </w:tcPr>
          <w:p>
            <w:r/>
            <w:r>
              <w:rPr>
                <w:b w:val="0"/>
                <w:sz w:val="16"/>
              </w:rPr>
              <w:t>Model error</w:t>
            </w:r>
          </w:p>
        </w:tc>
        <w:tc>
          <w:tcPr>
            <w:tcW w:type="dxa" w:w="5184"/>
            <w:vAlign w:val="center"/>
            <w:shd w:fill="F8FAFC"/>
          </w:tcPr>
          <w:p>
            <w:r/>
            <w:r>
              <w:rPr>
                <w:b w:val="0"/>
                <w:sz w:val="16"/>
              </w:rPr>
              <w:t>Persist failure state and keep raw event data intact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6"/>
              </w:rPr>
              <w:t>Database transaction failure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6"/>
              </w:rPr>
              <w:t>Do not expose partial evidence state to frontend</w:t>
            </w:r>
          </w:p>
        </w:tc>
      </w:tr>
    </w:tbl>
    <w:p/>
    <w:p>
      <w:pPr>
        <w:pStyle w:val="Heading1"/>
      </w:pPr>
      <w:r>
        <w:t>25. Security and Governance</w:t>
      </w:r>
    </w:p>
    <w:p>
      <w:pPr>
        <w:pStyle w:val="ListBullet"/>
        <w:spacing w:after="40"/>
      </w:pPr>
      <w:r>
        <w:t>Do not allow public users to access internal source attribution evidence unless explicitly intended.</w:t>
      </w:r>
    </w:p>
    <w:p>
      <w:pPr>
        <w:pStyle w:val="ListBullet"/>
        <w:spacing w:after="40"/>
      </w:pPr>
      <w:r>
        <w:t>Use role-based access for inspectors/admins/sarpanch/public views.</w:t>
      </w:r>
    </w:p>
    <w:p>
      <w:pPr>
        <w:pStyle w:val="ListBullet"/>
        <w:spacing w:after="40"/>
      </w:pPr>
      <w:r>
        <w:t>Audit every manual override of attribution or event status.</w:t>
      </w:r>
    </w:p>
    <w:p>
      <w:pPr>
        <w:pStyle w:val="ListBullet"/>
        <w:spacing w:after="40"/>
      </w:pPr>
      <w:r>
        <w:t>Keep immutable timestamps and raw evidence references.</w:t>
      </w:r>
    </w:p>
    <w:p>
      <w:pPr>
        <w:pStyle w:val="ListBullet"/>
        <w:spacing w:after="40"/>
      </w:pPr>
      <w:r>
        <w:t>Do not allow silent deletion of raw readings or evidence records.</w:t>
      </w:r>
    </w:p>
    <w:p>
      <w:pPr>
        <w:pStyle w:val="ListBullet"/>
        <w:spacing w:after="40"/>
      </w:pPr>
      <w:r>
        <w:t>Separate “system-generated assessment” from “official regulatory determination”.</w:t>
      </w:r>
    </w:p>
    <w:p>
      <w:pPr>
        <w:pStyle w:val="Heading1"/>
      </w:pPr>
      <w:r>
        <w:t>26. Implementation Order</w:t>
      </w:r>
    </w:p>
    <w:p>
      <w:pPr>
        <w:pStyle w:val="ListNumber"/>
        <w:spacing w:after="40"/>
      </w:pPr>
      <w:r>
        <w:t>Freeze ENGINE_SPECS.md: inputs, outputs, factors, default weights, versioning.</w:t>
      </w:r>
    </w:p>
    <w:p>
      <w:pPr>
        <w:pStyle w:val="ListNumber"/>
        <w:spacing w:after="40"/>
      </w:pPr>
      <w:r>
        <w:t>Create typed Python request/response objects for event, fusion and attribution.</w:t>
      </w:r>
    </w:p>
    <w:p>
      <w:pPr>
        <w:pStyle w:val="ListNumber"/>
        <w:spacing w:after="40"/>
      </w:pPr>
      <w:r>
        <w:t>Implement deterministic geometry utilities and unit tests.</w:t>
      </w:r>
    </w:p>
    <w:p>
      <w:pPr>
        <w:pStyle w:val="ListNumber"/>
        <w:spacing w:after="40"/>
      </w:pPr>
      <w:r>
        <w:t>Implement event-window builder and baseline anomaly detector.</w:t>
      </w:r>
    </w:p>
    <w:p>
      <w:pPr>
        <w:pStyle w:val="ListNumber"/>
        <w:spacing w:after="40"/>
      </w:pPr>
      <w:r>
        <w:t>Implement evidence factors one by one with tests.</w:t>
      </w:r>
    </w:p>
    <w:p>
      <w:pPr>
        <w:pStyle w:val="ListNumber"/>
        <w:spacing w:after="40"/>
      </w:pPr>
      <w:r>
        <w:t>Implement the weighted Evidence Fusion Engine.</w:t>
      </w:r>
    </w:p>
    <w:p>
      <w:pPr>
        <w:pStyle w:val="ListNumber"/>
        <w:spacing w:after="40"/>
      </w:pPr>
      <w:r>
        <w:t>Implement industrial candidate query using PostGIS.</w:t>
      </w:r>
    </w:p>
    <w:p>
      <w:pPr>
        <w:pStyle w:val="ListNumber"/>
        <w:spacing w:after="40"/>
      </w:pPr>
      <w:r>
        <w:t>Implement wind alignment and candidate ranking.</w:t>
      </w:r>
    </w:p>
    <w:p>
      <w:pPr>
        <w:pStyle w:val="ListNumber"/>
        <w:spacing w:after="40"/>
      </w:pPr>
      <w:r>
        <w:t>Implement event classification model only after labeled/synthetic data is ready.</w:t>
      </w:r>
    </w:p>
    <w:p>
      <w:pPr>
        <w:pStyle w:val="ListNumber"/>
        <w:spacing w:after="40"/>
      </w:pPr>
      <w:r>
        <w:t>Persist results into evidence_records, event_classifications and source_attributions.</w:t>
      </w:r>
    </w:p>
    <w:p>
      <w:pPr>
        <w:pStyle w:val="ListNumber"/>
        <w:spacing w:after="40"/>
      </w:pPr>
      <w:r>
        <w:t>Wire the orchestration pipeline into FastAPI background tasks / worker.</w:t>
      </w:r>
    </w:p>
    <w:p>
      <w:pPr>
        <w:pStyle w:val="ListNumber"/>
        <w:spacing w:after="40"/>
      </w:pPr>
      <w:r>
        <w:t>Expose event/evidence/source endpoints and WebSocket updates.</w:t>
      </w:r>
    </w:p>
    <w:p>
      <w:pPr>
        <w:pStyle w:val="ListNumber"/>
        <w:spacing w:after="40"/>
      </w:pPr>
      <w:r>
        <w:t>Run all scenario tests.</w:t>
      </w:r>
    </w:p>
    <w:p>
      <w:pPr>
        <w:pStyle w:val="ListNumber"/>
        <w:spacing w:after="40"/>
      </w:pPr>
      <w:r>
        <w:t>Connect inspector frontend and evidence report generator.</w:t>
      </w:r>
    </w:p>
    <w:p>
      <w:pPr>
        <w:pStyle w:val="Heading1"/>
      </w:pPr>
      <w:r>
        <w:t>27. Definition of Done</w:t>
      </w:r>
    </w:p>
    <w:p>
      <w:pPr>
        <w:pStyle w:val="ListBullet"/>
        <w:spacing w:after="40"/>
      </w:pPr>
      <w:r>
        <w:t>Given a valid sensor event, the engine creates a reproducible pollution event.</w:t>
      </w:r>
    </w:p>
    <w:p>
      <w:pPr>
        <w:pStyle w:val="ListBullet"/>
        <w:spacing w:after="40"/>
      </w:pPr>
      <w:r>
        <w:t>Event classification is explainable and versioned.</w:t>
      </w:r>
    </w:p>
    <w:p>
      <w:pPr>
        <w:pStyle w:val="ListBullet"/>
        <w:spacing w:after="40"/>
      </w:pPr>
      <w:r>
        <w:t>Evidence Fusion returns a score plus factor-level explanations.</w:t>
      </w:r>
    </w:p>
    <w:p>
      <w:pPr>
        <w:pStyle w:val="ListBullet"/>
        <w:spacing w:after="40"/>
      </w:pPr>
      <w:r>
        <w:t>Source Attribution returns ranked candidates with wind/spatial/activity reasoning.</w:t>
      </w:r>
    </w:p>
    <w:p>
      <w:pPr>
        <w:pStyle w:val="ListBullet"/>
        <w:spacing w:after="40"/>
      </w:pPr>
      <w:r>
        <w:t>Raw sensor readings remain unchanged.</w:t>
      </w:r>
    </w:p>
    <w:p>
      <w:pPr>
        <w:pStyle w:val="ListBullet"/>
        <w:spacing w:after="40"/>
      </w:pPr>
      <w:r>
        <w:t>All derived outputs are persisted with version metadata.</w:t>
      </w:r>
    </w:p>
    <w:p>
      <w:pPr>
        <w:pStyle w:val="ListBullet"/>
        <w:spacing w:after="40"/>
      </w:pPr>
      <w:r>
        <w:t>Changing wind direction changes attribution appropriately.</w:t>
      </w:r>
    </w:p>
    <w:p>
      <w:pPr>
        <w:pStyle w:val="ListBullet"/>
        <w:spacing w:after="40"/>
      </w:pPr>
      <w:r>
        <w:t>Missing/degraded sensor data does not crash the pipeline.</w:t>
      </w:r>
    </w:p>
    <w:p>
      <w:pPr>
        <w:pStyle w:val="ListBullet"/>
        <w:spacing w:after="40"/>
      </w:pPr>
      <w:r>
        <w:t>An insufficient-evidence case returns no forced source.</w:t>
      </w:r>
    </w:p>
    <w:p>
      <w:pPr>
        <w:pStyle w:val="ListBullet"/>
        <w:spacing w:after="40"/>
      </w:pPr>
      <w:r>
        <w:t>FastAPI can retrieve event, evidence and source attribution results.</w:t>
      </w:r>
    </w:p>
    <w:p>
      <w:pPr>
        <w:pStyle w:val="ListBullet"/>
        <w:spacing w:after="40"/>
      </w:pPr>
      <w:r>
        <w:t>WebSocket can push a completed analysis to the inspector UI.</w:t>
      </w:r>
    </w:p>
    <w:p>
      <w:pPr>
        <w:pStyle w:val="ListBullet"/>
        <w:spacing w:after="40"/>
      </w:pPr>
      <w:r>
        <w:t>Automated tests cover core calculations and end-to-end scenarios.</w:t>
      </w:r>
    </w:p>
    <w:p>
      <w:pPr>
        <w:pStyle w:val="ListBullet"/>
        <w:spacing w:after="40"/>
      </w:pPr>
      <w:r>
        <w:t>The engine can run entirely against seeded/synthetic data before hardware is connected.</w:t>
      </w:r>
    </w:p>
    <w:p>
      <w:pPr>
        <w:pStyle w:val="Heading1"/>
      </w:pPr>
      <w:r>
        <w:t>28. Final Team Contract</w:t>
      </w:r>
    </w:p>
    <w:p>
      <w:pPr>
        <w:spacing w:before="80" w:after="120"/>
      </w:pPr>
      <w:r>
        <w:rPr>
          <w:b/>
          <w:color w:val="2563EB"/>
          <w:sz w:val="20"/>
        </w:rPr>
        <w:t>Do not build “AI features”. Build a traceable decision pipeline.</w:t>
        <w:br/>
      </w:r>
      <w:r>
        <w:rPr>
          <w:sz w:val="18"/>
        </w:rPr>
        <w:t>0F172A</w:t>
      </w:r>
    </w:p>
    <w:p>
      <w:r>
        <w:t>The most important output is not a model score. It is a defensible chain from raw observation to action:</w:t>
      </w:r>
    </w:p>
    <w:p>
      <w:pPr>
        <w:spacing w:before="60" w:after="100"/>
        <w:ind w:left="317" w:right="173"/>
        <w:shd w:fill="F3F4F6"/>
      </w:pPr>
      <w:r>
        <w:rPr>
          <w:rFonts w:ascii="Consolas" w:hAnsi="Consolas"/>
          <w:color w:val="111827"/>
          <w:sz w:val="17"/>
        </w:rPr>
        <w:t>OBSERVATION -&gt; EVENT -&gt; CONTEXT -&gt; EVIDENCE -&gt; PROBABLE SOURCE -&gt; INSPECTION ACTION</w:t>
      </w:r>
    </w:p>
    <w:p>
      <w:r>
        <w:t>If a future model improves the result, it should plug into the same contracts and preserve the same evidence/provenance structure. The database, backend API, frontend and report generator should not need a redesign simply because the inference method changes.</w:t>
      </w:r>
    </w:p>
    <w:sectPr w:rsidR="00FC693F" w:rsidRPr="0006063C" w:rsidSect="00034616">
      <w:footerReference w:type="default" r:id="rId9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7280"/>
        <w:sz w:val="16"/>
      </w:rPr>
      <w:t>HPEE | Evidence Fusion + Source Attribution Engine | v1.0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F172A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563EB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37415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0F172A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llout">
    <w:name w:val="Callout"/>
    <w:rPr>
      <w:rFonts w:ascii="Aptos" w:hAnsi="Aptos"/>
      <w:color w:val="0F172A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HPEE Evidence Fusion + Source Attribution Engine Implementation Plan</dc:title>
  <dc:subject>Implementation guide, AI-agent prompts, integration contracts, algorithms, testing and deployment guidance for HPEE intelligence engines.</dc:subject>
  <dc:creator>OpenAI</dc:creator>
  <cp:keywords>HPEE, evidence fusion, source attribution, pollution, GIS, ML, FastAPI, PostGIS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