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C3C3C"/>
          <w:sz w:val="28"/>
        </w:rPr>
        <w:t>HPEE</w:t>
      </w:r>
    </w:p>
    <w:p>
      <w:pPr>
        <w:jc w:val="center"/>
      </w:pPr>
      <w:r>
        <w:rPr>
          <w:b/>
          <w:sz w:val="60"/>
        </w:rPr>
        <w:t>Database Implementation Plan</w:t>
      </w:r>
    </w:p>
    <w:p>
      <w:pPr>
        <w:jc w:val="center"/>
      </w:pPr>
      <w:r>
        <w:rPr>
          <w:sz w:val="32"/>
        </w:rPr>
        <w:t>Hyperlocal Pollution Evidence Engine</w:t>
      </w:r>
    </w:p>
    <w:p>
      <w:pPr>
        <w:jc w:val="center"/>
      </w:pPr>
      <w:r>
        <w:rPr>
          <w:sz w:val="20"/>
        </w:rPr>
        <w:t>Team: Fifty Shades of Cache  |  Database: PostgreSQL + PostGIS  |  Version: v0.1</w:t>
      </w:r>
    </w:p>
    <w:p>
      <w:pPr>
        <w:jc w:val="center"/>
      </w:pPr>
      <w:r>
        <w:rPr>
          <w:i/>
          <w:sz w:val="20"/>
        </w:rPr>
        <w:t>Purpose: a reproducible, collaborative database build that supports sensor ingestion, geospatial analysis, pollution-event intelligence, evidence generation and GSPCB complaint workflow.</w:t>
      </w:r>
    </w:p>
    <w:p>
      <w:pPr>
        <w:pStyle w:val="Heading1"/>
      </w:pPr>
      <w:r>
        <w:t>1. What this document is for</w:t>
      </w:r>
    </w:p>
    <w:p>
      <w:r>
        <w:t>This is the implementation playbook for the teammate/AI agent responsible for creating HPEE's database. The goal is not just to create tables once. The database must be reproducible, versioned, safe for parallel development, and compatible with the FastAPI backend, ML/GIS engines, sensor nodes and frontend.</w:t>
      </w:r>
    </w:p>
    <w:p>
      <w:r>
        <w:t>The project specification describes a low-cost distributed sensing system that captures PM2.5, SO2 and wind data, correlates events with industrial schedules, performs source-direction inference, and produces a pre-filled GSPCB Form-A complaint. The pitch deck also defines the hardware/software split, core engines and stack. This plan keeps the database aligned to that architecture. (project deck, problem/solution section)</w:t>
      </w:r>
    </w:p>
    <w:p>
      <w:pPr>
        <w:pStyle w:val="Heading1"/>
      </w:pPr>
      <w:r>
        <w:t>2. Target architecture</w:t>
      </w:r>
    </w:p>
    <w:p>
      <w:r>
        <w:t>Use a contract-first architecture. Do not let the database become an ad-hoc shared file or a collection of manual SQL edits.</w:t>
      </w:r>
    </w:p>
    <w:p>
      <w:r>
        <w:t>Frontend (Next.js) → FastAPI → SQLAlchemy → PostgreSQL + PostGIS. Sensor nodes and simulators send telemetry through MQTT/HTTP. External weather and industrial datasets are ingested by backend services. ML/GIS engines read normalized data and write derived results back to separate tables.</w:t>
      </w:r>
    </w:p>
    <w:p>
      <w:r>
        <w:t>The existing project deck identifies PostgreSQL, PostGIS and TimescaleDB, with MQTT/HTTP/REST/WebSockets as communications and Next.js/FastAPI as the UI/backend stack. (project deck, technology stack section)</w:t>
      </w:r>
    </w:p>
    <w:p>
      <w:pPr>
        <w:pStyle w:val="Heading1"/>
      </w:pPr>
      <w:r>
        <w:t>3. Rules to freeze before coding</w:t>
      </w:r>
    </w:p>
    <w:p>
      <w:pPr>
        <w:pStyle w:val="ListBullet"/>
      </w:pPr>
      <w:r>
        <w:t>PostgreSQL is the system of record. PostGIS is used for geographic data.</w:t>
      </w:r>
    </w:p>
    <w:p>
      <w:pPr>
        <w:pStyle w:val="ListBullet"/>
      </w:pPr>
      <w:r>
        <w:t>Alembic migrations are the only approved mechanism for schema changes.</w:t>
      </w:r>
    </w:p>
    <w:p>
      <w:pPr>
        <w:pStyle w:val="ListBullet"/>
      </w:pPr>
      <w:r>
        <w:t>Raw sensor observations are never overwritten by ML outputs.</w:t>
      </w:r>
    </w:p>
    <w:p>
      <w:pPr>
        <w:pStyle w:val="ListBullet"/>
      </w:pPr>
      <w:r>
        <w:t>Derived intelligence is stored separately from raw measurements.</w:t>
      </w:r>
    </w:p>
    <w:p>
      <w:pPr>
        <w:pStyle w:val="ListBullet"/>
      </w:pPr>
      <w:r>
        <w:t>All timestamps are TIMESTAMPTZ and stored in UTC.</w:t>
      </w:r>
    </w:p>
    <w:p>
      <w:pPr>
        <w:pStyle w:val="ListBullet"/>
      </w:pPr>
      <w:r>
        <w:t>Latitude/longitude are stored as PostGIS Geography(Point, 4326), not strings.</w:t>
      </w:r>
    </w:p>
    <w:p>
      <w:pPr>
        <w:pStyle w:val="ListBullet"/>
      </w:pPr>
      <w:r>
        <w:t>Most entity IDs are UUIDs; high-volume telemetry can use BIGSERIAL/BIGINT.</w:t>
      </w:r>
    </w:p>
    <w:p>
      <w:pPr>
        <w:pStyle w:val="ListBullet"/>
      </w:pPr>
      <w:r>
        <w:t>The frontend never connects directly to PostgreSQL; it only uses backend APIs/WebSockets.</w:t>
      </w:r>
    </w:p>
    <w:p>
      <w:pPr>
        <w:pStyle w:val="ListBullet"/>
      </w:pPr>
      <w:r>
        <w:t>AI agents must not invent new fields, routes, tables or enum values without updating the shared specification.</w:t>
      </w:r>
    </w:p>
    <w:p>
      <w:pPr>
        <w:pStyle w:val="ListBullet"/>
      </w:pPr>
      <w:r>
        <w:t>A local Docker database must be recreatable from the repository in a clean environment.</w:t>
      </w:r>
    </w:p>
    <w:p>
      <w:pPr>
        <w:pStyle w:val="Heading1"/>
      </w:pPr>
      <w:r>
        <w:t>4. Tooling to install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2A"/>
          </w:tcPr>
          <w:p>
            <w:r>
              <w:rPr>
                <w:color w:val="FFFFFF"/>
              </w:rPr>
            </w:r>
            <w:r>
              <w:rPr>
                <w:b/>
                <w:color w:val="FFFFFF"/>
                <w:sz w:val="18"/>
              </w:rPr>
              <w:t>Tool</w:t>
            </w:r>
          </w:p>
        </w:tc>
        <w:tc>
          <w:tcPr>
            <w:tcW w:type="dxa" w:w="3408"/>
            <w:vAlign w:val="center"/>
            <w:shd w:fill="17202A"/>
          </w:tcPr>
          <w:p>
            <w:r>
              <w:rPr>
                <w:color w:val="FFFFFF"/>
              </w:rPr>
            </w:r>
            <w:r>
              <w:rPr>
                <w:b/>
                <w:color w:val="FFFFFF"/>
                <w:sz w:val="18"/>
              </w:rPr>
              <w:t>Purpose</w:t>
            </w:r>
          </w:p>
        </w:tc>
        <w:tc>
          <w:tcPr>
            <w:tcW w:type="dxa" w:w="3408"/>
            <w:vAlign w:val="center"/>
            <w:shd w:fill="17202A"/>
          </w:tcPr>
          <w:p>
            <w:r>
              <w:rPr>
                <w:color w:val="FFFFFF"/>
              </w:rPr>
            </w:r>
            <w:r>
              <w:rPr>
                <w:b/>
                <w:color w:val="FFFFFF"/>
                <w:sz w:val="18"/>
              </w:rPr>
              <w:t>Required</w:t>
            </w:r>
          </w:p>
        </w:tc>
      </w:tr>
      <w:tr>
        <w:tc>
          <w:tcPr>
            <w:tcW w:type="dxa" w:w="3408"/>
            <w:vAlign w:val="center"/>
          </w:tcPr>
          <w:p>
            <w:r/>
            <w:r>
              <w:rPr>
                <w:b w:val="0"/>
                <w:sz w:val="17"/>
              </w:rPr>
              <w:t>Git + GitHub</w:t>
            </w:r>
          </w:p>
        </w:tc>
        <w:tc>
          <w:tcPr>
            <w:tcW w:type="dxa" w:w="3408"/>
            <w:vAlign w:val="center"/>
          </w:tcPr>
          <w:p>
            <w:r/>
            <w:r>
              <w:rPr>
                <w:b w:val="0"/>
                <w:sz w:val="17"/>
              </w:rPr>
              <w:t>Source control, branches, code review</w:t>
            </w:r>
          </w:p>
        </w:tc>
        <w:tc>
          <w:tcPr>
            <w:tcW w:type="dxa" w:w="3408"/>
            <w:vAlign w:val="center"/>
          </w:tcPr>
          <w:p>
            <w:r/>
            <w:r>
              <w:rPr>
                <w:b w:val="0"/>
                <w:sz w:val="17"/>
              </w:rPr>
              <w:t>Yes</w:t>
            </w:r>
          </w:p>
        </w:tc>
      </w:tr>
      <w:tr>
        <w:tc>
          <w:tcPr>
            <w:tcW w:type="dxa" w:w="3408"/>
            <w:vAlign w:val="center"/>
          </w:tcPr>
          <w:p>
            <w:r/>
            <w:r>
              <w:rPr>
                <w:b w:val="0"/>
                <w:sz w:val="17"/>
              </w:rPr>
              <w:t>Docker Desktop</w:t>
            </w:r>
          </w:p>
        </w:tc>
        <w:tc>
          <w:tcPr>
            <w:tcW w:type="dxa" w:w="3408"/>
            <w:vAlign w:val="center"/>
          </w:tcPr>
          <w:p>
            <w:r/>
            <w:r>
              <w:rPr>
                <w:b w:val="0"/>
                <w:sz w:val="17"/>
              </w:rPr>
              <w:t>Runs PostgreSQL + PostGIS consistently</w:t>
            </w:r>
          </w:p>
        </w:tc>
        <w:tc>
          <w:tcPr>
            <w:tcW w:type="dxa" w:w="3408"/>
            <w:vAlign w:val="center"/>
          </w:tcPr>
          <w:p>
            <w:r/>
            <w:r>
              <w:rPr>
                <w:b w:val="0"/>
                <w:sz w:val="17"/>
              </w:rPr>
              <w:t>Yes</w:t>
            </w:r>
          </w:p>
        </w:tc>
      </w:tr>
      <w:tr>
        <w:tc>
          <w:tcPr>
            <w:tcW w:type="dxa" w:w="3408"/>
            <w:vAlign w:val="center"/>
          </w:tcPr>
          <w:p>
            <w:r/>
            <w:r>
              <w:rPr>
                <w:b w:val="0"/>
                <w:sz w:val="17"/>
              </w:rPr>
              <w:t>VS Code</w:t>
            </w:r>
          </w:p>
        </w:tc>
        <w:tc>
          <w:tcPr>
            <w:tcW w:type="dxa" w:w="3408"/>
            <w:vAlign w:val="center"/>
          </w:tcPr>
          <w:p>
            <w:r/>
            <w:r>
              <w:rPr>
                <w:b w:val="0"/>
                <w:sz w:val="17"/>
              </w:rPr>
              <w:t>Primary development environment</w:t>
            </w:r>
          </w:p>
        </w:tc>
        <w:tc>
          <w:tcPr>
            <w:tcW w:type="dxa" w:w="3408"/>
            <w:vAlign w:val="center"/>
          </w:tcPr>
          <w:p>
            <w:r/>
            <w:r>
              <w:rPr>
                <w:b w:val="0"/>
                <w:sz w:val="17"/>
              </w:rPr>
              <w:t>Yes</w:t>
            </w:r>
          </w:p>
        </w:tc>
      </w:tr>
      <w:tr>
        <w:tc>
          <w:tcPr>
            <w:tcW w:type="dxa" w:w="3408"/>
            <w:vAlign w:val="center"/>
          </w:tcPr>
          <w:p>
            <w:r/>
            <w:r>
              <w:rPr>
                <w:b w:val="0"/>
                <w:sz w:val="17"/>
              </w:rPr>
              <w:t>Python 3.12+</w:t>
            </w:r>
          </w:p>
        </w:tc>
        <w:tc>
          <w:tcPr>
            <w:tcW w:type="dxa" w:w="3408"/>
            <w:vAlign w:val="center"/>
          </w:tcPr>
          <w:p>
            <w:r/>
            <w:r>
              <w:rPr>
                <w:b w:val="0"/>
                <w:sz w:val="17"/>
              </w:rPr>
              <w:t>FastAPI/SQLAlchemy/Alembic tooling</w:t>
            </w:r>
          </w:p>
        </w:tc>
        <w:tc>
          <w:tcPr>
            <w:tcW w:type="dxa" w:w="3408"/>
            <w:vAlign w:val="center"/>
          </w:tcPr>
          <w:p>
            <w:r/>
            <w:r>
              <w:rPr>
                <w:b w:val="0"/>
                <w:sz w:val="17"/>
              </w:rPr>
              <w:t>Yes</w:t>
            </w:r>
          </w:p>
        </w:tc>
      </w:tr>
      <w:tr>
        <w:tc>
          <w:tcPr>
            <w:tcW w:type="dxa" w:w="3408"/>
            <w:vAlign w:val="center"/>
          </w:tcPr>
          <w:p>
            <w:r/>
            <w:r>
              <w:rPr>
                <w:b w:val="0"/>
                <w:sz w:val="17"/>
              </w:rPr>
              <w:t>DBeaver Community</w:t>
            </w:r>
          </w:p>
        </w:tc>
        <w:tc>
          <w:tcPr>
            <w:tcW w:type="dxa" w:w="3408"/>
            <w:vAlign w:val="center"/>
          </w:tcPr>
          <w:p>
            <w:r/>
            <w:r>
              <w:rPr>
                <w:b w:val="0"/>
                <w:sz w:val="17"/>
              </w:rPr>
              <w:t>Inspect schema, data, indexes and spatial values</w:t>
            </w:r>
          </w:p>
        </w:tc>
        <w:tc>
          <w:tcPr>
            <w:tcW w:type="dxa" w:w="3408"/>
            <w:vAlign w:val="center"/>
          </w:tcPr>
          <w:p>
            <w:r/>
            <w:r>
              <w:rPr>
                <w:b w:val="0"/>
                <w:sz w:val="17"/>
              </w:rPr>
              <w:t>Recommended</w:t>
            </w:r>
          </w:p>
        </w:tc>
      </w:tr>
      <w:tr>
        <w:tc>
          <w:tcPr>
            <w:tcW w:type="dxa" w:w="3408"/>
            <w:vAlign w:val="center"/>
          </w:tcPr>
          <w:p>
            <w:r/>
            <w:r>
              <w:rPr>
                <w:b w:val="0"/>
                <w:sz w:val="17"/>
              </w:rPr>
              <w:t>Postman or Bruno</w:t>
            </w:r>
          </w:p>
        </w:tc>
        <w:tc>
          <w:tcPr>
            <w:tcW w:type="dxa" w:w="3408"/>
            <w:vAlign w:val="center"/>
          </w:tcPr>
          <w:p>
            <w:r/>
            <w:r>
              <w:rPr>
                <w:b w:val="0"/>
                <w:sz w:val="17"/>
              </w:rPr>
              <w:t>Test REST endpoints once API exists</w:t>
            </w:r>
          </w:p>
        </w:tc>
        <w:tc>
          <w:tcPr>
            <w:tcW w:type="dxa" w:w="3408"/>
            <w:vAlign w:val="center"/>
          </w:tcPr>
          <w:p>
            <w:r/>
            <w:r>
              <w:rPr>
                <w:b w:val="0"/>
                <w:sz w:val="17"/>
              </w:rPr>
              <w:t>Recommended</w:t>
            </w:r>
          </w:p>
        </w:tc>
      </w:tr>
    </w:tbl>
    <w:p>
      <w:r>
        <w:t>DBeaver is a development/inspection tool, not the source of truth. Never rely on GUI-only schema edits.</w:t>
      </w:r>
    </w:p>
    <w:p>
      <w:pPr>
        <w:pStyle w:val="Heading1"/>
      </w:pPr>
      <w:r>
        <w:t>5. Repository layout</w:t>
      </w:r>
    </w:p>
    <w:p>
      <w:pPr/>
      <w:r>
        <w:t>Create or confirm this structure before the database agent starts:</w:t>
      </w:r>
    </w:p>
    <w:p>
      <w:pPr>
        <w:pStyle w:val="Code"/>
      </w:pPr>
      <w:r>
        <w:t>hpee/</w:t>
        <w:br/>
        <w:t>├── backend/</w:t>
        <w:br/>
        <w:t>│   └── app/</w:t>
        <w:br/>
        <w:t>│       ├── core/</w:t>
        <w:br/>
        <w:t>│       ├── db/</w:t>
        <w:br/>
        <w:t>│       ├── models/</w:t>
        <w:br/>
        <w:t>│       ├── schemas/</w:t>
        <w:br/>
        <w:t>│       ├── api/</w:t>
        <w:br/>
        <w:t>│       └── services/</w:t>
        <w:br/>
        <w:t>├── database/</w:t>
        <w:br/>
        <w:t>│   ├── seed/</w:t>
        <w:br/>
        <w:t>│   └── scripts/</w:t>
        <w:br/>
        <w:t>├── alembic/</w:t>
        <w:br/>
        <w:t>│   └── versions/</w:t>
        <w:br/>
        <w:t>├── docs/</w:t>
        <w:br/>
        <w:t>│   ├── DATABASE_CONTRACT.md</w:t>
        <w:br/>
        <w:t>│   ├── API_CONTRACT.md</w:t>
        <w:br/>
        <w:t>│   └── SYSTEM_ARCHITECTURE.md</w:t>
        <w:br/>
        <w:t>├── docker-compose.yml</w:t>
        <w:br/>
        <w:t>├── .env.example</w:t>
        <w:br/>
        <w:t>├── .gitignore</w:t>
        <w:br/>
        <w:t>└── README.md</w:t>
      </w:r>
    </w:p>
    <w:p>
      <w:pPr>
        <w:pStyle w:val="Heading1"/>
      </w:pPr>
      <w:r>
        <w:t>6. Local database setup</w:t>
      </w:r>
    </w:p>
    <w:p>
      <w:r>
        <w:t>Use a PostGIS-enabled PostgreSQL container. For the first shared development version, do not add production-grade clustering, Kubernetes or complicated distributed storage. Keep the database easy to reproduce.</w:t>
      </w:r>
    </w:p>
    <w:p>
      <w:pPr/>
      <w:r>
        <w:t>docker-compose.yml:</w:t>
      </w:r>
    </w:p>
    <w:p>
      <w:pPr>
        <w:pStyle w:val="Code"/>
      </w:pPr>
      <w:r>
        <w:t>services:</w:t>
        <w:br/>
        <w:t xml:space="preserve">  postgres:</w:t>
        <w:br/>
        <w:t xml:space="preserve">    image: postgis/postgis:17-3.5</w:t>
        <w:br/>
        <w:t xml:space="preserve">    container_name: hpee-postgres</w:t>
        <w:br/>
        <w:t xml:space="preserve">    restart: unless-stopped</w:t>
        <w:br/>
        <w:t xml:space="preserve">    environment:</w:t>
        <w:br/>
        <w:t xml:space="preserve">      POSTGRES_DB: hpee</w:t>
        <w:br/>
        <w:t xml:space="preserve">      POSTGRES_USER: hpee_admin</w:t>
        <w:br/>
        <w:t xml:space="preserve">      POSTGRES_PASSWORD: hpee_dev_password</w:t>
        <w:br/>
        <w:t xml:space="preserve">    ports:</w:t>
        <w:br/>
        <w:t xml:space="preserve">      - "5432:5432"</w:t>
        <w:br/>
        <w:t xml:space="preserve">    volumes:</w:t>
        <w:br/>
        <w:t xml:space="preserve">      - hpee_postgres_data:/var/lib/postgresql/data</w:t>
        <w:br/>
        <w:br/>
        <w:t>volumes:</w:t>
        <w:br/>
        <w:t xml:space="preserve">  hpee_postgres_data:</w:t>
      </w:r>
    </w:p>
    <w:p>
      <w:r>
        <w:t>Start it with:</w:t>
      </w:r>
    </w:p>
    <w:p>
      <w:pPr>
        <w:pStyle w:val="Code"/>
      </w:pPr>
      <w:r>
        <w:t>docker compose up -d</w:t>
      </w:r>
    </w:p>
    <w:p>
      <w:r>
        <w:t>Then connect using localhost:5432, database hpee, user hpee_admin. Enable PostGIS and pgcrypto once per database:</w:t>
      </w:r>
    </w:p>
    <w:p>
      <w:pPr>
        <w:pStyle w:val="Code"/>
      </w:pPr>
      <w:r>
        <w:t>CREATE EXTENSION IF NOT EXISTS postgis;</w:t>
        <w:br/>
        <w:t>CREATE EXTENSION IF NOT EXISTS pgcrypto;</w:t>
      </w:r>
    </w:p>
    <w:p>
      <w:pPr>
        <w:pStyle w:val="Heading1"/>
      </w:pPr>
      <w:r>
        <w:t>7. Python database stack</w:t>
      </w:r>
    </w:p>
    <w:p>
      <w:r>
        <w:t>Install:</w:t>
      </w:r>
    </w:p>
    <w:p>
      <w:pPr>
        <w:pStyle w:val="Code"/>
      </w:pPr>
      <w:r>
        <w:t>pip install fastapi uvicorn sqlalchemy alembic "psycopg[binary]" geoalchemy2 pydantic pydantic-settings</w:t>
      </w:r>
    </w:p>
    <w:p>
      <w:r>
        <w:t>Use SQLAlchemy 2-style typed models. Use GeoAlchemy2 for PostGIS geography/geometry columns. Use Alembic for migrations. Keep connection strings in .env and provide .env.example without secrets.</w:t>
      </w:r>
    </w:p>
    <w:p>
      <w:pPr>
        <w:pStyle w:val="Heading1"/>
      </w:pPr>
      <w:r>
        <w:t>8. Schema to implement</w:t>
      </w:r>
    </w:p>
    <w:p>
      <w:r>
        <w:t>The friend building the schema should implement the following table set. The structure below is the approved baseline; later hardware changes should normally affect sensor configuration/ingestion, not the analytical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2A"/>
          </w:tcPr>
          <w:p>
            <w:r>
              <w:rPr>
                <w:color w:val="FFFFFF"/>
              </w:rPr>
            </w:r>
            <w:r>
              <w:rPr>
                <w:b/>
                <w:color w:val="FFFFFF"/>
                <w:sz w:val="18"/>
              </w:rPr>
              <w:t>Table</w:t>
            </w:r>
          </w:p>
        </w:tc>
        <w:tc>
          <w:tcPr>
            <w:tcW w:type="dxa" w:w="3408"/>
            <w:vAlign w:val="center"/>
            <w:shd w:fill="17202A"/>
          </w:tcPr>
          <w:p>
            <w:r>
              <w:rPr>
                <w:color w:val="FFFFFF"/>
              </w:rPr>
            </w:r>
            <w:r>
              <w:rPr>
                <w:b/>
                <w:color w:val="FFFFFF"/>
                <w:sz w:val="18"/>
              </w:rPr>
              <w:t>Role</w:t>
            </w:r>
          </w:p>
        </w:tc>
        <w:tc>
          <w:tcPr>
            <w:tcW w:type="dxa" w:w="3408"/>
            <w:vAlign w:val="center"/>
            <w:shd w:fill="17202A"/>
          </w:tcPr>
          <w:p>
            <w:r>
              <w:rPr>
                <w:color w:val="FFFFFF"/>
              </w:rPr>
            </w:r>
            <w:r>
              <w:rPr>
                <w:b/>
                <w:color w:val="FFFFFF"/>
                <w:sz w:val="18"/>
              </w:rPr>
              <w:t>Key</w:t>
            </w:r>
          </w:p>
        </w:tc>
      </w:tr>
      <w:tr>
        <w:tc>
          <w:tcPr>
            <w:tcW w:type="dxa" w:w="3408"/>
            <w:vAlign w:val="center"/>
          </w:tcPr>
          <w:p>
            <w:r/>
            <w:r>
              <w:rPr>
                <w:b w:val="0"/>
                <w:sz w:val="17"/>
              </w:rPr>
              <w:t>users</w:t>
            </w:r>
          </w:p>
        </w:tc>
        <w:tc>
          <w:tcPr>
            <w:tcW w:type="dxa" w:w="3408"/>
            <w:vAlign w:val="center"/>
          </w:tcPr>
          <w:p>
            <w:r/>
            <w:r>
              <w:rPr>
                <w:b w:val="0"/>
                <w:sz w:val="17"/>
              </w:rPr>
              <w:t>Roles and government/public accounts</w:t>
            </w:r>
          </w:p>
        </w:tc>
        <w:tc>
          <w:tcPr>
            <w:tcW w:type="dxa" w:w="3408"/>
            <w:vAlign w:val="center"/>
          </w:tcPr>
          <w:p>
            <w:r/>
            <w:r>
              <w:rPr>
                <w:b w:val="0"/>
                <w:sz w:val="17"/>
              </w:rPr>
              <w:t>user_id PK</w:t>
            </w:r>
          </w:p>
        </w:tc>
      </w:tr>
      <w:tr>
        <w:tc>
          <w:tcPr>
            <w:tcW w:type="dxa" w:w="3408"/>
            <w:vAlign w:val="center"/>
          </w:tcPr>
          <w:p>
            <w:r/>
            <w:r>
              <w:rPr>
                <w:b w:val="0"/>
                <w:sz w:val="17"/>
              </w:rPr>
              <w:t>villages</w:t>
            </w:r>
          </w:p>
        </w:tc>
        <w:tc>
          <w:tcPr>
            <w:tcW w:type="dxa" w:w="3408"/>
            <w:vAlign w:val="center"/>
          </w:tcPr>
          <w:p>
            <w:r/>
            <w:r>
              <w:rPr>
                <w:b w:val="0"/>
                <w:sz w:val="17"/>
              </w:rPr>
              <w:t>Village geography and metadata</w:t>
            </w:r>
          </w:p>
        </w:tc>
        <w:tc>
          <w:tcPr>
            <w:tcW w:type="dxa" w:w="3408"/>
            <w:vAlign w:val="center"/>
          </w:tcPr>
          <w:p>
            <w:r/>
            <w:r>
              <w:rPr>
                <w:b w:val="0"/>
                <w:sz w:val="17"/>
              </w:rPr>
              <w:t>village_id PK</w:t>
            </w:r>
          </w:p>
        </w:tc>
      </w:tr>
      <w:tr>
        <w:tc>
          <w:tcPr>
            <w:tcW w:type="dxa" w:w="3408"/>
            <w:vAlign w:val="center"/>
          </w:tcPr>
          <w:p>
            <w:r/>
            <w:r>
              <w:rPr>
                <w:b w:val="0"/>
                <w:sz w:val="17"/>
              </w:rPr>
              <w:t>sensor_nodes</w:t>
            </w:r>
          </w:p>
        </w:tc>
        <w:tc>
          <w:tcPr>
            <w:tcW w:type="dxa" w:w="3408"/>
            <w:vAlign w:val="center"/>
          </w:tcPr>
          <w:p>
            <w:r/>
            <w:r>
              <w:rPr>
                <w:b w:val="0"/>
                <w:sz w:val="17"/>
              </w:rPr>
              <w:t>One row per deployed node</w:t>
            </w:r>
          </w:p>
        </w:tc>
        <w:tc>
          <w:tcPr>
            <w:tcW w:type="dxa" w:w="3408"/>
            <w:vAlign w:val="center"/>
          </w:tcPr>
          <w:p>
            <w:r/>
            <w:r>
              <w:rPr>
                <w:b w:val="0"/>
                <w:sz w:val="17"/>
              </w:rPr>
              <w:t>node_id PK</w:t>
            </w:r>
          </w:p>
        </w:tc>
      </w:tr>
      <w:tr>
        <w:tc>
          <w:tcPr>
            <w:tcW w:type="dxa" w:w="3408"/>
            <w:vAlign w:val="center"/>
          </w:tcPr>
          <w:p>
            <w:r/>
            <w:r>
              <w:rPr>
                <w:b w:val="0"/>
                <w:sz w:val="17"/>
              </w:rPr>
              <w:t>sensor_configurations</w:t>
            </w:r>
          </w:p>
        </w:tc>
        <w:tc>
          <w:tcPr>
            <w:tcW w:type="dxa" w:w="3408"/>
            <w:vAlign w:val="center"/>
          </w:tcPr>
          <w:p>
            <w:r/>
            <w:r>
              <w:rPr>
                <w:b w:val="0"/>
                <w:sz w:val="17"/>
              </w:rPr>
              <w:t>Sensor model/type/calibration per node</w:t>
            </w:r>
          </w:p>
        </w:tc>
        <w:tc>
          <w:tcPr>
            <w:tcW w:type="dxa" w:w="3408"/>
            <w:vAlign w:val="center"/>
          </w:tcPr>
          <w:p>
            <w:r/>
            <w:r>
              <w:rPr>
                <w:b w:val="0"/>
                <w:sz w:val="17"/>
              </w:rPr>
              <w:t>configuration_id PK; node_id FK</w:t>
            </w:r>
          </w:p>
        </w:tc>
      </w:tr>
      <w:tr>
        <w:tc>
          <w:tcPr>
            <w:tcW w:type="dxa" w:w="3408"/>
            <w:vAlign w:val="center"/>
          </w:tcPr>
          <w:p>
            <w:r/>
            <w:r>
              <w:rPr>
                <w:b w:val="0"/>
                <w:sz w:val="17"/>
              </w:rPr>
              <w:t>sensor_readings</w:t>
            </w:r>
          </w:p>
        </w:tc>
        <w:tc>
          <w:tcPr>
            <w:tcW w:type="dxa" w:w="3408"/>
            <w:vAlign w:val="center"/>
          </w:tcPr>
          <w:p>
            <w:r/>
            <w:r>
              <w:rPr>
                <w:b w:val="0"/>
                <w:sz w:val="17"/>
              </w:rPr>
              <w:t>Raw telemetry observations</w:t>
            </w:r>
          </w:p>
        </w:tc>
        <w:tc>
          <w:tcPr>
            <w:tcW w:type="dxa" w:w="3408"/>
            <w:vAlign w:val="center"/>
          </w:tcPr>
          <w:p>
            <w:r/>
            <w:r>
              <w:rPr>
                <w:b w:val="0"/>
                <w:sz w:val="17"/>
              </w:rPr>
              <w:t>reading_id PK; node_id FK</w:t>
            </w:r>
          </w:p>
        </w:tc>
      </w:tr>
      <w:tr>
        <w:tc>
          <w:tcPr>
            <w:tcW w:type="dxa" w:w="3408"/>
            <w:vAlign w:val="center"/>
          </w:tcPr>
          <w:p>
            <w:r/>
            <w:r>
              <w:rPr>
                <w:b w:val="0"/>
                <w:sz w:val="17"/>
              </w:rPr>
              <w:t>pollution_events</w:t>
            </w:r>
          </w:p>
        </w:tc>
        <w:tc>
          <w:tcPr>
            <w:tcW w:type="dxa" w:w="3408"/>
            <w:vAlign w:val="center"/>
          </w:tcPr>
          <w:p>
            <w:r/>
            <w:r>
              <w:rPr>
                <w:b w:val="0"/>
                <w:sz w:val="17"/>
              </w:rPr>
              <w:t>Detected abnormal episodes</w:t>
            </w:r>
          </w:p>
        </w:tc>
        <w:tc>
          <w:tcPr>
            <w:tcW w:type="dxa" w:w="3408"/>
            <w:vAlign w:val="center"/>
          </w:tcPr>
          <w:p>
            <w:r/>
            <w:r>
              <w:rPr>
                <w:b w:val="0"/>
                <w:sz w:val="17"/>
              </w:rPr>
              <w:t>event_id PK</w:t>
            </w:r>
          </w:p>
        </w:tc>
      </w:tr>
      <w:tr>
        <w:tc>
          <w:tcPr>
            <w:tcW w:type="dxa" w:w="3408"/>
            <w:vAlign w:val="center"/>
          </w:tcPr>
          <w:p>
            <w:r/>
            <w:r>
              <w:rPr>
                <w:b w:val="0"/>
                <w:sz w:val="17"/>
              </w:rPr>
              <w:t>event_readings</w:t>
            </w:r>
          </w:p>
        </w:tc>
        <w:tc>
          <w:tcPr>
            <w:tcW w:type="dxa" w:w="3408"/>
            <w:vAlign w:val="center"/>
          </w:tcPr>
          <w:p>
            <w:r/>
            <w:r>
              <w:rPr>
                <w:b w:val="0"/>
                <w:sz w:val="17"/>
              </w:rPr>
              <w:t>Many-to-many event→readings</w:t>
            </w:r>
          </w:p>
        </w:tc>
        <w:tc>
          <w:tcPr>
            <w:tcW w:type="dxa" w:w="3408"/>
            <w:vAlign w:val="center"/>
          </w:tcPr>
          <w:p>
            <w:r/>
            <w:r>
              <w:rPr>
                <w:b w:val="0"/>
                <w:sz w:val="17"/>
              </w:rPr>
              <w:t>(event_id, reading_id) PK</w:t>
            </w:r>
          </w:p>
        </w:tc>
      </w:tr>
      <w:tr>
        <w:tc>
          <w:tcPr>
            <w:tcW w:type="dxa" w:w="3408"/>
            <w:vAlign w:val="center"/>
          </w:tcPr>
          <w:p>
            <w:r/>
            <w:r>
              <w:rPr>
                <w:b w:val="0"/>
                <w:sz w:val="17"/>
              </w:rPr>
              <w:t>industrial_sites</w:t>
            </w:r>
          </w:p>
        </w:tc>
        <w:tc>
          <w:tcPr>
            <w:tcW w:type="dxa" w:w="3408"/>
            <w:vAlign w:val="center"/>
          </w:tcPr>
          <w:p>
            <w:r/>
            <w:r>
              <w:rPr>
                <w:b w:val="0"/>
                <w:sz w:val="17"/>
              </w:rPr>
              <w:t>Potential emission sources</w:t>
            </w:r>
          </w:p>
        </w:tc>
        <w:tc>
          <w:tcPr>
            <w:tcW w:type="dxa" w:w="3408"/>
            <w:vAlign w:val="center"/>
          </w:tcPr>
          <w:p>
            <w:r/>
            <w:r>
              <w:rPr>
                <w:b w:val="0"/>
                <w:sz w:val="17"/>
              </w:rPr>
              <w:t>industry_id PK</w:t>
            </w:r>
          </w:p>
        </w:tc>
      </w:tr>
      <w:tr>
        <w:tc>
          <w:tcPr>
            <w:tcW w:type="dxa" w:w="3408"/>
            <w:vAlign w:val="center"/>
          </w:tcPr>
          <w:p>
            <w:r/>
            <w:r>
              <w:rPr>
                <w:b w:val="0"/>
                <w:sz w:val="17"/>
              </w:rPr>
              <w:t>industrial_activity</w:t>
            </w:r>
          </w:p>
        </w:tc>
        <w:tc>
          <w:tcPr>
            <w:tcW w:type="dxa" w:w="3408"/>
            <w:vAlign w:val="center"/>
          </w:tcPr>
          <w:p>
            <w:r/>
            <w:r>
              <w:rPr>
                <w:b w:val="0"/>
                <w:sz w:val="17"/>
              </w:rPr>
              <w:t>Operating/activity windows</w:t>
            </w:r>
          </w:p>
        </w:tc>
        <w:tc>
          <w:tcPr>
            <w:tcW w:type="dxa" w:w="3408"/>
            <w:vAlign w:val="center"/>
          </w:tcPr>
          <w:p>
            <w:r/>
            <w:r>
              <w:rPr>
                <w:b w:val="0"/>
                <w:sz w:val="17"/>
              </w:rPr>
              <w:t>activity_id PK; industry_id FK</w:t>
            </w:r>
          </w:p>
        </w:tc>
      </w:tr>
      <w:tr>
        <w:tc>
          <w:tcPr>
            <w:tcW w:type="dxa" w:w="3408"/>
            <w:vAlign w:val="center"/>
          </w:tcPr>
          <w:p>
            <w:r/>
            <w:r>
              <w:rPr>
                <w:b w:val="0"/>
                <w:sz w:val="17"/>
              </w:rPr>
              <w:t>weather_observations</w:t>
            </w:r>
          </w:p>
        </w:tc>
        <w:tc>
          <w:tcPr>
            <w:tcW w:type="dxa" w:w="3408"/>
            <w:vAlign w:val="center"/>
          </w:tcPr>
          <w:p>
            <w:r/>
            <w:r>
              <w:rPr>
                <w:b w:val="0"/>
                <w:sz w:val="17"/>
              </w:rPr>
              <w:t>External meteorological observations</w:t>
            </w:r>
          </w:p>
        </w:tc>
        <w:tc>
          <w:tcPr>
            <w:tcW w:type="dxa" w:w="3408"/>
            <w:vAlign w:val="center"/>
          </w:tcPr>
          <w:p>
            <w:r/>
            <w:r>
              <w:rPr>
                <w:b w:val="0"/>
                <w:sz w:val="17"/>
              </w:rPr>
              <w:t>weather_id PK</w:t>
            </w:r>
          </w:p>
        </w:tc>
      </w:tr>
      <w:tr>
        <w:tc>
          <w:tcPr>
            <w:tcW w:type="dxa" w:w="3408"/>
            <w:vAlign w:val="center"/>
          </w:tcPr>
          <w:p>
            <w:r/>
            <w:r>
              <w:rPr>
                <w:b w:val="0"/>
                <w:sz w:val="17"/>
              </w:rPr>
              <w:t>event_classifications</w:t>
            </w:r>
          </w:p>
        </w:tc>
        <w:tc>
          <w:tcPr>
            <w:tcW w:type="dxa" w:w="3408"/>
            <w:vAlign w:val="center"/>
          </w:tcPr>
          <w:p>
            <w:r/>
            <w:r>
              <w:rPr>
                <w:b w:val="0"/>
                <w:sz w:val="17"/>
              </w:rPr>
              <w:t>Industrial/agri/seasonal/etc. classifier output</w:t>
            </w:r>
          </w:p>
        </w:tc>
        <w:tc>
          <w:tcPr>
            <w:tcW w:type="dxa" w:w="3408"/>
            <w:vAlign w:val="center"/>
          </w:tcPr>
          <w:p>
            <w:r/>
            <w:r>
              <w:rPr>
                <w:b w:val="0"/>
                <w:sz w:val="17"/>
              </w:rPr>
              <w:t>classification_id PK; event_id FK</w:t>
            </w:r>
          </w:p>
        </w:tc>
      </w:tr>
      <w:tr>
        <w:tc>
          <w:tcPr>
            <w:tcW w:type="dxa" w:w="3408"/>
            <w:vAlign w:val="center"/>
          </w:tcPr>
          <w:p>
            <w:r/>
            <w:r>
              <w:rPr>
                <w:b w:val="0"/>
                <w:sz w:val="17"/>
              </w:rPr>
              <w:t>source_attributions</w:t>
            </w:r>
          </w:p>
        </w:tc>
        <w:tc>
          <w:tcPr>
            <w:tcW w:type="dxa" w:w="3408"/>
            <w:vAlign w:val="center"/>
          </w:tcPr>
          <w:p>
            <w:r/>
            <w:r>
              <w:rPr>
                <w:b w:val="0"/>
                <w:sz w:val="17"/>
              </w:rPr>
              <w:t>Ranked probable source candidates</w:t>
            </w:r>
          </w:p>
        </w:tc>
        <w:tc>
          <w:tcPr>
            <w:tcW w:type="dxa" w:w="3408"/>
            <w:vAlign w:val="center"/>
          </w:tcPr>
          <w:p>
            <w:r/>
            <w:r>
              <w:rPr>
                <w:b w:val="0"/>
                <w:sz w:val="17"/>
              </w:rPr>
              <w:t>attribution_id PK; event_id/industry_id FK</w:t>
            </w:r>
          </w:p>
        </w:tc>
      </w:tr>
      <w:tr>
        <w:tc>
          <w:tcPr>
            <w:tcW w:type="dxa" w:w="3408"/>
            <w:vAlign w:val="center"/>
          </w:tcPr>
          <w:p>
            <w:r/>
            <w:r>
              <w:rPr>
                <w:b w:val="0"/>
                <w:sz w:val="17"/>
              </w:rPr>
              <w:t>evidence_records</w:t>
            </w:r>
          </w:p>
        </w:tc>
        <w:tc>
          <w:tcPr>
            <w:tcW w:type="dxa" w:w="3408"/>
            <w:vAlign w:val="center"/>
          </w:tcPr>
          <w:p>
            <w:r/>
            <w:r>
              <w:rPr>
                <w:b w:val="0"/>
                <w:sz w:val="17"/>
              </w:rPr>
              <w:t>Atomic pieces of evidence</w:t>
            </w:r>
          </w:p>
        </w:tc>
        <w:tc>
          <w:tcPr>
            <w:tcW w:type="dxa" w:w="3408"/>
            <w:vAlign w:val="center"/>
          </w:tcPr>
          <w:p>
            <w:r/>
            <w:r>
              <w:rPr>
                <w:b w:val="0"/>
                <w:sz w:val="17"/>
              </w:rPr>
              <w:t>evidence_id PK; event_id FK</w:t>
            </w:r>
          </w:p>
        </w:tc>
      </w:tr>
      <w:tr>
        <w:tc>
          <w:tcPr>
            <w:tcW w:type="dxa" w:w="3408"/>
            <w:vAlign w:val="center"/>
          </w:tcPr>
          <w:p>
            <w:r/>
            <w:r>
              <w:rPr>
                <w:b w:val="0"/>
                <w:sz w:val="17"/>
              </w:rPr>
              <w:t>evidence_snapshots</w:t>
            </w:r>
          </w:p>
        </w:tc>
        <w:tc>
          <w:tcPr>
            <w:tcW w:type="dxa" w:w="3408"/>
            <w:vAlign w:val="center"/>
          </w:tcPr>
          <w:p>
            <w:r/>
            <w:r>
              <w:rPr>
                <w:b w:val="0"/>
                <w:sz w:val="17"/>
              </w:rPr>
              <w:t>Immutable evidence artifacts/maps/charts</w:t>
            </w:r>
          </w:p>
        </w:tc>
        <w:tc>
          <w:tcPr>
            <w:tcW w:type="dxa" w:w="3408"/>
            <w:vAlign w:val="center"/>
          </w:tcPr>
          <w:p>
            <w:r/>
            <w:r>
              <w:rPr>
                <w:b w:val="0"/>
                <w:sz w:val="17"/>
              </w:rPr>
              <w:t>snapshot_id PK; event_id FK</w:t>
            </w:r>
          </w:p>
        </w:tc>
      </w:tr>
      <w:tr>
        <w:tc>
          <w:tcPr>
            <w:tcW w:type="dxa" w:w="3408"/>
            <w:vAlign w:val="center"/>
          </w:tcPr>
          <w:p>
            <w:r/>
            <w:r>
              <w:rPr>
                <w:b w:val="0"/>
                <w:sz w:val="17"/>
              </w:rPr>
              <w:t>complaints</w:t>
            </w:r>
          </w:p>
        </w:tc>
        <w:tc>
          <w:tcPr>
            <w:tcW w:type="dxa" w:w="3408"/>
            <w:vAlign w:val="center"/>
          </w:tcPr>
          <w:p>
            <w:r/>
            <w:r>
              <w:rPr>
                <w:b w:val="0"/>
                <w:sz w:val="17"/>
              </w:rPr>
              <w:t>Complaint workflow</w:t>
            </w:r>
          </w:p>
        </w:tc>
        <w:tc>
          <w:tcPr>
            <w:tcW w:type="dxa" w:w="3408"/>
            <w:vAlign w:val="center"/>
          </w:tcPr>
          <w:p>
            <w:r/>
            <w:r>
              <w:rPr>
                <w:b w:val="0"/>
                <w:sz w:val="17"/>
              </w:rPr>
              <w:t>complaint_id PK; event_id/user/village FK</w:t>
            </w:r>
          </w:p>
        </w:tc>
      </w:tr>
      <w:tr>
        <w:tc>
          <w:tcPr>
            <w:tcW w:type="dxa" w:w="3408"/>
            <w:vAlign w:val="center"/>
          </w:tcPr>
          <w:p>
            <w:r/>
            <w:r>
              <w:rPr>
                <w:b w:val="0"/>
                <w:sz w:val="17"/>
              </w:rPr>
              <w:t>complaint_documents</w:t>
            </w:r>
          </w:p>
        </w:tc>
        <w:tc>
          <w:tcPr>
            <w:tcW w:type="dxa" w:w="3408"/>
            <w:vAlign w:val="center"/>
          </w:tcPr>
          <w:p>
            <w:r/>
            <w:r>
              <w:rPr>
                <w:b w:val="0"/>
                <w:sz w:val="17"/>
              </w:rPr>
              <w:t>Generated PDFs and versions</w:t>
            </w:r>
          </w:p>
        </w:tc>
        <w:tc>
          <w:tcPr>
            <w:tcW w:type="dxa" w:w="3408"/>
            <w:vAlign w:val="center"/>
          </w:tcPr>
          <w:p>
            <w:r/>
            <w:r>
              <w:rPr>
                <w:b w:val="0"/>
                <w:sz w:val="17"/>
              </w:rPr>
              <w:t>document_id PK; complaint_id/user FK</w:t>
            </w:r>
          </w:p>
        </w:tc>
      </w:tr>
      <w:tr>
        <w:tc>
          <w:tcPr>
            <w:tcW w:type="dxa" w:w="3408"/>
            <w:vAlign w:val="center"/>
          </w:tcPr>
          <w:p>
            <w:r/>
            <w:r>
              <w:rPr>
                <w:b w:val="0"/>
                <w:sz w:val="17"/>
              </w:rPr>
              <w:t>notifications</w:t>
            </w:r>
          </w:p>
        </w:tc>
        <w:tc>
          <w:tcPr>
            <w:tcW w:type="dxa" w:w="3408"/>
            <w:vAlign w:val="center"/>
          </w:tcPr>
          <w:p>
            <w:r/>
            <w:r>
              <w:rPr>
                <w:b w:val="0"/>
                <w:sz w:val="17"/>
              </w:rPr>
              <w:t>Web/SMS/WhatsApp/email messages</w:t>
            </w:r>
          </w:p>
        </w:tc>
        <w:tc>
          <w:tcPr>
            <w:tcW w:type="dxa" w:w="3408"/>
            <w:vAlign w:val="center"/>
          </w:tcPr>
          <w:p>
            <w:r/>
            <w:r>
              <w:rPr>
                <w:b w:val="0"/>
                <w:sz w:val="17"/>
              </w:rPr>
              <w:t>notification_id PK</w:t>
            </w:r>
          </w:p>
        </w:tc>
      </w:tr>
      <w:tr>
        <w:tc>
          <w:tcPr>
            <w:tcW w:type="dxa" w:w="3408"/>
            <w:vAlign w:val="center"/>
          </w:tcPr>
          <w:p>
            <w:r/>
            <w:r>
              <w:rPr>
                <w:b w:val="0"/>
                <w:sz w:val="17"/>
              </w:rPr>
              <w:t>maintenance_records</w:t>
            </w:r>
          </w:p>
        </w:tc>
        <w:tc>
          <w:tcPr>
            <w:tcW w:type="dxa" w:w="3408"/>
            <w:vAlign w:val="center"/>
          </w:tcPr>
          <w:p>
            <w:r/>
            <w:r>
              <w:rPr>
                <w:b w:val="0"/>
                <w:sz w:val="17"/>
              </w:rPr>
              <w:t>Node fault/maintenance workflow</w:t>
            </w:r>
          </w:p>
        </w:tc>
        <w:tc>
          <w:tcPr>
            <w:tcW w:type="dxa" w:w="3408"/>
            <w:vAlign w:val="center"/>
          </w:tcPr>
          <w:p>
            <w:r/>
            <w:r>
              <w:rPr>
                <w:b w:val="0"/>
                <w:sz w:val="17"/>
              </w:rPr>
              <w:t>maintenance_id PK</w:t>
            </w:r>
          </w:p>
        </w:tc>
      </w:tr>
      <w:tr>
        <w:tc>
          <w:tcPr>
            <w:tcW w:type="dxa" w:w="3408"/>
            <w:vAlign w:val="center"/>
          </w:tcPr>
          <w:p>
            <w:r/>
            <w:r>
              <w:rPr>
                <w:b w:val="0"/>
                <w:sz w:val="17"/>
              </w:rPr>
              <w:t>audit_logs</w:t>
            </w:r>
          </w:p>
        </w:tc>
        <w:tc>
          <w:tcPr>
            <w:tcW w:type="dxa" w:w="3408"/>
            <w:vAlign w:val="center"/>
          </w:tcPr>
          <w:p>
            <w:r/>
            <w:r>
              <w:rPr>
                <w:b w:val="0"/>
                <w:sz w:val="17"/>
              </w:rPr>
              <w:t>Traceability of important actions</w:t>
            </w:r>
          </w:p>
        </w:tc>
        <w:tc>
          <w:tcPr>
            <w:tcW w:type="dxa" w:w="3408"/>
            <w:vAlign w:val="center"/>
          </w:tcPr>
          <w:p>
            <w:r/>
            <w:r>
              <w:rPr>
                <w:b w:val="0"/>
                <w:sz w:val="17"/>
              </w:rPr>
              <w:t>audit_id PK</w:t>
            </w:r>
          </w:p>
        </w:tc>
      </w:tr>
    </w:tbl>
    <w:p>
      <w:pPr>
        <w:pStyle w:val="Heading1"/>
      </w:pPr>
      <w:r>
        <w:t>9. Most important schema rule: raw vs derived</w:t>
      </w:r>
    </w:p>
    <w:p>
      <w:r>
        <w:t>This is the single most important database design principle in HPEE.</w:t>
      </w:r>
    </w:p>
    <w:p>
      <w:r>
        <w:t>Raw facts must remain distinct from interpretations. Example: a PM2.5 reading of 184 µg/m³ is a sensor observation; “probable industrial event” is a derived classification; “Industrial Zone B = 87%” is a source-attribution result. These must never be stored as if they were the same kind of fact.</w:t>
      </w:r>
    </w:p>
    <w:p>
      <w:r>
        <w:t>Recommended lineage: sensor_readings → pollution_events → event_classifications → evidence_records → source_attributions → evidence_snapshots → complaints.</w:t>
      </w:r>
    </w:p>
    <w:p>
      <w:pPr>
        <w:pStyle w:val="Heading1"/>
      </w:pPr>
      <w:r>
        <w:t>10. Sensor data contract</w:t>
      </w:r>
    </w:p>
    <w:p>
      <w:r>
        <w:t>Every node must ultimately map its hardware-specific readings to a common backend payload. The current tentative fields are:</w:t>
      </w:r>
    </w:p>
    <w:p>
      <w:pPr>
        <w:pStyle w:val="Code"/>
      </w:pPr>
      <w:r>
        <w:t>{</w:t>
        <w:br/>
        <w:t xml:space="preserve">  "node_id": "HPEE-ANK-001",</w:t>
        <w:br/>
        <w:t xml:space="preserve">  "timestamp": "2026-08-15T15:52:10Z",</w:t>
        <w:br/>
        <w:t xml:space="preserve">  "location": {"latitude": 21.6734, "longitude": 73.0102},</w:t>
        <w:br/>
        <w:t xml:space="preserve">  "measurements": {</w:t>
        <w:br/>
        <w:t xml:space="preserve">    "pm25": {"value": 84.6, "unit": "ug/m3", "quality": "estimated"},</w:t>
        <w:br/>
        <w:t xml:space="preserve">    "so2": {"value": 42.7, "unit": "ug/m3", "quality": "estimated"},</w:t>
        <w:br/>
        <w:t xml:space="preserve">    "temperature": {"value": 29.4, "unit": "celsius", "quality": "valid"},</w:t>
        <w:br/>
        <w:t xml:space="preserve">    "humidity": {"value": 71.3, "unit": "percent", "quality": "valid"},</w:t>
        <w:br/>
        <w:t xml:space="preserve">    "wind_speed": {"value": 4.8, "unit": "m/s", "quality": "valid"},</w:t>
        <w:br/>
        <w:t xml:space="preserve">    "wind_direction": {"value": 135, "unit": "degrees", "quality": "valid"}</w:t>
        <w:br/>
        <w:t xml:space="preserve">  },</w:t>
        <w:br/>
        <w:t xml:space="preserve">  "node_health": {"battery_percent": 78, "signal_strength": -61, "status": "online"}</w:t>
        <w:br/>
        <w:t>}</w:t>
      </w:r>
    </w:p>
    <w:p>
      <w:r>
        <w:t>Important: the database stores the normalized measurement, not assumptions about a particular future sensor model. The current hardware plan is provisional; if a sensor is changed later, the driver/configuration can change while the backend contract stays stable.</w:t>
      </w:r>
    </w:p>
    <w:p>
      <w:pPr>
        <w:pStyle w:val="Heading1"/>
      </w:pPr>
      <w:r>
        <w:t>11. Migration workflow</w:t>
      </w:r>
    </w:p>
    <w:p>
      <w:pPr>
        <w:pStyle w:val="ListNumber"/>
      </w:pPr>
      <w:r>
        <w:t>Create or modify SQLAlchemy models.</w:t>
      </w:r>
    </w:p>
    <w:p>
      <w:pPr>
        <w:pStyle w:val="ListNumber"/>
      </w:pPr>
      <w:r>
        <w:t>Run alembic revision --autogenerate -m "descriptive change".</w:t>
      </w:r>
    </w:p>
    <w:p>
      <w:pPr>
        <w:pStyle w:val="ListNumber"/>
      </w:pPr>
      <w:r>
        <w:t>Open and review the generated migration manually.</w:t>
      </w:r>
    </w:p>
    <w:p>
      <w:pPr>
        <w:pStyle w:val="ListNumber"/>
      </w:pPr>
      <w:r>
        <w:t>Run alembic upgrade head against the local database.</w:t>
      </w:r>
    </w:p>
    <w:p>
      <w:pPr>
        <w:pStyle w:val="ListNumber"/>
      </w:pPr>
      <w:r>
        <w:t>Run schema tests / seed tests.</w:t>
      </w:r>
    </w:p>
    <w:p>
      <w:pPr>
        <w:pStyle w:val="ListNumber"/>
      </w:pPr>
      <w:r>
        <w:t>Commit the migration and model changes together.</w:t>
      </w:r>
    </w:p>
    <w:p>
      <w:pPr>
        <w:pStyle w:val="ListNumber"/>
      </w:pPr>
      <w:r>
        <w:t>Another developer validates by creating a fresh database and running alembic upgrade head.</w:t>
      </w:r>
    </w:p>
    <w:p>
      <w:r>
        <w:t>Never edit the production/shared staging database manually. If the schema changes, the migration file is the change.</w:t>
      </w:r>
    </w:p>
    <w:p>
      <w:pPr>
        <w:pStyle w:val="Heading1"/>
      </w:pPr>
      <w:r>
        <w:t>12. Seed data strategy</w:t>
      </w:r>
    </w:p>
    <w:p>
      <w:r>
        <w:t>Create deterministic seed datasets so every developer/AI agent sees the same world while developing.</w:t>
      </w:r>
    </w:p>
    <w:p>
      <w:pPr>
        <w:pStyle w:val="ListBullet"/>
      </w:pPr>
      <w:r>
        <w:t>10–20 villages around a representative industrial corridor</w:t>
      </w:r>
    </w:p>
    <w:p>
      <w:pPr>
        <w:pStyle w:val="ListBullet"/>
      </w:pPr>
      <w:r>
        <w:t>20–50 industrial sites with types and coordinates</w:t>
      </w:r>
    </w:p>
    <w:p>
      <w:pPr>
        <w:pStyle w:val="ListBullet"/>
      </w:pPr>
      <w:r>
        <w:t>10–20 sensor nodes</w:t>
      </w:r>
    </w:p>
    <w:p>
      <w:pPr>
        <w:pStyle w:val="ListBullet"/>
      </w:pPr>
      <w:r>
        <w:t>7–14 days of synthetic sensor telemetry</w:t>
      </w:r>
    </w:p>
    <w:p>
      <w:pPr>
        <w:pStyle w:val="ListBullet"/>
      </w:pPr>
      <w:r>
        <w:t>industrial activity schedules</w:t>
      </w:r>
    </w:p>
    <w:p>
      <w:pPr>
        <w:pStyle w:val="ListBullet"/>
      </w:pPr>
      <w:r>
        <w:t>weather observations</w:t>
      </w:r>
    </w:p>
    <w:p>
      <w:pPr>
        <w:pStyle w:val="ListBullet"/>
      </w:pPr>
      <w:r>
        <w:t>sample pollution events</w:t>
      </w:r>
    </w:p>
    <w:p>
      <w:pPr>
        <w:pStyle w:val="ListBullet"/>
      </w:pPr>
      <w:r>
        <w:t>sample source-attribution results</w:t>
      </w:r>
    </w:p>
    <w:p>
      <w:pPr>
        <w:pStyle w:val="ListBullet"/>
      </w:pPr>
      <w:r>
        <w:t>test inspector/sarpanch/admin users</w:t>
      </w:r>
    </w:p>
    <w:p>
      <w:r>
        <w:t>Seed data is development data only. Keep real credentials and sensitive information out of the repository.</w:t>
      </w:r>
    </w:p>
    <w:p>
      <w:pPr>
        <w:pStyle w:val="Heading1"/>
      </w:pPr>
      <w:r>
        <w:t>13. Spatial data rules</w:t>
      </w:r>
    </w:p>
    <w:p>
      <w:pPr>
        <w:pStyle w:val="ListBullet"/>
      </w:pPr>
      <w:r>
        <w:t>Use SRID 4326 for latitude/longitude input.</w:t>
      </w:r>
    </w:p>
    <w:p>
      <w:pPr>
        <w:pStyle w:val="ListBullet"/>
      </w:pPr>
      <w:r>
        <w:t>Store location as PostGIS Geography(Point,4326).</w:t>
      </w:r>
    </w:p>
    <w:p>
      <w:pPr>
        <w:pStyle w:val="ListBullet"/>
      </w:pPr>
      <w:r>
        <w:t>Use longitude, latitude order when constructing ST_MakePoint(longitude, latitude).</w:t>
      </w:r>
    </w:p>
    <w:p>
      <w:pPr>
        <w:pStyle w:val="ListBullet"/>
      </w:pPr>
      <w:r>
        <w:t>Create GIST indexes on all frequently queried geographic columns.</w:t>
      </w:r>
    </w:p>
    <w:p>
      <w:pPr>
        <w:pStyle w:val="ListBullet"/>
      </w:pPr>
      <w:r>
        <w:t>Keep source geometry and administrative geography separate from calculated pollution plumes.</w:t>
      </w:r>
    </w:p>
    <w:p>
      <w:pPr>
        <w:pStyle w:val="ListBullet"/>
      </w:pPr>
      <w:r>
        <w:t>Do not store a map screenshot as the primary spatial truth; store coordinates and derived geometries in the database.</w:t>
      </w:r>
    </w:p>
    <w:p>
      <w:pPr>
        <w:pStyle w:val="Heading1"/>
      </w:pPr>
      <w:r>
        <w:t>14. Time-series rules</w:t>
      </w:r>
    </w:p>
    <w:p>
      <w:r>
        <w:t>sensor_readings will become the highest-volume table. Keep `recorded_at` and `received_at` separate. `recorded_at` is the node’s observation time; `received_at` is when the server got it. This allows us to diagnose network lag and delayed packets.</w:t>
      </w:r>
    </w:p>
    <w:p>
      <w:r>
        <w:t>Create at minimum indexes on `(node_id, recorded_at DESC)` and `(recorded_at DESC)`. Delay advanced partitioning/TimescaleDB until volume or query performance requires it.</w:t>
      </w:r>
    </w:p>
    <w:p>
      <w:pPr>
        <w:pStyle w:val="Heading1"/>
      </w:pPr>
      <w:r>
        <w:t>15. Validation and tests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2A"/>
          </w:tcPr>
          <w:p>
            <w:r>
              <w:rPr>
                <w:color w:val="FFFFFF"/>
              </w:rPr>
            </w:r>
            <w:r>
              <w:rPr>
                <w:b/>
                <w:color w:val="FFFFFF"/>
                <w:sz w:val="18"/>
              </w:rPr>
              <w:t>Test</w:t>
            </w:r>
          </w:p>
        </w:tc>
        <w:tc>
          <w:tcPr>
            <w:tcW w:type="dxa" w:w="5112"/>
            <w:vAlign w:val="center"/>
            <w:shd w:fill="17202A"/>
          </w:tcPr>
          <w:p>
            <w:r>
              <w:rPr>
                <w:color w:val="FFFFFF"/>
              </w:rPr>
            </w:r>
            <w:r>
              <w:rPr>
                <w:b/>
                <w:color w:val="FFFFFF"/>
                <w:sz w:val="18"/>
              </w:rPr>
              <w:t>Expected result</w:t>
            </w:r>
          </w:p>
        </w:tc>
      </w:tr>
      <w:tr>
        <w:tc>
          <w:tcPr>
            <w:tcW w:type="dxa" w:w="5112"/>
            <w:vAlign w:val="center"/>
          </w:tcPr>
          <w:p>
            <w:r/>
            <w:r>
              <w:rPr>
                <w:b w:val="0"/>
                <w:sz w:val="17"/>
              </w:rPr>
              <w:t>Fresh DB + alembic upgrade</w:t>
            </w:r>
          </w:p>
        </w:tc>
        <w:tc>
          <w:tcPr>
            <w:tcW w:type="dxa" w:w="5112"/>
            <w:vAlign w:val="center"/>
          </w:tcPr>
          <w:p>
            <w:r/>
            <w:r>
              <w:rPr>
                <w:b w:val="0"/>
                <w:sz w:val="17"/>
              </w:rPr>
              <w:t>All tables/constraints/indexes created</w:t>
            </w:r>
          </w:p>
        </w:tc>
      </w:tr>
      <w:tr>
        <w:tc>
          <w:tcPr>
            <w:tcW w:type="dxa" w:w="5112"/>
            <w:vAlign w:val="center"/>
          </w:tcPr>
          <w:p>
            <w:r/>
            <w:r>
              <w:rPr>
                <w:b w:val="0"/>
                <w:sz w:val="17"/>
              </w:rPr>
              <w:t>Second alembic upgrade</w:t>
            </w:r>
          </w:p>
        </w:tc>
        <w:tc>
          <w:tcPr>
            <w:tcW w:type="dxa" w:w="5112"/>
            <w:vAlign w:val="center"/>
          </w:tcPr>
          <w:p>
            <w:r/>
            <w:r>
              <w:rPr>
                <w:b w:val="0"/>
                <w:sz w:val="17"/>
              </w:rPr>
              <w:t>No changes / clean state</w:t>
            </w:r>
          </w:p>
        </w:tc>
      </w:tr>
      <w:tr>
        <w:tc>
          <w:tcPr>
            <w:tcW w:type="dxa" w:w="5112"/>
            <w:vAlign w:val="center"/>
          </w:tcPr>
          <w:p>
            <w:r/>
            <w:r>
              <w:rPr>
                <w:b w:val="0"/>
                <w:sz w:val="17"/>
              </w:rPr>
              <w:t>Invalid humidity &gt;100</w:t>
            </w:r>
          </w:p>
        </w:tc>
        <w:tc>
          <w:tcPr>
            <w:tcW w:type="dxa" w:w="5112"/>
            <w:vAlign w:val="center"/>
          </w:tcPr>
          <w:p>
            <w:r/>
            <w:r>
              <w:rPr>
                <w:b w:val="0"/>
                <w:sz w:val="17"/>
              </w:rPr>
              <w:t>Rejected</w:t>
            </w:r>
          </w:p>
        </w:tc>
      </w:tr>
      <w:tr>
        <w:tc>
          <w:tcPr>
            <w:tcW w:type="dxa" w:w="5112"/>
            <w:vAlign w:val="center"/>
          </w:tcPr>
          <w:p>
            <w:r/>
            <w:r>
              <w:rPr>
                <w:b w:val="0"/>
                <w:sz w:val="17"/>
              </w:rPr>
              <w:t>Negative PM2.5</w:t>
            </w:r>
          </w:p>
        </w:tc>
        <w:tc>
          <w:tcPr>
            <w:tcW w:type="dxa" w:w="5112"/>
            <w:vAlign w:val="center"/>
          </w:tcPr>
          <w:p>
            <w:r/>
            <w:r>
              <w:rPr>
                <w:b w:val="0"/>
                <w:sz w:val="17"/>
              </w:rPr>
              <w:t>Rejected</w:t>
            </w:r>
          </w:p>
        </w:tc>
      </w:tr>
      <w:tr>
        <w:tc>
          <w:tcPr>
            <w:tcW w:type="dxa" w:w="5112"/>
            <w:vAlign w:val="center"/>
          </w:tcPr>
          <w:p>
            <w:r/>
            <w:r>
              <w:rPr>
                <w:b w:val="0"/>
                <w:sz w:val="17"/>
              </w:rPr>
              <w:t>Wind direction 360</w:t>
            </w:r>
          </w:p>
        </w:tc>
        <w:tc>
          <w:tcPr>
            <w:tcW w:type="dxa" w:w="5112"/>
            <w:vAlign w:val="center"/>
          </w:tcPr>
          <w:p>
            <w:r/>
            <w:r>
              <w:rPr>
                <w:b w:val="0"/>
                <w:sz w:val="17"/>
              </w:rPr>
              <w:t>Rejected if range is [0,360)</w:t>
            </w:r>
          </w:p>
        </w:tc>
      </w:tr>
      <w:tr>
        <w:tc>
          <w:tcPr>
            <w:tcW w:type="dxa" w:w="5112"/>
            <w:vAlign w:val="center"/>
          </w:tcPr>
          <w:p>
            <w:r/>
            <w:r>
              <w:rPr>
                <w:b w:val="0"/>
                <w:sz w:val="17"/>
              </w:rPr>
              <w:t>Unknown sensor node</w:t>
            </w:r>
          </w:p>
        </w:tc>
        <w:tc>
          <w:tcPr>
            <w:tcW w:type="dxa" w:w="5112"/>
            <w:vAlign w:val="center"/>
          </w:tcPr>
          <w:p>
            <w:r/>
            <w:r>
              <w:rPr>
                <w:b w:val="0"/>
                <w:sz w:val="17"/>
              </w:rPr>
              <w:t>Reading rejected or quarantined</w:t>
            </w:r>
          </w:p>
        </w:tc>
      </w:tr>
      <w:tr>
        <w:tc>
          <w:tcPr>
            <w:tcW w:type="dxa" w:w="5112"/>
            <w:vAlign w:val="center"/>
          </w:tcPr>
          <w:p>
            <w:r/>
            <w:r>
              <w:rPr>
                <w:b w:val="0"/>
                <w:sz w:val="17"/>
              </w:rPr>
              <w:t>Unknown village FK</w:t>
            </w:r>
          </w:p>
        </w:tc>
        <w:tc>
          <w:tcPr>
            <w:tcW w:type="dxa" w:w="5112"/>
            <w:vAlign w:val="center"/>
          </w:tcPr>
          <w:p>
            <w:r/>
            <w:r>
              <w:rPr>
                <w:b w:val="0"/>
                <w:sz w:val="17"/>
              </w:rPr>
              <w:t>Insert rejected</w:t>
            </w:r>
          </w:p>
        </w:tc>
      </w:tr>
      <w:tr>
        <w:tc>
          <w:tcPr>
            <w:tcW w:type="dxa" w:w="5112"/>
            <w:vAlign w:val="center"/>
          </w:tcPr>
          <w:p>
            <w:r/>
            <w:r>
              <w:rPr>
                <w:b w:val="0"/>
                <w:sz w:val="17"/>
              </w:rPr>
              <w:t>Duplicate unique email</w:t>
            </w:r>
          </w:p>
        </w:tc>
        <w:tc>
          <w:tcPr>
            <w:tcW w:type="dxa" w:w="5112"/>
            <w:vAlign w:val="center"/>
          </w:tcPr>
          <w:p>
            <w:r/>
            <w:r>
              <w:rPr>
                <w:b w:val="0"/>
                <w:sz w:val="17"/>
              </w:rPr>
              <w:t>Rejected</w:t>
            </w:r>
          </w:p>
        </w:tc>
      </w:tr>
      <w:tr>
        <w:tc>
          <w:tcPr>
            <w:tcW w:type="dxa" w:w="5112"/>
            <w:vAlign w:val="center"/>
          </w:tcPr>
          <w:p>
            <w:r/>
            <w:r>
              <w:rPr>
                <w:b w:val="0"/>
                <w:sz w:val="17"/>
              </w:rPr>
              <w:t>Bad geometry</w:t>
            </w:r>
          </w:p>
        </w:tc>
        <w:tc>
          <w:tcPr>
            <w:tcW w:type="dxa" w:w="5112"/>
            <w:vAlign w:val="center"/>
          </w:tcPr>
          <w:p>
            <w:r/>
            <w:r>
              <w:rPr>
                <w:b w:val="0"/>
                <w:sz w:val="17"/>
              </w:rPr>
              <w:t>Rejected before spatial use</w:t>
            </w:r>
          </w:p>
        </w:tc>
      </w:tr>
      <w:tr>
        <w:tc>
          <w:tcPr>
            <w:tcW w:type="dxa" w:w="5112"/>
            <w:vAlign w:val="center"/>
          </w:tcPr>
          <w:p>
            <w:r/>
            <w:r>
              <w:rPr>
                <w:b w:val="0"/>
                <w:sz w:val="17"/>
              </w:rPr>
              <w:t>Event with multiple readings</w:t>
            </w:r>
          </w:p>
        </w:tc>
        <w:tc>
          <w:tcPr>
            <w:tcW w:type="dxa" w:w="5112"/>
            <w:vAlign w:val="center"/>
          </w:tcPr>
          <w:p>
            <w:r/>
            <w:r>
              <w:rPr>
                <w:b w:val="0"/>
                <w:sz w:val="17"/>
              </w:rPr>
              <w:t>event_readings rows link correctly</w:t>
            </w:r>
          </w:p>
        </w:tc>
      </w:tr>
      <w:tr>
        <w:tc>
          <w:tcPr>
            <w:tcW w:type="dxa" w:w="5112"/>
            <w:vAlign w:val="center"/>
          </w:tcPr>
          <w:p>
            <w:r/>
            <w:r>
              <w:rPr>
                <w:b w:val="0"/>
                <w:sz w:val="17"/>
              </w:rPr>
              <w:t>Fresh clone on teammate machine</w:t>
            </w:r>
          </w:p>
        </w:tc>
        <w:tc>
          <w:tcPr>
            <w:tcW w:type="dxa" w:w="5112"/>
            <w:vAlign w:val="center"/>
          </w:tcPr>
          <w:p>
            <w:r/>
            <w:r>
              <w:rPr>
                <w:b w:val="0"/>
                <w:sz w:val="17"/>
              </w:rPr>
              <w:t>Schema recreated successfully</w:t>
            </w:r>
          </w:p>
        </w:tc>
      </w:tr>
      <w:tr>
        <w:tc>
          <w:tcPr>
            <w:tcW w:type="dxa" w:w="5112"/>
            <w:vAlign w:val="center"/>
          </w:tcPr>
          <w:p>
            <w:r/>
            <w:r>
              <w:rPr>
                <w:b w:val="0"/>
                <w:sz w:val="17"/>
              </w:rPr>
              <w:t>Migration downgrade/upgrade in dev</w:t>
            </w:r>
          </w:p>
        </w:tc>
        <w:tc>
          <w:tcPr>
            <w:tcW w:type="dxa" w:w="5112"/>
            <w:vAlign w:val="center"/>
          </w:tcPr>
          <w:p>
            <w:r/>
            <w:r>
              <w:rPr>
                <w:b w:val="0"/>
                <w:sz w:val="17"/>
              </w:rPr>
              <w:t>Works without data corruption in test DB</w:t>
            </w:r>
          </w:p>
        </w:tc>
      </w:tr>
    </w:tbl>
    <w:p>
      <w:pPr>
        <w:pStyle w:val="Heading1"/>
      </w:pPr>
      <w:r>
        <w:t>16. Prompts for the database AI agent</w:t>
      </w:r>
    </w:p>
    <w:p>
      <w:r>
        <w:t>Use the following prompt as the agent’s system/task prompt. Give it the schema specification above as an attached reference and tell it not to invent missing requirements.</w:t>
      </w:r>
    </w:p>
    <w:p>
      <w:pPr>
        <w:pStyle w:val="Code"/>
      </w:pPr>
      <w:r>
        <w:t>You are the Database Engineer for HPEE (Hyperlocal Pollution Evidence Engine).</w:t>
        <w:br/>
        <w:br/>
        <w:t>GOAL</w:t>
        <w:br/>
        <w:t>Implement a reproducible PostgreSQL + PostGIS database using SQLAlchemy 2.x models and Alembic migrations. The database must support sensor telemetry, pollution events, industrial GIS data, evidence fusion, source attribution, complaint generation, maintenance and auditability.</w:t>
        <w:br/>
        <w:br/>
        <w:t>NON-NEGOTIABLE RULES</w:t>
        <w:br/>
        <w:t>1. Do not invent tables, fields, enums, relationships or API contracts outside the approved specification.</w:t>
        <w:br/>
        <w:t>2. Raw sensor data and derived analytics must remain separate.</w:t>
        <w:br/>
        <w:t>3. Use UTC TIMESTAMPTZ for time.</w:t>
        <w:br/>
        <w:t>4. Use PostGIS Geography(Point,4326) for geographic locations.</w:t>
        <w:br/>
        <w:t>5. Use Alembic migrations for every schema change.</w:t>
        <w:br/>
        <w:t>6. Use UUIDs for normal entities and BIGINT/BIGSERIAL where high-volume telemetry benefits from it.</w:t>
        <w:br/>
        <w:t>7. Add appropriate NOT NULL, UNIQUE, CHECK and FOREIGN KEY constraints.</w:t>
        <w:br/>
        <w:t>8. Add indexes for time-series access and spatial queries.</w:t>
        <w:br/>
        <w:t>9. Preserve sensor-data provenance and quality flags.</w:t>
        <w:br/>
        <w:t>10. Do not modify shared schema files silently. If a change is required, explain why and propose the migration first.</w:t>
        <w:br/>
        <w:br/>
        <w:t>DELIVERABLES</w:t>
        <w:br/>
        <w:t>- SQLAlchemy models</w:t>
        <w:br/>
        <w:t>- Alembic environment configuration</w:t>
        <w:br/>
        <w:t>- Initial migration</w:t>
        <w:br/>
        <w:t>- Seed scripts for development data</w:t>
        <w:br/>
        <w:t>- PostgreSQL/PostGIS Docker configuration</w:t>
        <w:br/>
        <w:t>- Database README with setup/reset/migration commands</w:t>
        <w:br/>
        <w:t>- Automated schema smoke tests</w:t>
        <w:br/>
        <w:br/>
        <w:t>BEFORE WRITING CODE</w:t>
        <w:br/>
        <w:t>1. Inspect the supplied database specification.</w:t>
        <w:br/>
        <w:t>2. List all tables, columns, keys, constraints and indexes you intend to create.</w:t>
        <w:br/>
        <w:t>3. Identify any ambiguity or contradiction.</w:t>
        <w:br/>
        <w:t>4. Ask for confirmation only when a decision materially changes the schema; otherwise follow the specification.</w:t>
        <w:br/>
        <w:br/>
        <w:t>AFTER IMPLEMENTATION</w:t>
        <w:br/>
        <w:t>1. Create a fresh database from zero.</w:t>
        <w:br/>
        <w:t>2. Run all Alembic migrations.</w:t>
        <w:br/>
        <w:t>3. Seed test data.</w:t>
        <w:br/>
        <w:t>4. Verify foreign keys, unique constraints, check constraints and PostGIS indexes.</w:t>
        <w:br/>
        <w:t>5. Run schema tests.</w:t>
        <w:br/>
        <w:t>6. Report the exact files changed and the commands used to reproduce the database.</w:t>
      </w:r>
    </w:p>
    <w:p>
      <w:pPr>
        <w:pStyle w:val="Heading1"/>
      </w:pPr>
      <w:r>
        <w:t>17. Prompt for a second AI agent to review the schema</w:t>
      </w:r>
    </w:p>
    <w:p>
      <w:pPr>
        <w:pStyle w:val="Code"/>
      </w:pPr>
      <w:r>
        <w:t>Act as a senior PostgreSQL/PostGIS reviewer for HPEE.</w:t>
        <w:br/>
        <w:br/>
        <w:t>Review the attached SQLAlchemy models and Alembic migrations against the approved HPEE database specification. Do NOT redesign the system for style reasons. Focus on real risks:</w:t>
        <w:br/>
        <w:t>- missing or incorrect foreign keys</w:t>
        <w:br/>
        <w:t>- missing uniqueness/check constraints</w:t>
        <w:br/>
        <w:t>- wrong timestamp types</w:t>
        <w:br/>
        <w:t>- incorrect PostGIS types/SRID</w:t>
        <w:br/>
        <w:t>- unsafe cascade deletes</w:t>
        <w:br/>
        <w:t>- duplication of raw and derived data</w:t>
        <w:br/>
        <w:t>- indexes missing from high-volume or spatial queries</w:t>
        <w:br/>
        <w:t>- migrations that cannot recreate a clean database</w:t>
        <w:br/>
        <w:t>- inconsistent enum/string values</w:t>
        <w:br/>
        <w:t>- data lineage problems</w:t>
        <w:br/>
        <w:t>- future hardware changes that would unnecessarily force schema changes</w:t>
        <w:br/>
        <w:br/>
        <w:t>Return:</w:t>
        <w:br/>
        <w:t>1. PASS / FAIL verdict</w:t>
        <w:br/>
        <w:t>2. Critical issues</w:t>
        <w:br/>
        <w:t>3. Important issues</w:t>
        <w:br/>
        <w:t>4. Optional improvements</w:t>
        <w:br/>
        <w:t>5. Exact migration changes required, if any</w:t>
        <w:br/>
        <w:t>Do not change code unless explicitly asked.</w:t>
      </w:r>
    </w:p>
    <w:p>
      <w:pPr>
        <w:pStyle w:val="Heading1"/>
      </w:pPr>
      <w:r>
        <w:t>18. Prompt for seed-data generation</w:t>
      </w:r>
    </w:p>
    <w:p>
      <w:pPr>
        <w:pStyle w:val="Code"/>
      </w:pPr>
      <w:r>
        <w:t>Generate deterministic development seed data for HPEE. Use fictional but geographically plausible Gujarat industrial-corridor data. Do not use real personal data.</w:t>
        <w:br/>
        <w:br/>
        <w:t>Create:</w:t>
        <w:br/>
        <w:t>- villages</w:t>
        <w:br/>
        <w:t>- industrial sites</w:t>
        <w:br/>
        <w:t>- industrial schedules</w:t>
        <w:br/>
        <w:t>- sensor nodes</w:t>
        <w:br/>
        <w:t>- 7–14 days of 10-second or 1-minute synthetic sensor readings</w:t>
        <w:br/>
        <w:t>- normal background periods</w:t>
        <w:br/>
        <w:t>- at least 3 pollution events</w:t>
        <w:br/>
        <w:t>- at least 1 industrial-looking event</w:t>
        <w:br/>
        <w:t>- at least 1 agricultural/seasonal-looking event</w:t>
        <w:br/>
        <w:t>- at least 1 sensor fault period</w:t>
        <w:br/>
        <w:t>- weather observations</w:t>
        <w:br/>
        <w:br/>
        <w:t>The data must be internally consistent with timestamps, coordinates and wind direction. Seed scripts must be repeatable and should not create duplicates on rerun.</w:t>
      </w:r>
    </w:p>
    <w:p>
      <w:pPr>
        <w:pStyle w:val="Heading1"/>
      </w:pPr>
      <w:r>
        <w:t>19. Prompt for schema-to-API alignment review</w:t>
      </w:r>
    </w:p>
    <w:p>
      <w:pPr>
        <w:pStyle w:val="Code"/>
      </w:pPr>
      <w:r>
        <w:t>You are reviewing the HPEE database schema against the approved API contract. For each endpoint, verify that every request field, response field and relationship can be represented by the database without ad-hoc storage. Flag fields that are missing, derived values incorrectly persisted as raw data, or API concepts that have no database representation. Do not redesign either side unless necessary. Produce a mismatch matrix and a minimal set of changes.</w:t>
      </w:r>
    </w:p>
    <w:p>
      <w:pPr>
        <w:pStyle w:val="Heading1"/>
      </w:pPr>
      <w:r>
        <w:t>20. Handoff checklist for the teammate</w:t>
      </w:r>
    </w:p>
    <w:p>
      <w:pPr>
        <w:pStyle w:val="ListBullet"/>
      </w:pPr>
      <w:r>
        <w:t>Confirm PostgreSQL/PostGIS Docker container starts cleanly.</w:t>
      </w:r>
    </w:p>
    <w:p>
      <w:pPr>
        <w:pStyle w:val="ListBullet"/>
      </w:pPr>
      <w:r>
        <w:t>Confirm PostGIS and pgcrypto extensions are enabled.</w:t>
      </w:r>
    </w:p>
    <w:p>
      <w:pPr>
        <w:pStyle w:val="ListBullet"/>
      </w:pPr>
      <w:r>
        <w:t>Confirm all approved tables exist.</w:t>
      </w:r>
    </w:p>
    <w:p>
      <w:pPr>
        <w:pStyle w:val="ListBullet"/>
      </w:pPr>
      <w:r>
        <w:t>Confirm every PK/FK/UNIQUE/CHECK constraint exists.</w:t>
      </w:r>
    </w:p>
    <w:p>
      <w:pPr>
        <w:pStyle w:val="ListBullet"/>
      </w:pPr>
      <w:r>
        <w:t>Confirm spatial columns use Geography(Point,4326).</w:t>
      </w:r>
    </w:p>
    <w:p>
      <w:pPr>
        <w:pStyle w:val="ListBullet"/>
      </w:pPr>
      <w:r>
        <w:t>Confirm GIST indexes exist for spatial columns.</w:t>
      </w:r>
    </w:p>
    <w:p>
      <w:pPr>
        <w:pStyle w:val="ListBullet"/>
      </w:pPr>
      <w:r>
        <w:t>Confirm sensor_readings indexes exist.</w:t>
      </w:r>
    </w:p>
    <w:p>
      <w:pPr>
        <w:pStyle w:val="ListBullet"/>
      </w:pPr>
      <w:r>
        <w:t>Confirm Alembic initial migration recreates the database from zero.</w:t>
      </w:r>
    </w:p>
    <w:p>
      <w:pPr>
        <w:pStyle w:val="ListBullet"/>
      </w:pPr>
      <w:r>
        <w:t>Confirm seed scripts run on a clean database.</w:t>
      </w:r>
    </w:p>
    <w:p>
      <w:pPr>
        <w:pStyle w:val="ListBullet"/>
      </w:pPr>
      <w:r>
        <w:t>Confirm raw readings are not overwritten by event/ML results.</w:t>
      </w:r>
    </w:p>
    <w:p>
      <w:pPr>
        <w:pStyle w:val="ListBullet"/>
      </w:pPr>
      <w:r>
        <w:t>Confirm audit and evidence provenance fields are present.</w:t>
      </w:r>
    </w:p>
    <w:p>
      <w:pPr>
        <w:pStyle w:val="ListBullet"/>
      </w:pPr>
      <w:r>
        <w:t>Commit models + migration + seed scripts + docs together.</w:t>
      </w:r>
    </w:p>
    <w:p>
      <w:pPr>
        <w:pStyle w:val="ListBullet"/>
      </w:pPr>
      <w:r>
        <w:t>Give the rest of the team the final connection instructions and read-only schema documentation.</w:t>
      </w:r>
    </w:p>
    <w:p>
      <w:pPr>
        <w:pStyle w:val="Heading1"/>
      </w:pPr>
      <w:r>
        <w:t>21. Definition of Done</w:t>
      </w:r>
    </w:p>
    <w:p>
      <w:r>
        <w:t>The database task is complete only when another teammate can clone the repository on a clean machine, start Docker, run the documented migration command, load development seed data, and inspect the complete Postgres/PostGIS schema without manually creating or editing tables.</w:t>
      </w:r>
    </w:p>
    <w:p>
      <w:r>
        <w:t>The next integration step after this database milestone is the API contract: REST request/response schemas plus WebSocket event payloads. The frontend, backend, ML/GIS engines and ESP32 ingestion should all implement those contracts rather than connecting to the database directly.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HPEE Database Implementation Plan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