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Microsoft</w:t>
      </w:r>
      <w:r>
        <w:t xml:space="preserve"> </w:t>
      </w:r>
      <w:r>
        <w:t xml:space="preserve">365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and</w:t>
      </w:r>
      <w:r>
        <w:t xml:space="preserve"> </w:t>
      </w:r>
      <w:r>
        <w:t xml:space="preserve">Governance</w:t>
      </w:r>
      <w:r>
        <w:t xml:space="preserve"> </w:t>
      </w:r>
      <w:r>
        <w:t xml:space="preserve">Strategy</w:t>
      </w:r>
    </w:p>
    <w:p>
      <w:pPr>
        <w:pStyle w:val="Subtitle"/>
      </w:pPr>
      <w:r>
        <w:t xml:space="preserve">Accepted</w:t>
      </w:r>
      <w:r>
        <w:t xml:space="preserve"> </w:t>
      </w:r>
      <w:r>
        <w:t xml:space="preserve">Project</w:t>
      </w:r>
      <w:r>
        <w:t xml:space="preserve"> </w:t>
      </w:r>
      <w:r>
        <w:t xml:space="preserve">Proposal</w:t>
      </w:r>
      <w:r>
        <w:t xml:space="preserve"> </w:t>
      </w:r>
      <w:r>
        <w:t xml:space="preserve">–</w:t>
      </w:r>
      <w:r>
        <w:t xml:space="preserve"> </w:t>
      </w:r>
      <w:r>
        <w:t xml:space="preserve">Nordica</w:t>
      </w:r>
      <w:r>
        <w:t xml:space="preserve"> </w:t>
      </w:r>
      <w:r>
        <w:t xml:space="preserve">Insurance</w:t>
      </w:r>
      <w:r>
        <w:t xml:space="preserve"> </w:t>
      </w:r>
      <w:r>
        <w:t xml:space="preserve">S.A.</w:t>
      </w:r>
    </w:p>
    <w:p>
      <w:pPr>
        <w:pStyle w:val="Author"/>
      </w:pPr>
      <w:r>
        <w:t xml:space="preserve">BearingPoint</w:t>
      </w:r>
    </w:p>
    <w:p>
      <w:pPr>
        <w:pStyle w:val="Date"/>
      </w:pPr>
      <w:r>
        <w:t xml:space="preserve">January</w:t>
      </w:r>
      <w:r>
        <w:t xml:space="preserve"> </w:t>
      </w:r>
      <w:r>
        <w:t xml:space="preserve">–</w:t>
      </w:r>
      <w:r>
        <w:t xml:space="preserve"> </w:t>
      </w:r>
      <w:r>
        <w:t xml:space="preserve">July</w:t>
      </w:r>
      <w:r>
        <w:t xml:space="preserve"> </w:t>
      </w:r>
      <w:r>
        <w:t xml:space="preserve">2024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Xaf7af217b73a7645e3e4b88e6f15fe3d0b9880b"/>
    <w:p>
      <w:pPr>
        <w:pStyle w:val="Heading1"/>
      </w:pPr>
      <w:r>
        <w:t xml:space="preserve">Microsoft 365 Implementation and Governance Strategy</w:t>
      </w:r>
    </w:p>
    <w:p>
      <w:pPr>
        <w:pStyle w:val="FirstParagraph"/>
      </w:pPr>
      <w:r>
        <w:rPr>
          <w:bCs/>
          <w:b/>
        </w:rPr>
        <w:t xml:space="preserve">Client:</w:t>
      </w:r>
      <w:r>
        <w:t xml:space="preserve"> </w:t>
      </w:r>
      <w:r>
        <w:t xml:space="preserve">Nordica Insurance S.A.</w:t>
      </w:r>
      <w:r>
        <w:t xml:space="preserve"> </w:t>
      </w:r>
      <w:r>
        <w:rPr>
          <w:bCs/>
          <w:b/>
        </w:rPr>
        <w:t xml:space="preserve">Industry:</w:t>
      </w:r>
      <w:r>
        <w:t xml:space="preserve"> </w:t>
      </w:r>
      <w:r>
        <w:t xml:space="preserve">Financial Services – Insurance</w:t>
      </w:r>
      <w:r>
        <w:t xml:space="preserve"> </w:t>
      </w:r>
      <w:r>
        <w:rPr>
          <w:bCs/>
          <w:b/>
        </w:rPr>
        <w:t xml:space="preserve">Engagement Period:</w:t>
      </w:r>
      <w:r>
        <w:t xml:space="preserve"> </w:t>
      </w:r>
      <w:r>
        <w:t xml:space="preserve">January 2024 – July 2024 (7 months)</w:t>
      </w:r>
      <w:r>
        <w:t xml:space="preserve"> </w:t>
      </w:r>
      <w:r>
        <w:rPr>
          <w:bCs/>
          <w:b/>
        </w:rPr>
        <w:t xml:space="preserve">Engagement Type:</w:t>
      </w:r>
      <w:r>
        <w:t xml:space="preserve"> </w:t>
      </w:r>
      <w:r>
        <w:t xml:space="preserve">Microsoft 365 Deployment &amp; Governance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Accepted and Successfully Completed</w:t>
      </w:r>
    </w:p>
    <w:p>
      <w:r>
        <w:pict>
          <v:rect style="width:0;height:1.5pt" o:hralign="center" o:hrstd="t" o:hr="t"/>
        </w:pict>
      </w:r>
    </w:p>
    <w:bookmarkStart w:id="20" w:name="client-background"/>
    <w:p>
      <w:pPr>
        <w:pStyle w:val="Heading2"/>
      </w:pPr>
      <w:r>
        <w:t xml:space="preserve">1. Client Background</w:t>
      </w:r>
    </w:p>
    <w:p>
      <w:pPr>
        <w:pStyle w:val="FirstParagraph"/>
      </w:pPr>
      <w:r>
        <w:t xml:space="preserve">Nordica Insurance S.A. is an insurance company headquartered in Bucharest with 1,800 employees distributed across a national branch network. The company relied on an on-premise email infrastructure (Exchange 2013) and a mix of disparate collaboration tools (Skype for Business, shared network drives, unauthorized Dropbox usage). The need to modernize the collaboration platform, the growth in remote work post-pandemic, and compliance requirements from the insurance regulatory body were the primary drivers for adopting Microsoft 365.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team"/>
    <w:p>
      <w:pPr>
        <w:pStyle w:val="Heading2"/>
      </w:pPr>
      <w:r>
        <w:t xml:space="preserve">2. Project Team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2"/>
        <w:gridCol w:w="1532"/>
        <w:gridCol w:w="48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of Expertise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Dumitru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Lead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365, Exchange Online, SharePoint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Katharina Müller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 adoption, organizational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Andrei Stancu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&amp; Compliance Specialist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Trust, DLP, Purview, Entra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Ioana Vlad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requirements, business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Ana-Maria Popescu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Governance, stakeholder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roject-scope-and-objectives"/>
    <w:p>
      <w:pPr>
        <w:pStyle w:val="Heading2"/>
      </w:pPr>
      <w:r>
        <w:t xml:space="preserve">3. Project Scope and Objectives</w:t>
      </w:r>
    </w:p>
    <w:p>
      <w:pPr>
        <w:numPr>
          <w:ilvl w:val="0"/>
          <w:numId w:val="1001"/>
        </w:numPr>
        <w:pStyle w:val="Compact"/>
      </w:pPr>
      <w:r>
        <w:t xml:space="preserve">Fully migrate 1,800 mailboxes from Exchange 2013 on-premise to Exchange Online</w:t>
      </w:r>
    </w:p>
    <w:p>
      <w:pPr>
        <w:numPr>
          <w:ilvl w:val="0"/>
          <w:numId w:val="1001"/>
        </w:numPr>
        <w:pStyle w:val="Compact"/>
      </w:pPr>
      <w:r>
        <w:t xml:space="preserve">Implement Microsoft Teams as the unified collaboration and communication platform</w:t>
      </w:r>
    </w:p>
    <w:p>
      <w:pPr>
        <w:numPr>
          <w:ilvl w:val="0"/>
          <w:numId w:val="1001"/>
        </w:numPr>
        <w:pStyle w:val="Compact"/>
      </w:pPr>
      <w:r>
        <w:t xml:space="preserve">Configure SharePoint Online for departmental document management</w:t>
      </w:r>
    </w:p>
    <w:p>
      <w:pPr>
        <w:numPr>
          <w:ilvl w:val="0"/>
          <w:numId w:val="1001"/>
        </w:numPr>
        <w:pStyle w:val="Compact"/>
      </w:pPr>
      <w:r>
        <w:t xml:space="preserve">Develop and implement an M365 governance framework (naming conventions, Teams creation policies, lifecycle management)</w:t>
      </w:r>
    </w:p>
    <w:p>
      <w:pPr>
        <w:numPr>
          <w:ilvl w:val="0"/>
          <w:numId w:val="1001"/>
        </w:numPr>
        <w:pStyle w:val="Compact"/>
      </w:pPr>
      <w:r>
        <w:t xml:space="preserve">Configure security and compliance policies aligned with FSA (Financial Supervisory Authority) requirements</w:t>
      </w:r>
    </w:p>
    <w:p>
      <w:pPr>
        <w:numPr>
          <w:ilvl w:val="0"/>
          <w:numId w:val="1001"/>
        </w:numPr>
        <w:pStyle w:val="Compact"/>
      </w:pPr>
      <w:r>
        <w:t xml:space="preserve">Execute a comprehensive adoption program (change management) for all users</w:t>
      </w:r>
    </w:p>
    <w:p>
      <w:r>
        <w:pict>
          <v:rect style="width:0;height:1.5pt" o:hralign="center" o:hrstd="t" o:hr="t"/>
        </w:pict>
      </w:r>
    </w:p>
    <w:bookmarkEnd w:id="22"/>
    <w:bookmarkStart w:id="23" w:name="technologies-used"/>
    <w:p>
      <w:pPr>
        <w:pStyle w:val="Heading2"/>
      </w:pPr>
      <w:r>
        <w:t xml:space="preserve">4. Technologies Used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Exchange Online:</w:t>
      </w:r>
      <w:r>
        <w:t xml:space="preserve"> </w:t>
      </w:r>
      <w:r>
        <w:t xml:space="preserve">Cloud email service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Teams:</w:t>
      </w:r>
      <w:r>
        <w:t xml:space="preserve"> </w:t>
      </w:r>
      <w:r>
        <w:t xml:space="preserve">Unified communication, video conferencing, chat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SharePoint Online:</w:t>
      </w:r>
      <w:r>
        <w:t xml:space="preserve"> </w:t>
      </w:r>
      <w:r>
        <w:t xml:space="preserve">Document management, departmental sites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Entra ID (Azure AD):</w:t>
      </w:r>
      <w:r>
        <w:t xml:space="preserve"> </w:t>
      </w:r>
      <w:r>
        <w:t xml:space="preserve">Identity management, SSO, MFA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Intune:</w:t>
      </w:r>
      <w:r>
        <w:t xml:space="preserve"> </w:t>
      </w:r>
      <w:r>
        <w:t xml:space="preserve">Mobile device management (MDM/MAM)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Purview:</w:t>
      </w:r>
      <w:r>
        <w:t xml:space="preserve"> </w:t>
      </w:r>
      <w:r>
        <w:t xml:space="preserve">Data classification, DLP, audit and 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Microsoft Viva Engage (Yammer):</w:t>
      </w:r>
      <w:r>
        <w:t xml:space="preserve"> </w:t>
      </w:r>
      <w:r>
        <w:t xml:space="preserve">Organization-wide internal communication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ADMT + Exchange Hybrid:</w:t>
      </w:r>
      <w:r>
        <w:t xml:space="preserve"> </w:t>
      </w:r>
      <w:r>
        <w:t xml:space="preserve">Hybrid Exchange migration tooling</w:t>
      </w:r>
    </w:p>
    <w:p>
      <w:r>
        <w:pict>
          <v:rect style="width:0;height:1.5pt" o:hralign="center" o:hrstd="t" o:hr="t"/>
        </w:pict>
      </w:r>
    </w:p>
    <w:bookmarkEnd w:id="23"/>
    <w:bookmarkStart w:id="29" w:name="implementation-steps"/>
    <w:p>
      <w:pPr>
        <w:pStyle w:val="Heading2"/>
      </w:pPr>
      <w:r>
        <w:t xml:space="preserve">5. Implementation Steps</w:t>
      </w:r>
    </w:p>
    <w:bookmarkStart w:id="24" w:name="X7a16a43b042f2289618b99ff64cb2c54a84f2fa"/>
    <w:p>
      <w:pPr>
        <w:pStyle w:val="Heading3"/>
      </w:pPr>
      <w:r>
        <w:t xml:space="preserve">Phase 1 – Design &amp; Governance (January – February 2024)</w:t>
      </w:r>
    </w:p>
    <w:p>
      <w:pPr>
        <w:pStyle w:val="FirstParagraph"/>
      </w:pPr>
      <w:r>
        <w:t xml:space="preserve">Workshops were held with all departments to gather requirements. A Governance Framework document was developed covering: Teams structure (channel types, naming conventions), data retention policies (1 year/5 years/permanent by document category), and information classification levels (Public, Internal, Confidential, Strictly Confidential). Initial M365 tenant configuration and security baseline settings were applied.</w:t>
      </w:r>
    </w:p>
    <w:bookmarkEnd w:id="24"/>
    <w:bookmarkStart w:id="25" w:name="phase-2-pilot-february-march-2024"/>
    <w:p>
      <w:pPr>
        <w:pStyle w:val="Heading3"/>
      </w:pPr>
      <w:r>
        <w:t xml:space="preserve">Phase 2 – Pilot (February – March 2024)</w:t>
      </w:r>
    </w:p>
    <w:p>
      <w:pPr>
        <w:pStyle w:val="FirstParagraph"/>
      </w:pPr>
      <w:r>
        <w:t xml:space="preserve">Pilot conducted with the IT department (120 users): full configuration, Exchange Hybrid testing, and first training session. Mailbox migration procedures and security settings were validated.</w:t>
      </w:r>
    </w:p>
    <w:bookmarkEnd w:id="25"/>
    <w:bookmarkStart w:id="26" w:name="X6b2ec5d9425723106f3dc192cbc45d72725f00f"/>
    <w:p>
      <w:pPr>
        <w:pStyle w:val="Heading3"/>
      </w:pPr>
      <w:r>
        <w:t xml:space="preserve">Phase 3 – Email Migration and Teams Rollout (March – May 2024)</w:t>
      </w:r>
    </w:p>
    <w:p>
      <w:pPr>
        <w:pStyle w:val="FirstParagraph"/>
      </w:pPr>
      <w:r>
        <w:t xml:space="preserve">Migration was executed in 6 batches of approximately 300 users each, with every batch preceded by a 2-hour training session. Teams was activated simultaneously with mailbox migration. Skype for Business was progressively decommissioned.</w:t>
      </w:r>
    </w:p>
    <w:bookmarkEnd w:id="26"/>
    <w:bookmarkStart w:id="27" w:name="Xf7dab42eb5600f13aaca7d09e6c183f0c374669"/>
    <w:p>
      <w:pPr>
        <w:pStyle w:val="Heading3"/>
      </w:pPr>
      <w:r>
        <w:t xml:space="preserve">Phase 4 – SharePoint and Compliance (May – June 2024)</w:t>
      </w:r>
    </w:p>
    <w:p>
      <w:pPr>
        <w:pStyle w:val="FirstParagraph"/>
      </w:pPr>
      <w:r>
        <w:t xml:space="preserve">Departmental SharePoint sites were created and approximately 4 TB of documents were migrated from network drives. Purview DLP policies and sensitivity labels were implemented. Intune was configured for mobile devices.</w:t>
      </w:r>
    </w:p>
    <w:bookmarkEnd w:id="27"/>
    <w:bookmarkStart w:id="28" w:name="X5aa0dd67c607f9d6209af0d98bc694bba29dc06"/>
    <w:p>
      <w:pPr>
        <w:pStyle w:val="Heading3"/>
      </w:pPr>
      <w:r>
        <w:t xml:space="preserve">Phase 5 – Stabilization and Adoption (July 2024)</w:t>
      </w:r>
    </w:p>
    <w:p>
      <w:pPr>
        <w:pStyle w:val="FirstParagraph"/>
      </w:pPr>
      <w:r>
        <w:t xml:space="preserve">Advanced adoption sessions for Power Users, M365 Usage Analytics configuration, post-launch incident remediation, and operational documentation for the internal IT team.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hallenges-encountered-and-solutions"/>
    <w:p>
      <w:pPr>
        <w:pStyle w:val="Heading2"/>
      </w:pPr>
      <w:r>
        <w:t xml:space="preserve">6. Challenges Encountered and Solutions</w:t>
      </w:r>
    </w:p>
    <w:p>
      <w:pPr>
        <w:pStyle w:val="FirstParagraph"/>
      </w:pPr>
      <w:r>
        <w:rPr>
          <w:bCs/>
          <w:b/>
        </w:rPr>
        <w:t xml:space="preserve">Challenge 1 – Oversized mailboxes</w:t>
      </w:r>
      <w:r>
        <w:t xml:space="preserve"> </w:t>
      </w:r>
      <w:r>
        <w:t xml:space="preserve">47 mailboxes exceeded 50 GB (the Exchange Online limit without an Enterprise license). Solution: Cristina Dumitru created a PowerShell archiving script and configured Online Archive for these accounts, reducing sizes before migration.</w:t>
      </w:r>
    </w:p>
    <w:p>
      <w:pPr>
        <w:pStyle w:val="BodyText"/>
      </w:pPr>
      <w:r>
        <w:rPr>
          <w:bCs/>
          <w:b/>
        </w:rPr>
        <w:t xml:space="preserve">Challenge 2 – DLP policies blocking legitimate business flows</w:t>
      </w:r>
      <w:r>
        <w:t xml:space="preserve"> </w:t>
      </w:r>
      <w:r>
        <w:t xml:space="preserve">Conservatively configured DLP policies were blocking internal document sharing containing insurance data between departments. Solution: Andrei Stancu created exceptions based on security groups and refined DLP rules after analyzing 3 weeks of audit logs.</w:t>
      </w:r>
    </w:p>
    <w:p>
      <w:pPr>
        <w:pStyle w:val="BodyText"/>
      </w:pPr>
      <w:r>
        <w:rPr>
          <w:bCs/>
          <w:b/>
        </w:rPr>
        <w:t xml:space="preserve">Challenge 3 – Sales agent resistance to Teams</w:t>
      </w:r>
      <w:r>
        <w:t xml:space="preserve"> </w:t>
      </w:r>
      <w:r>
        <w:t xml:space="preserve">Sales agents accustomed to phone calls refused to adopt Teams. Solution: Katharina Müller organized role-specific demonstration sessions focused on concrete agent benefits (document sharing with clients, screen-sharing video calls) and launched a Teams Champions program.</w:t>
      </w:r>
    </w:p>
    <w:p>
      <w:pPr>
        <w:pStyle w:val="BodyText"/>
      </w:pPr>
      <w:r>
        <w:rPr>
          <w:bCs/>
          <w:b/>
        </w:rPr>
        <w:t xml:space="preserve">Challenge 4 – Disorganized content during SharePoint migration</w:t>
      </w:r>
      <w:r>
        <w:t xml:space="preserve"> </w:t>
      </w:r>
      <w:r>
        <w:t xml:space="preserve">Network drives contained duplicate files and inconsistent folder structures accumulated over 15 years. Solution: SharePoint Migration Tool was used with pre-processing via Python scripts for deduplication and folder structure normalization before migration.</w:t>
      </w:r>
    </w:p>
    <w:p>
      <w:r>
        <w:pict>
          <v:rect style="width:0;height:1.5pt" o:hralign="center" o:hrstd="t" o:hr="t"/>
        </w:pict>
      </w:r>
    </w:p>
    <w:bookmarkEnd w:id="30"/>
    <w:bookmarkStart w:id="31" w:name="collaboration-model"/>
    <w:p>
      <w:pPr>
        <w:pStyle w:val="Heading2"/>
      </w:pPr>
      <w:r>
        <w:t xml:space="preserve">7. Collaboration Model</w:t>
      </w:r>
    </w:p>
    <w:p>
      <w:pPr>
        <w:pStyle w:val="FirstParagraph"/>
      </w:pPr>
      <w:r>
        <w:t xml:space="preserve">BearingPoint operated predominantly remote with weekly on-site visits to the Bucharest headquarters. A dedicated project Team (created in M365 itself) with phase-specific channels, a project SharePoint site with all deliverables, and an active post-launch support channel were maintained for 60 days.</w:t>
      </w:r>
    </w:p>
    <w:p>
      <w:r>
        <w:pict>
          <v:rect style="width:0;height:1.5pt" o:hralign="center" o:hrstd="t" o:hr="t"/>
        </w:pict>
      </w:r>
    </w:p>
    <w:bookmarkEnd w:id="31"/>
    <w:bookmarkStart w:id="32" w:name="results-achieved"/>
    <w:p>
      <w:pPr>
        <w:pStyle w:val="Heading2"/>
      </w:pPr>
      <w:r>
        <w:t xml:space="preserve">8. Results Achieved</w:t>
      </w:r>
    </w:p>
    <w:p>
      <w:pPr>
        <w:numPr>
          <w:ilvl w:val="0"/>
          <w:numId w:val="1003"/>
        </w:numPr>
        <w:pStyle w:val="Compact"/>
      </w:pPr>
      <w:r>
        <w:t xml:space="preserve">100% of users migrated within the planned timeline</w:t>
      </w:r>
    </w:p>
    <w:p>
      <w:pPr>
        <w:numPr>
          <w:ilvl w:val="0"/>
          <w:numId w:val="1003"/>
        </w:numPr>
        <w:pStyle w:val="Compact"/>
      </w:pPr>
      <w:r>
        <w:t xml:space="preserve">Teams adoption rate at 30 days: 87% weekly active users</w:t>
      </w:r>
    </w:p>
    <w:p>
      <w:pPr>
        <w:numPr>
          <w:ilvl w:val="0"/>
          <w:numId w:val="1003"/>
        </w:numPr>
        <w:pStyle w:val="Compact"/>
      </w:pPr>
      <w:r>
        <w:t xml:space="preserve">Complete elimination of Skype for Business and unauthorized Dropbox usage</w:t>
      </w:r>
    </w:p>
    <w:p>
      <w:pPr>
        <w:numPr>
          <w:ilvl w:val="0"/>
          <w:numId w:val="1003"/>
        </w:numPr>
        <w:pStyle w:val="Compact"/>
      </w:pPr>
      <w:r>
        <w:t xml:space="preserve">Zero data-related security incidents in the first 6 months</w:t>
      </w:r>
    </w:p>
    <w:p>
      <w:pPr>
        <w:numPr>
          <w:ilvl w:val="0"/>
          <w:numId w:val="1003"/>
        </w:numPr>
        <w:pStyle w:val="Compact"/>
      </w:pPr>
      <w:r>
        <w:t xml:space="preserve">Estimated savings of €340,000/year compared to on-premise infrastructure</w:t>
      </w:r>
    </w:p>
    <w:p>
      <w:r>
        <w:pict>
          <v:rect style="width:0;height:1.5pt" o:hralign="center" o:hrstd="t" o:hr="t"/>
        </w:pict>
      </w:r>
    </w:p>
    <w:bookmarkEnd w:id="32"/>
    <w:bookmarkStart w:id="33" w:name="lessons-learned"/>
    <w:p>
      <w:pPr>
        <w:pStyle w:val="Heading2"/>
      </w:pPr>
      <w:r>
        <w:t xml:space="preserve">9. Lessons Learned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The Governance Framework must be defined before any deployment:</w:t>
      </w:r>
      <w:r>
        <w:t xml:space="preserve"> </w:t>
      </w:r>
      <w:r>
        <w:t xml:space="preserve">Without clear rules from the start, users create chaotic structures that are very costly to remediate later.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Role-specific training delivers far greater ROI than generic sessions:</w:t>
      </w:r>
      <w:r>
        <w:t xml:space="preserve"> </w:t>
      </w:r>
      <w:r>
        <w:t xml:space="preserve">Sales agents adopted faster after dedicated sessions compared to all other user groups.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 classification is a project in its own right:</w:t>
      </w:r>
      <w:r>
        <w:t xml:space="preserve"> </w:t>
      </w:r>
      <w:r>
        <w:t xml:space="preserve">Underestimating the time required for SharePoint document inventory and classification extended Phase 4 by 3 weeks.</w:t>
      </w:r>
    </w:p>
    <w:bookmarkEnd w:id="33"/>
    <w:bookmarkEnd w:id="34"/>
    <w:sectPr>
      <w:footerReference r:id="rId9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BearingPoint | Confidential 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00000001"/>
      <w:numFmt w:val="bullet"/>
      <w:lvlText w:val="●"/>
      <w:lvlJc w:val="left"/>
      <w:pPr>
        <w:ind w:hanging="360" w:left="720"/>
      </w:pPr>
    </w:lvl>
    <w:lvl w15:tentative="1" w:ilvl="1">
      <w:start w:val="00000001"/>
      <w:numFmt w:val="bullet"/>
      <w:lvlText w:val="○"/>
      <w:lvlJc w:val="left"/>
      <w:pPr>
        <w:ind w:hanging="360" w:left="1440"/>
      </w:pPr>
    </w:lvl>
    <w:lvl w15:tentative="1" w:ilvl="2">
      <w:start w:val="00000001"/>
      <w:numFmt w:val="bullet"/>
      <w:lvlText w:val="■"/>
      <w:lvlJc w:val="left"/>
      <w:pPr>
        <w:ind w:hanging="360" w:left="2160"/>
      </w:pPr>
    </w:lvl>
    <w:lvl w15:tentative="1" w:ilvl="3">
      <w:start w:val="00000001"/>
      <w:numFmt w:val="bullet"/>
      <w:lvlText w:val="●"/>
      <w:lvlJc w:val="left"/>
      <w:pPr>
        <w:ind w:hanging="360" w:left="2880"/>
      </w:pPr>
    </w:lvl>
    <w:lvl w15:tentative="1" w:ilvl="4">
      <w:start w:val="00000001"/>
      <w:numFmt w:val="bullet"/>
      <w:lvlText w:val="○"/>
      <w:lvlJc w:val="left"/>
      <w:pPr>
        <w:ind w:hanging="360" w:left="3600"/>
      </w:pPr>
    </w:lvl>
    <w:lvl w15:tentative="1" w:ilvl="5">
      <w:start w:val="00000001"/>
      <w:numFmt w:val="bullet"/>
      <w:lvlText w:val="■"/>
      <w:lvlJc w:val="left"/>
      <w:pPr>
        <w:ind w:hanging="360" w:left="4320"/>
      </w:pPr>
    </w:lvl>
    <w:lvl w15:tentative="1" w:ilvl="6">
      <w:start w:val="00000001"/>
      <w:numFmt w:val="bullet"/>
      <w:lvlText w:val="●"/>
      <w:lvlJc w:val="left"/>
      <w:pPr>
        <w:ind w:hanging="360" w:left="5040"/>
      </w:pPr>
    </w:lvl>
    <w:lvl w15:tentative="1" w:ilvl="7">
      <w:start w:val="00000001"/>
      <w:numFmt w:val="bullet"/>
      <w:lvlText w:val="●"/>
      <w:lvlJc w:val="left"/>
      <w:pPr>
        <w:ind w:hanging="360" w:left="5760"/>
      </w:pPr>
    </w:lvl>
    <w:lvl w15:tentative="1" w:ilvl="8">
      <w:start w:val="0000000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00000001"/>
      <w:numFmt w:val="bullet"/>
      <w:lvlText w:val="•"/>
      <w:lvlJc w:val="left"/>
      <w:pPr>
        <w:ind w:hanging="360" w:left="720"/>
      </w:pPr>
      <w:rPr>
        <w:rFonts w:ascii="Calibri" w:cs="Calibri" w:eastAsia="Calibri" w:hAnsi="Calibri"/>
      </w:rPr>
    </w:lvl>
  </w:abstractNum>
  <w:abstractNum w15:restartNumberingAfterBreak="0" w:abstractNumId="3">
    <w:multiLevelType w:val="hybridMultilevel"/>
    <w:lvl w15:tentative="1" w:ilvl="0">
      <w:start w:val="00000001"/>
      <w:numFmt w:val="decimal"/>
      <w:lvlText w:val="%1.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00000001"/>
      <w:numFmt w:val="decimal"/>
      <w:lvlText w:val="%1."/>
      <w:lvlJc w:val="left"/>
      <w:pPr>
        <w:ind w:left="720" w:hanging="480"/>
      </w:pPr>
    </w:lvl>
    <w:lvl w:ilvl="1">
      <w:start w:val="00000001"/>
      <w:numFmt w:val="decimal"/>
      <w:lvlText w:val="%2."/>
      <w:lvlJc w:val="left"/>
      <w:pPr>
        <w:ind w:left="1440" w:hanging="480"/>
      </w:pPr>
    </w:lvl>
    <w:lvl w:ilvl="2">
      <w:start w:val="00000001"/>
      <w:numFmt w:val="decimal"/>
      <w:lvlText w:val="%3."/>
      <w:lvlJc w:val="left"/>
      <w:pPr>
        <w:ind w:left="2160" w:hanging="480"/>
      </w:pPr>
    </w:lvl>
    <w:lvl w:ilvl="3">
      <w:start w:val="00000001"/>
      <w:numFmt w:val="decimal"/>
      <w:lvlText w:val="%4."/>
      <w:lvlJc w:val="left"/>
      <w:pPr>
        <w:ind w:left="2880" w:hanging="480"/>
      </w:pPr>
    </w:lvl>
    <w:lvl w:ilvl="4">
      <w:start w:val="00000001"/>
      <w:numFmt w:val="decimal"/>
      <w:lvlText w:val="%5."/>
      <w:lvlJc w:val="left"/>
      <w:pPr>
        <w:ind w:left="3600" w:hanging="480"/>
      </w:pPr>
    </w:lvl>
    <w:lvl w:ilvl="5">
      <w:start w:val="00000001"/>
      <w:numFmt w:val="decimal"/>
      <w:lvlText w:val="%6."/>
      <w:lvlJc w:val="left"/>
      <w:pPr>
        <w:ind w:left="4320" w:hanging="480"/>
      </w:pPr>
    </w:lvl>
    <w:lvl w:ilvl="6">
      <w:start w:val="00000001"/>
      <w:numFmt w:val="decimal"/>
      <w:lvlText w:val="%7."/>
      <w:lvlJc w:val="left"/>
      <w:pPr>
        <w:ind w:left="5040" w:hanging="480"/>
      </w:pPr>
    </w:lvl>
    <w:lvl w:ilvl="7">
      <w:start w:val="00000001"/>
      <w:numFmt w:val="decimal"/>
      <w:lvlText w:val="%8."/>
      <w:lvlJc w:val="left"/>
      <w:pPr>
        <w:ind w:left="5760" w:hanging="480"/>
      </w:pPr>
    </w:lvl>
    <w:lvl w:ilvl="8">
      <w:start w:val="00000001"/>
      <w:numFmt w:val="decimal"/>
      <w:lvlText w:val="%9."/>
      <w:lvlJc w:val="left"/>
      <w:pPr>
        <w:ind w:left="6480" w:hanging="480"/>
      </w:pPr>
    </w:lvl>
  </w:abstractNum>
  <w:num w:numId="1">
    <w:abstractNumId w:val="00000001"/>
    <w:lvlOverride w:ilvl="0">
      <w:startOverride w:val="00000001"/>
    </w:lvlOverride>
  </w:num>
  <w:num w:numId="2">
    <w:abstractNumId w:val="00000002"/>
    <w:lvlOverride w:ilvl="0">
      <w:startOverride w:val="00000001"/>
    </w:lvlOverride>
  </w:num>
  <w:num w:numId="3">
    <w:abstractNumId w:val="00000003"/>
    <w:lvlOverride w:ilvl="0">
      <w:startOverride w:val="00000001"/>
    </w:lvlOverride>
  </w:num>
  <w:num w:numId="1000">
    <w:abstractNumId w:val="00000990"/>
  </w:num>
  <w:num w:numId="1001">
    <w:abstractNumId w:val="00000991"/>
  </w:num>
  <w:num w:numId="1002">
    <w:abstractNumId w:val="00000991"/>
  </w:num>
  <w:num w:numId="1003">
    <w:abstractNumId w:val="00000991"/>
  </w:num>
  <w:num w:numId="1004">
    <w:abstractNumId w:val="00099411"/>
    <w:lvlOverride w:ilvl="0">
      <w:startOverride w:val="00000001"/>
    </w:lvlOverride>
    <w:lvlOverride w:ilvl="1">
      <w:startOverride w:val="00000001"/>
    </w:lvlOverride>
    <w:lvlOverride w:ilvl="2">
      <w:startOverride w:val="00000001"/>
    </w:lvlOverride>
    <w:lvlOverride w:ilvl="3">
      <w:startOverride w:val="00000001"/>
    </w:lvlOverride>
    <w:lvlOverride w:ilvl="4">
      <w:startOverride w:val="00000001"/>
    </w:lvlOverride>
    <w:lvlOverride w:ilvl="5">
      <w:startOverride w:val="00000001"/>
    </w:lvlOverride>
    <w:lvlOverride w:ilvl="6">
      <w:startOverride w:val="00000001"/>
    </w:lvlOverride>
    <w:lvlOverride w:ilvl="7">
      <w:startOverride w:val="00000001"/>
    </w:lvlOverride>
    <w:lvlOverride w:ilvl="8">
      <w:startOverride w:val="0000000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1B3A6B" w:space="4" w:sz="6" w:val="single"/>
      </w:pBdr>
      <w:spacing w:after="120" w:before="36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1B3A6B"/>
      <w:sz w:val="26"/>
      <w:szCs w:val="26"/>
    </w:rPr>
  </w:style>
  <w:style w:styleId="Heading3" w:type="paragraph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  <w:style w:styleId="Normal" w:type="paragraph">
    <w:name w:val="Normal"/>
    <w:qFormat/>
    <w:pPr>
      <w:spacing w:after="120" w:line="276"/>
    </w:pPr>
    <w:rPr>
      <w:rFonts w:ascii="Calibri" w:cs="Calibri" w:eastAsia="Calibri" w:hAnsi="Calibri"/>
      <w:color w:val="2C2C2C"/>
      <w:sz w:val="22"/>
      <w:szCs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365 Implementation and Governance Strategy</dc:title>
  <dc:creator>BearingPoint</dc:creator>
  <cp:keywords/>
  <dcterms:created xsi:type="dcterms:W3CDTF">2026-06-12T08:38:46Z</dcterms:created>
  <dcterms:modified xsi:type="dcterms:W3CDTF">2026-06-12T08:38:46Z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– July 2024</vt:lpwstr>
  </property>
  <property fmtid="{D5CDD505-2E9C-101B-9397-08002B2CF9AE}" pid="3" name="subtitle">
    <vt:lpwstr>Accepted Project Proposal – Nordica Insurance S.A.</vt:lpwstr>
  </property>
</Properties>
</file>