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SAP</w:t>
      </w:r>
      <w:r>
        <w:t xml:space="preserve"> </w:t>
      </w:r>
      <w:r>
        <w:t xml:space="preserve">S/4HANA</w:t>
      </w:r>
      <w:r>
        <w:t xml:space="preserve"> </w:t>
      </w:r>
      <w:r>
        <w:t xml:space="preserve">2023</w:t>
      </w:r>
      <w:r>
        <w:t xml:space="preserve"> </w:t>
      </w:r>
      <w:r>
        <w:t xml:space="preserve">System</w:t>
      </w:r>
      <w:r>
        <w:t xml:space="preserve"> </w:t>
      </w:r>
      <w:r>
        <w:t xml:space="preserve">Conversion</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Centrorom</w:t>
      </w:r>
      <w:r>
        <w:t xml:space="preserve"> </w:t>
      </w:r>
      <w:r>
        <w:t xml:space="preserve">Distribution</w:t>
      </w:r>
      <w:r>
        <w:t xml:space="preserve"> </w:t>
      </w:r>
      <w:r>
        <w:t xml:space="preserve">S.R.L.</w:t>
      </w:r>
    </w:p>
    <w:p>
      <w:pPr>
        <w:pStyle w:val="Author"/>
      </w:pPr>
      <w:r>
        <w:t xml:space="preserve">BearingPoint</w:t>
      </w:r>
    </w:p>
    <w:p>
      <w:pPr>
        <w:pStyle w:val="Date"/>
      </w:pPr>
      <w:r>
        <w:t xml:space="preserve">April</w:t>
      </w:r>
      <w:r>
        <w:t xml:space="preserve"> </w:t>
      </w:r>
      <w:r>
        <w:t xml:space="preserve">2023</w:t>
      </w:r>
      <w:r>
        <w:t xml:space="preserve"> </w:t>
      </w:r>
      <w:r>
        <w:t xml:space="preserve">–</w:t>
      </w:r>
      <w:r>
        <w:t xml:space="preserve"> </w:t>
      </w:r>
      <w:r>
        <w:t xml:space="preserve">February</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sap-s4hana-2023-system-conversion"/>
    <w:p>
      <w:pPr>
        <w:pStyle w:val="Heading1"/>
      </w:pPr>
      <w:r>
        <w:t xml:space="preserve">SAP S/4HANA 2023 System Conversion</w:t>
      </w:r>
    </w:p>
    <w:p>
      <w:pPr>
        <w:pStyle w:val="FirstParagraph"/>
      </w:pPr>
      <w:r>
        <w:rPr>
          <w:bCs/>
          <w:b/>
        </w:rPr>
        <w:t xml:space="preserve">Client:</w:t>
      </w:r>
      <w:r>
        <w:t xml:space="preserve"> </w:t>
      </w:r>
      <w:r>
        <w:t xml:space="preserve">Centrorom Distribution S.R.L.</w:t>
      </w:r>
      <w:r>
        <w:t xml:space="preserve"> </w:t>
      </w:r>
      <w:r>
        <w:rPr>
          <w:bCs/>
          <w:b/>
        </w:rPr>
        <w:t xml:space="preserve">Industry:</w:t>
      </w:r>
      <w:r>
        <w:t xml:space="preserve"> </w:t>
      </w:r>
      <w:r>
        <w:t xml:space="preserve">Distribution and Logistics</w:t>
      </w:r>
      <w:r>
        <w:t xml:space="preserve"> </w:t>
      </w:r>
      <w:r>
        <w:rPr>
          <w:bCs/>
          <w:b/>
        </w:rPr>
        <w:t xml:space="preserve">Engagement Period:</w:t>
      </w:r>
      <w:r>
        <w:t xml:space="preserve"> </w:t>
      </w:r>
      <w:r>
        <w:t xml:space="preserve">April 2023 – February 2024 (11 months)</w:t>
      </w:r>
      <w:r>
        <w:t xml:space="preserve"> </w:t>
      </w:r>
      <w:r>
        <w:rPr>
          <w:bCs/>
          <w:b/>
        </w:rPr>
        <w:t xml:space="preserve">Engagement Type:</w:t>
      </w:r>
      <w:r>
        <w:t xml:space="preserve"> </w:t>
      </w:r>
      <w:r>
        <w:t xml:space="preserve">SAP System Conversion (Brownfield Migration)</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Centrorom Distribution S.R.L. is one of Romania’s leading FMCG wholesale distributors, managing a portfolio of 12,000 SKUs across 800 employees and 3 distribution centers. The company operated on SAP ECC 6.0 (Enhancement Pack 6), implemented in 2011, with numerous customizations accumulated over time. The approaching end of mainstream maintenance for SAP ECC (2027) and the desire to leverage native SAP S/4HANA capabilities (Fiori, embedded analytics, simplified data models) motivated the migration decision.</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Stefan Weber</w:t>
            </w:r>
          </w:p>
        </w:tc>
        <w:tc>
          <w:tcPr/>
          <w:p>
            <w:pPr>
              <w:pStyle w:val="Compact"/>
              <w:jc w:val="left"/>
            </w:pPr>
            <w:r>
              <w:t xml:space="preserve">SAP Lead Consultant</w:t>
            </w:r>
          </w:p>
        </w:tc>
        <w:tc>
          <w:tcPr/>
          <w:p>
            <w:pPr>
              <w:pStyle w:val="Compact"/>
              <w:jc w:val="left"/>
            </w:pPr>
            <w:r>
              <w:t xml:space="preserve">SAP S/4HANA, FI/CO, SD, MM</w:t>
            </w:r>
          </w:p>
        </w:tc>
      </w:tr>
      <w:tr>
        <w:tc>
          <w:tcPr/>
          <w:p>
            <w:pPr>
              <w:pStyle w:val="Compact"/>
              <w:jc w:val="left"/>
            </w:pPr>
            <w:r>
              <w:t xml:space="preserve">Thomas Fischer</w:t>
            </w:r>
          </w:p>
        </w:tc>
        <w:tc>
          <w:tcPr/>
          <w:p>
            <w:pPr>
              <w:pStyle w:val="Compact"/>
              <w:jc w:val="left"/>
            </w:pPr>
            <w:r>
              <w:t xml:space="preserve">SAP Basis Engineer</w:t>
            </w:r>
          </w:p>
        </w:tc>
        <w:tc>
          <w:tcPr/>
          <w:p>
            <w:pPr>
              <w:pStyle w:val="Compact"/>
              <w:jc w:val="left"/>
            </w:pPr>
            <w:r>
              <w:t xml:space="preserve">HANA DB, SUM, SAP system administration</w:t>
            </w:r>
          </w:p>
        </w:tc>
      </w:tr>
      <w:tr>
        <w:tc>
          <w:tcPr/>
          <w:p>
            <w:pPr>
              <w:pStyle w:val="Compact"/>
              <w:jc w:val="left"/>
            </w:pPr>
            <w:r>
              <w:t xml:space="preserve">Alexandru Dinu</w:t>
            </w:r>
          </w:p>
        </w:tc>
        <w:tc>
          <w:tcPr/>
          <w:p>
            <w:pPr>
              <w:pStyle w:val="Compact"/>
              <w:jc w:val="left"/>
            </w:pPr>
            <w:r>
              <w:t xml:space="preserve">Integration Architect</w:t>
            </w:r>
          </w:p>
        </w:tc>
        <w:tc>
          <w:tcPr/>
          <w:p>
            <w:pPr>
              <w:pStyle w:val="Compact"/>
              <w:jc w:val="left"/>
            </w:pPr>
            <w:r>
              <w:t xml:space="preserve">SAP Integration Suite, APIs, middleware</w:t>
            </w:r>
          </w:p>
        </w:tc>
      </w:tr>
      <w:tr>
        <w:tc>
          <w:tcPr/>
          <w:p>
            <w:pPr>
              <w:pStyle w:val="Compact"/>
              <w:jc w:val="left"/>
            </w:pPr>
            <w:r>
              <w:t xml:space="preserve">Ioana Vlad</w:t>
            </w:r>
          </w:p>
        </w:tc>
        <w:tc>
          <w:tcPr/>
          <w:p>
            <w:pPr>
              <w:pStyle w:val="Compact"/>
              <w:jc w:val="left"/>
            </w:pPr>
            <w:r>
              <w:t xml:space="preserve">Business Analyst</w:t>
            </w:r>
          </w:p>
        </w:tc>
        <w:tc>
          <w:tcPr/>
          <w:p>
            <w:pPr>
              <w:pStyle w:val="Compact"/>
              <w:jc w:val="left"/>
            </w:pPr>
            <w:r>
              <w:t xml:space="preserve">Business processes, testing, documentation</w:t>
            </w:r>
          </w:p>
        </w:tc>
      </w:tr>
      <w:tr>
        <w:tc>
          <w:tcPr/>
          <w:p>
            <w:pPr>
              <w:pStyle w:val="Compact"/>
              <w:jc w:val="left"/>
            </w:pPr>
            <w:r>
              <w:t xml:space="preserve">Ana-Maria Popescu</w:t>
            </w:r>
          </w:p>
        </w:tc>
        <w:tc>
          <w:tcPr/>
          <w:p>
            <w:pPr>
              <w:pStyle w:val="Compact"/>
              <w:jc w:val="left"/>
            </w:pPr>
            <w:r>
              <w:t xml:space="preserve">Project Manager</w:t>
            </w:r>
          </w:p>
        </w:tc>
        <w:tc>
          <w:tcPr/>
          <w:p>
            <w:pPr>
              <w:pStyle w:val="Compact"/>
              <w:jc w:val="left"/>
            </w:pPr>
            <w:r>
              <w:t xml:space="preserve">SAP projects, SAP Activate methodology</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Convert the SAP ECC 6.0 system to SAP S/4HANA 2023 using a Brownfield (System Conversion) approach</w:t>
      </w:r>
    </w:p>
    <w:p>
      <w:pPr>
        <w:numPr>
          <w:ilvl w:val="0"/>
          <w:numId w:val="1001"/>
        </w:numPr>
        <w:pStyle w:val="Compact"/>
      </w:pPr>
      <w:r>
        <w:t xml:space="preserve">Migrate the database from Oracle 12c to SAP HANA 2.0</w:t>
      </w:r>
    </w:p>
    <w:p>
      <w:pPr>
        <w:numPr>
          <w:ilvl w:val="0"/>
          <w:numId w:val="1001"/>
        </w:numPr>
        <w:pStyle w:val="Compact"/>
      </w:pPr>
      <w:r>
        <w:t xml:space="preserve">Upgrade the UI to SAP Fiori (Launchpad and standard Fiori apps)</w:t>
      </w:r>
    </w:p>
    <w:p>
      <w:pPr>
        <w:numPr>
          <w:ilvl w:val="0"/>
          <w:numId w:val="1001"/>
        </w:numPr>
        <w:pStyle w:val="Compact"/>
      </w:pPr>
      <w:r>
        <w:t xml:space="preserve">Remediate and simplify accumulated customizations (clean ABAP custom code)</w:t>
      </w:r>
    </w:p>
    <w:p>
      <w:pPr>
        <w:numPr>
          <w:ilvl w:val="0"/>
          <w:numId w:val="1001"/>
        </w:numPr>
        <w:pStyle w:val="Compact"/>
      </w:pPr>
      <w:r>
        <w:t xml:space="preserve">Re-integrate satellite systems (WMS, EDI with partners) on the new S/4HANA APIs</w:t>
      </w:r>
    </w:p>
    <w:p>
      <w:pPr>
        <w:numPr>
          <w:ilvl w:val="0"/>
          <w:numId w:val="1001"/>
        </w:numPr>
        <w:pStyle w:val="Compact"/>
      </w:pPr>
      <w:r>
        <w:t xml:space="preserve">Train key users and the internal IT team</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SAP S/4HANA 2023:</w:t>
      </w:r>
      <w:r>
        <w:t xml:space="preserve"> </w:t>
      </w:r>
      <w:r>
        <w:t xml:space="preserve">Target ERP platform</w:t>
      </w:r>
    </w:p>
    <w:p>
      <w:pPr>
        <w:numPr>
          <w:ilvl w:val="0"/>
          <w:numId w:val="1002"/>
        </w:numPr>
        <w:pStyle w:val="Compact"/>
      </w:pPr>
      <w:r>
        <w:rPr>
          <w:bCs/>
          <w:b/>
        </w:rPr>
        <w:t xml:space="preserve">SAP HANA 2.0 SPS07:</w:t>
      </w:r>
      <w:r>
        <w:t xml:space="preserve"> </w:t>
      </w:r>
      <w:r>
        <w:t xml:space="preserve">In-memory database</w:t>
      </w:r>
    </w:p>
    <w:p>
      <w:pPr>
        <w:numPr>
          <w:ilvl w:val="0"/>
          <w:numId w:val="1002"/>
        </w:numPr>
        <w:pStyle w:val="Compact"/>
      </w:pPr>
      <w:r>
        <w:rPr>
          <w:bCs/>
          <w:b/>
        </w:rPr>
        <w:t xml:space="preserve">SAP Readiness Check 2.0:</w:t>
      </w:r>
      <w:r>
        <w:t xml:space="preserve"> </w:t>
      </w:r>
      <w:r>
        <w:t xml:space="preserve">Conversion readiness assessment</w:t>
      </w:r>
    </w:p>
    <w:p>
      <w:pPr>
        <w:numPr>
          <w:ilvl w:val="0"/>
          <w:numId w:val="1002"/>
        </w:numPr>
        <w:pStyle w:val="Compact"/>
      </w:pPr>
      <w:r>
        <w:rPr>
          <w:bCs/>
          <w:b/>
        </w:rPr>
        <w:t xml:space="preserve">SAP Custom Code Migration App (CCMA):</w:t>
      </w:r>
      <w:r>
        <w:t xml:space="preserve"> </w:t>
      </w:r>
      <w:r>
        <w:t xml:space="preserve">ABAP custom code analysis and remediation</w:t>
      </w:r>
    </w:p>
    <w:p>
      <w:pPr>
        <w:numPr>
          <w:ilvl w:val="0"/>
          <w:numId w:val="1002"/>
        </w:numPr>
        <w:pStyle w:val="Compact"/>
      </w:pPr>
      <w:r>
        <w:rPr>
          <w:bCs/>
          <w:b/>
        </w:rPr>
        <w:t xml:space="preserve">Software Update Manager (SUM) + DMO:</w:t>
      </w:r>
      <w:r>
        <w:t xml:space="preserve"> </w:t>
      </w:r>
      <w:r>
        <w:t xml:space="preserve">Conversion and data migration tooling</w:t>
      </w:r>
    </w:p>
    <w:p>
      <w:pPr>
        <w:numPr>
          <w:ilvl w:val="0"/>
          <w:numId w:val="1002"/>
        </w:numPr>
        <w:pStyle w:val="Compact"/>
      </w:pPr>
      <w:r>
        <w:rPr>
          <w:bCs/>
          <w:b/>
        </w:rPr>
        <w:t xml:space="preserve">SAP Fiori Launchpad:</w:t>
      </w:r>
      <w:r>
        <w:t xml:space="preserve"> </w:t>
      </w:r>
      <w:r>
        <w:t xml:space="preserve">Modernized user interface</w:t>
      </w:r>
    </w:p>
    <w:p>
      <w:pPr>
        <w:numPr>
          <w:ilvl w:val="0"/>
          <w:numId w:val="1002"/>
        </w:numPr>
        <w:pStyle w:val="Compact"/>
      </w:pPr>
      <w:r>
        <w:rPr>
          <w:bCs/>
          <w:b/>
        </w:rPr>
        <w:t xml:space="preserve">SAP Integration Suite (CPI):</w:t>
      </w:r>
      <w:r>
        <w:t xml:space="preserve"> </w:t>
      </w:r>
      <w:r>
        <w:t xml:space="preserve">Re-integration of external systems</w:t>
      </w:r>
    </w:p>
    <w:p>
      <w:pPr>
        <w:numPr>
          <w:ilvl w:val="0"/>
          <w:numId w:val="1002"/>
        </w:numPr>
        <w:pStyle w:val="Compact"/>
      </w:pPr>
      <w:r>
        <w:rPr>
          <w:bCs/>
          <w:b/>
        </w:rPr>
        <w:t xml:space="preserve">SAP Solution Manager / Cloud ALM:</w:t>
      </w:r>
      <w:r>
        <w:t xml:space="preserve"> </w:t>
      </w:r>
      <w:r>
        <w:t xml:space="preserve">Test management and transport management</w:t>
      </w:r>
    </w:p>
    <w:p>
      <w:pPr>
        <w:numPr>
          <w:ilvl w:val="0"/>
          <w:numId w:val="1002"/>
        </w:numPr>
        <w:pStyle w:val="Compact"/>
      </w:pPr>
      <w:r>
        <w:rPr>
          <w:bCs/>
          <w:b/>
        </w:rPr>
        <w:t xml:space="preserve">HP ALM:</w:t>
      </w:r>
      <w:r>
        <w:t xml:space="preserve"> </w:t>
      </w:r>
      <w:r>
        <w:t xml:space="preserve">Defect management during testing phases</w:t>
      </w:r>
    </w:p>
    <w:p>
      <w:r>
        <w:pict>
          <v:rect style="width:0;height:1.5pt" o:hralign="center" o:hrstd="t" o:hr="t"/>
        </w:pict>
      </w:r>
    </w:p>
    <w:bookmarkEnd w:id="23"/>
    <w:bookmarkStart w:id="29" w:name="implementation-steps"/>
    <w:p>
      <w:pPr>
        <w:pStyle w:val="Heading2"/>
      </w:pPr>
      <w:r>
        <w:t xml:space="preserve">5. Implementation Steps</w:t>
      </w:r>
    </w:p>
    <w:bookmarkStart w:id="24" w:name="X054ad24c15d7cde777975ef198dfe42c982273b"/>
    <w:p>
      <w:pPr>
        <w:pStyle w:val="Heading3"/>
      </w:pPr>
      <w:r>
        <w:t xml:space="preserve">Phase 1 – Preparation and Assessment (April – May 2023)</w:t>
      </w:r>
    </w:p>
    <w:p>
      <w:pPr>
        <w:pStyle w:val="FirstParagraph"/>
      </w:pPr>
      <w:r>
        <w:t xml:space="preserve">SAP Readiness Check 2.0 was executed and CCMA analysis was run on 2,340 custom ABAP objects. 187 objects with S/4HANA compatibility issues were identified. A Fit-to-Standard workshop was held for FI, CO, SD, MM, and WM modules to determine which customizations to simplify versus retain.</w:t>
      </w:r>
    </w:p>
    <w:bookmarkEnd w:id="24"/>
    <w:bookmarkStart w:id="25" w:name="X936872064e7546eff9949dd59200ce3dfcc0c5c"/>
    <w:p>
      <w:pPr>
        <w:pStyle w:val="Heading3"/>
      </w:pPr>
      <w:r>
        <w:t xml:space="preserve">Phase 2 – System Preparation (June – August 2023)</w:t>
      </w:r>
    </w:p>
    <w:p>
      <w:pPr>
        <w:pStyle w:val="FirstParagraph"/>
      </w:pPr>
      <w:r>
        <w:t xml:space="preserve">The 187 ABAP custom objects were remediated (classified as 89 critical, 68 medium, 30 minor). The ECC system was upgraded from EHP6 to EHP8 as a preparatory step. SAP HANA was installed on new hardware (2-node HANA cluster with HANA System Replication for HA). The Conversion sandbox system was created for technical testing.</w:t>
      </w:r>
    </w:p>
    <w:bookmarkEnd w:id="25"/>
    <w:bookmarkStart w:id="26" w:name="X0a18fe388583133355efb5f400bfe81b139d4f6"/>
    <w:p>
      <w:pPr>
        <w:pStyle w:val="Heading3"/>
      </w:pPr>
      <w:r>
        <w:t xml:space="preserve">Phase 3 – Sandbox and Quality Conversion (September – October 2023)</w:t>
      </w:r>
    </w:p>
    <w:p>
      <w:pPr>
        <w:pStyle w:val="FirstParagraph"/>
      </w:pPr>
      <w:r>
        <w:t xml:space="preserve">DMO (Database Migration Option) was executed on the quality system. Actual downtime duration: 18 hours for approximately 3 TB of data. Full functional testing was conducted by the business team (300 documented test scenarios in Cloud ALM).</w:t>
      </w:r>
    </w:p>
    <w:bookmarkEnd w:id="26"/>
    <w:bookmarkStart w:id="27" w:name="X2c7e36ebcb12cb9b9f56ad00fdfdb5fbfef3953"/>
    <w:p>
      <w:pPr>
        <w:pStyle w:val="Heading3"/>
      </w:pPr>
      <w:r>
        <w:t xml:space="preserve">Phase 4 – Production Conversion (November – December 2023)</w:t>
      </w:r>
    </w:p>
    <w:p>
      <w:pPr>
        <w:pStyle w:val="FirstParagraph"/>
      </w:pPr>
      <w:r>
        <w:t xml:space="preserve">The cutover runbook was prepared and executed. Downtime windows were planned for the weekend of November 25–27, 2023. The production conversion took 22 hours. Go-live on November 28, 2023.</w:t>
      </w:r>
    </w:p>
    <w:bookmarkEnd w:id="27"/>
    <w:bookmarkStart w:id="28" w:name="X176532b4d5f6827e82699095116a777a79aec87"/>
    <w:p>
      <w:pPr>
        <w:pStyle w:val="Heading3"/>
      </w:pPr>
      <w:r>
        <w:t xml:space="preserve">Phase 5 – Hypercare and Stabilization (January – February 2024)</w:t>
      </w:r>
    </w:p>
    <w:p>
      <w:pPr>
        <w:pStyle w:val="FirstParagraph"/>
      </w:pPr>
      <w:r>
        <w:t xml:space="preserve">Intensive on-site and remote support for 8 weeks post go-live. Post-production defect remediation, HANA query performance optimization, and SAP monitoring configuration.</w:t>
      </w:r>
    </w:p>
    <w:p>
      <w:r>
        <w:pict>
          <v:rect style="width:0;height:1.5pt" o:hralign="center" o:hrstd="t" o:hr="t"/>
        </w:pict>
      </w:r>
    </w:p>
    <w:bookmarkEnd w:id="28"/>
    <w:bookmarkEnd w:id="29"/>
    <w:bookmarkStart w:id="30" w:name="challenges-encountered-and-solutions"/>
    <w:p>
      <w:pPr>
        <w:pStyle w:val="Heading2"/>
      </w:pPr>
      <w:r>
        <w:t xml:space="preserve">6. Challenges Encountered and Solutions</w:t>
      </w:r>
    </w:p>
    <w:p>
      <w:pPr>
        <w:pStyle w:val="FirstParagraph"/>
      </w:pPr>
      <w:r>
        <w:rPr>
          <w:bCs/>
          <w:b/>
        </w:rPr>
        <w:t xml:space="preserve">Challenge 1 – DMO downtime exceeding the planned window</w:t>
      </w:r>
      <w:r>
        <w:t xml:space="preserve"> </w:t>
      </w:r>
      <w:r>
        <w:t xml:space="preserve">The first DMO run on the quality system took 31 hours (versus the estimated 20), risking a weekend window overrun in production. Thomas Fischer analyzed the logs and identified that the migration of high-volume tables MATDOC and BSEG was not leveraging maximum parallelism. Solution: DMO parameter tuning for parallel processing reduced the duration to 22 hours.</w:t>
      </w:r>
    </w:p>
    <w:p>
      <w:pPr>
        <w:pStyle w:val="BodyText"/>
      </w:pPr>
      <w:r>
        <w:rPr>
          <w:bCs/>
          <w:b/>
        </w:rPr>
        <w:t xml:space="preserve">Challenge 2 – EDI integration with distribution partners</w:t>
      </w:r>
      <w:r>
        <w:t xml:space="preserve"> </w:t>
      </w:r>
      <w:r>
        <w:t xml:space="preserve">The EDI partner (Transalis) communicated with ECC via a legacy middleware using direct RFC, incompatible with S/4HANA. Alexandru Dinu re-architected the integration using SAP Integration Suite (CPI), exposing REST/OData services from S/4HANA and eliminating the tight RFC coupling.</w:t>
      </w:r>
    </w:p>
    <w:p>
      <w:pPr>
        <w:pStyle w:val="BodyText"/>
      </w:pPr>
      <w:r>
        <w:rPr>
          <w:bCs/>
          <w:b/>
        </w:rPr>
        <w:t xml:space="preserve">Challenge 3 – Inconsistent data in MM tables (open stock records)</w:t>
      </w:r>
      <w:r>
        <w:t xml:space="preserve"> </w:t>
      </w:r>
      <w:r>
        <w:t xml:space="preserve">Pre-conversion analysis discovered 1,240 stock records with negative values (a bug in a custom batch process). Ioana Vlad coordinated with the warehouse team to manually correct 890 records and automated the correction of the remainder through a dedicated ABAP report.</w:t>
      </w:r>
    </w:p>
    <w:p>
      <w:pPr>
        <w:pStyle w:val="BodyText"/>
      </w:pPr>
      <w:r>
        <w:rPr>
          <w:bCs/>
          <w:b/>
        </w:rPr>
        <w:t xml:space="preserve">Challenge 4 – Resistance to the Fiori interface</w:t>
      </w:r>
      <w:r>
        <w:t xml:space="preserve"> </w:t>
      </w:r>
      <w:r>
        <w:t xml:space="preserve">Users with 10+ years of SAP GUI experience initially refused the Fiori interface. Solution: Stefan Weber configured parallel SAP GUI access for 30 days post go-live for critical transactions, enabling gradual adaptation. By the end of the hypercare period, 78% of users worked exclusively in Fiori.</w:t>
      </w:r>
    </w:p>
    <w:p>
      <w:r>
        <w:pict>
          <v:rect style="width:0;height:1.5pt" o:hralign="center" o:hrstd="t" o:hr="t"/>
        </w:pict>
      </w:r>
    </w:p>
    <w:bookmarkEnd w:id="30"/>
    <w:bookmarkStart w:id="31" w:name="collaboration-model"/>
    <w:p>
      <w:pPr>
        <w:pStyle w:val="Heading2"/>
      </w:pPr>
      <w:r>
        <w:t xml:space="preserve">7. Collaboration Model</w:t>
      </w:r>
    </w:p>
    <w:p>
      <w:pPr>
        <w:pStyle w:val="FirstParagraph"/>
      </w:pPr>
      <w:r>
        <w:t xml:space="preserve">Project executed following SAP Activate methodology (Discover → Prepare → Explore → Realize → Deploy → Run). BearingPoint team on-site at Centrorom (Bucharest) 3 days per week during active phases. Bi-weekly Project Committee with the IT Director and CFO. A Key User team of 20 people was actively involved in testing and served as go-live ambassadors.</w:t>
      </w:r>
    </w:p>
    <w:p>
      <w:r>
        <w:pict>
          <v:rect style="width:0;height:1.5pt" o:hralign="center" o:hrstd="t" o:hr="t"/>
        </w:pict>
      </w:r>
    </w:p>
    <w:bookmarkEnd w:id="31"/>
    <w:bookmarkStart w:id="32" w:name="results-achieved"/>
    <w:p>
      <w:pPr>
        <w:pStyle w:val="Heading2"/>
      </w:pPr>
      <w:r>
        <w:t xml:space="preserve">8. Results Achieved</w:t>
      </w:r>
    </w:p>
    <w:p>
      <w:pPr>
        <w:numPr>
          <w:ilvl w:val="0"/>
          <w:numId w:val="1003"/>
        </w:numPr>
        <w:pStyle w:val="Compact"/>
      </w:pPr>
      <w:r>
        <w:t xml:space="preserve">Conversion completed on time and within the approved budget</w:t>
      </w:r>
    </w:p>
    <w:p>
      <w:pPr>
        <w:numPr>
          <w:ilvl w:val="0"/>
          <w:numId w:val="1003"/>
        </w:numPr>
        <w:pStyle w:val="Compact"/>
      </w:pPr>
      <w:r>
        <w:t xml:space="preserve">65% reduction in financial report execution times (SAP HANA benefit)</w:t>
      </w:r>
    </w:p>
    <w:p>
      <w:pPr>
        <w:numPr>
          <w:ilvl w:val="0"/>
          <w:numId w:val="1003"/>
        </w:numPr>
        <w:pStyle w:val="Compact"/>
      </w:pPr>
      <w:r>
        <w:t xml:space="preserve">30% of ABAP customizations eliminated (simplification and reduced maintenance costs)</w:t>
      </w:r>
    </w:p>
    <w:p>
      <w:pPr>
        <w:numPr>
          <w:ilvl w:val="0"/>
          <w:numId w:val="1003"/>
        </w:numPr>
        <w:pStyle w:val="Compact"/>
      </w:pPr>
      <w:r>
        <w:t xml:space="preserve">Fiori interface adopted by 85% of users within 2 months of go-live</w:t>
      </w:r>
    </w:p>
    <w:p>
      <w:pPr>
        <w:numPr>
          <w:ilvl w:val="0"/>
          <w:numId w:val="1003"/>
        </w:numPr>
        <w:pStyle w:val="Compact"/>
      </w:pPr>
      <w:r>
        <w:t xml:space="preserve">Technical foundation established for planned SAP BTP and Embedded Analytics initiatives</w:t>
      </w:r>
    </w:p>
    <w:p>
      <w:r>
        <w:pict>
          <v:rect style="width:0;height:1.5pt" o:hralign="center" o:hrstd="t" o:hr="t"/>
        </w:pict>
      </w:r>
    </w:p>
    <w:bookmarkEnd w:id="32"/>
    <w:bookmarkStart w:id="33" w:name="lessons-learned"/>
    <w:p>
      <w:pPr>
        <w:pStyle w:val="Heading2"/>
      </w:pPr>
      <w:r>
        <w:t xml:space="preserve">9. Lessons Learned</w:t>
      </w:r>
    </w:p>
    <w:p>
      <w:pPr>
        <w:numPr>
          <w:ilvl w:val="0"/>
          <w:numId w:val="1004"/>
        </w:numPr>
        <w:pStyle w:val="Compact"/>
      </w:pPr>
      <w:r>
        <w:rPr>
          <w:bCs/>
          <w:b/>
        </w:rPr>
        <w:t xml:space="preserve">Data quality is a prerequisite, not a parallel task:</w:t>
      </w:r>
      <w:r>
        <w:t xml:space="preserve"> </w:t>
      </w:r>
      <w:r>
        <w:t xml:space="preserve">Data issues discovered late added 3 weeks to the preparation phase. Data quality analysis must begin in the first month of the project.</w:t>
      </w:r>
    </w:p>
    <w:p>
      <w:pPr>
        <w:numPr>
          <w:ilvl w:val="0"/>
          <w:numId w:val="1004"/>
        </w:numPr>
        <w:pStyle w:val="Compact"/>
      </w:pPr>
      <w:r>
        <w:rPr>
          <w:bCs/>
          <w:b/>
        </w:rPr>
        <w:t xml:space="preserve">DMO must be tested a minimum of 3 times before production:</w:t>
      </w:r>
      <w:r>
        <w:t xml:space="preserve"> </w:t>
      </w:r>
      <w:r>
        <w:t xml:space="preserve">Each run provides valuable optimization data. There are no shortcuts when testing the conversion.</w:t>
      </w:r>
    </w:p>
    <w:p>
      <w:pPr>
        <w:numPr>
          <w:ilvl w:val="0"/>
          <w:numId w:val="1004"/>
        </w:numPr>
        <w:pStyle w:val="Compact"/>
      </w:pPr>
      <w:r>
        <w:rPr>
          <w:bCs/>
          <w:b/>
        </w:rPr>
        <w:t xml:space="preserve">The Fit-to-Standard approach reduces risk and cost:</w:t>
      </w:r>
      <w:r>
        <w:t xml:space="preserve"> </w:t>
      </w:r>
      <w:r>
        <w:t xml:space="preserve">Fewer customizations mean simpler future upgrades and a more stable platform.</w:t>
      </w:r>
    </w:p>
    <w:bookmarkEnd w:id="33"/>
    <w:bookmarkEnd w:id="34"/>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S/4HANA 2023 System Conversion</dc:title>
  <dc:creator>BearingPoint</dc:creator>
  <cp:keywords/>
  <dcterms:created xsi:type="dcterms:W3CDTF">2026-06-12T08:38:46Z</dcterms:created>
  <dcterms:modified xsi:type="dcterms:W3CDTF">2026-06-12T08:38:46Z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2023 – February 2024</vt:lpwstr>
  </property>
  <property fmtid="{D5CDD505-2E9C-101B-9397-08002B2CF9AE}" pid="3" name="subtitle">
    <vt:lpwstr>Accepted Project Proposal – Centrorom Distribution S.R.L.</vt:lpwstr>
  </property>
</Properties>
</file>