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Process</w:t>
      </w:r>
      <w:r>
        <w:t xml:space="preserve"> </w:t>
      </w:r>
      <w:r>
        <w:t xml:space="preserve">Automation</w:t>
      </w:r>
      <w:r>
        <w:t xml:space="preserve"> </w:t>
      </w:r>
      <w:r>
        <w:t xml:space="preserve">Platform</w:t>
      </w:r>
      <w:r>
        <w:t xml:space="preserve"> </w:t>
      </w:r>
      <w:r>
        <w:t xml:space="preserve">on</w:t>
      </w:r>
      <w:r>
        <w:t xml:space="preserve"> </w:t>
      </w:r>
      <w:r>
        <w:t xml:space="preserve">Microsoft</w:t>
      </w:r>
      <w:r>
        <w:t xml:space="preserve"> </w:t>
      </w:r>
      <w:r>
        <w:t xml:space="preserve">Power</w:t>
      </w:r>
      <w:r>
        <w:t xml:space="preserve"> </w:t>
      </w:r>
      <w:r>
        <w:t xml:space="preserve">Platform</w:t>
      </w:r>
    </w:p>
    <w:p>
      <w:pPr>
        <w:pStyle w:val="Subtitle"/>
      </w:pPr>
      <w:r>
        <w:t xml:space="preserve">Accepted</w:t>
      </w:r>
      <w:r>
        <w:t xml:space="preserve"> </w:t>
      </w:r>
      <w:r>
        <w:t xml:space="preserve">Project</w:t>
      </w:r>
      <w:r>
        <w:t xml:space="preserve"> </w:t>
      </w:r>
      <w:r>
        <w:t xml:space="preserve">Proposal</w:t>
      </w:r>
      <w:r>
        <w:t xml:space="preserve"> </w:t>
      </w:r>
      <w:r>
        <w:t xml:space="preserve">–</w:t>
      </w:r>
      <w:r>
        <w:t xml:space="preserve"> </w:t>
      </w:r>
      <w:r>
        <w:t xml:space="preserve">MedService</w:t>
      </w:r>
      <w:r>
        <w:t xml:space="preserve"> </w:t>
      </w:r>
      <w:r>
        <w:t xml:space="preserve">Group</w:t>
      </w:r>
      <w:r>
        <w:t xml:space="preserve"> </w:t>
      </w:r>
      <w:r>
        <w:t xml:space="preserve">S.R.L.</w:t>
      </w:r>
    </w:p>
    <w:p>
      <w:pPr>
        <w:pStyle w:val="Author"/>
      </w:pPr>
      <w:r>
        <w:t xml:space="preserve">BearingPoint</w:t>
      </w:r>
    </w:p>
    <w:p>
      <w:pPr>
        <w:pStyle w:val="Date"/>
      </w:pPr>
      <w:r>
        <w:t xml:space="preserve">September</w:t>
      </w:r>
      <w:r>
        <w:t xml:space="preserve"> </w:t>
      </w:r>
      <w:r>
        <w:t xml:space="preserve">2023</w:t>
      </w:r>
      <w:r>
        <w:t xml:space="preserve"> </w:t>
      </w:r>
      <w:r>
        <w:t xml:space="preserve">–</w:t>
      </w:r>
      <w:r>
        <w:t xml:space="preserve"> </w:t>
      </w:r>
      <w:r>
        <w:t xml:space="preserve">March</w:t>
      </w:r>
      <w:r>
        <w:t xml:space="preserve"> </w:t>
      </w:r>
      <w:r>
        <w:t xml:space="preserve">2024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4" w:name="X20ffecb887205a087b3fe4ba079c623b59d3ce2"/>
    <w:p>
      <w:pPr>
        <w:pStyle w:val="Heading1"/>
      </w:pPr>
      <w:r>
        <w:t xml:space="preserve">Process Automation Platform on Microsoft Power Platform</w:t>
      </w:r>
    </w:p>
    <w:p>
      <w:pPr>
        <w:pStyle w:val="FirstParagraph"/>
      </w:pPr>
      <w:r>
        <w:rPr>
          <w:bCs/>
          <w:b/>
        </w:rPr>
        <w:t xml:space="preserve">Client:</w:t>
      </w:r>
      <w:r>
        <w:t xml:space="preserve"> </w:t>
      </w:r>
      <w:r>
        <w:t xml:space="preserve">MedService Group S.R.L.</w:t>
      </w:r>
      <w:r>
        <w:t xml:space="preserve"> </w:t>
      </w:r>
      <w:r>
        <w:rPr>
          <w:bCs/>
          <w:b/>
        </w:rPr>
        <w:t xml:space="preserve">Industry:</w:t>
      </w:r>
      <w:r>
        <w:t xml:space="preserve"> </w:t>
      </w:r>
      <w:r>
        <w:t xml:space="preserve">Healthcare Services – Private Clinics</w:t>
      </w:r>
      <w:r>
        <w:t xml:space="preserve"> </w:t>
      </w:r>
      <w:r>
        <w:rPr>
          <w:bCs/>
          <w:b/>
        </w:rPr>
        <w:t xml:space="preserve">Engagement Period:</w:t>
      </w:r>
      <w:r>
        <w:t xml:space="preserve"> </w:t>
      </w:r>
      <w:r>
        <w:t xml:space="preserve">September 2023 – March 2024 (7 months)</w:t>
      </w:r>
      <w:r>
        <w:t xml:space="preserve"> </w:t>
      </w:r>
      <w:r>
        <w:rPr>
          <w:bCs/>
          <w:b/>
        </w:rPr>
        <w:t xml:space="preserve">Engagement Type:</w:t>
      </w:r>
      <w:r>
        <w:t xml:space="preserve"> </w:t>
      </w:r>
      <w:r>
        <w:t xml:space="preserve">Application Development – Microsoft Power Platform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Accepted and Successfully Completed</w:t>
      </w:r>
    </w:p>
    <w:p>
      <w:r>
        <w:pict>
          <v:rect style="width:0;height:1.5pt" o:hralign="center" o:hrstd="t" o:hr="t"/>
        </w:pict>
      </w:r>
    </w:p>
    <w:bookmarkStart w:id="20" w:name="client-background"/>
    <w:p>
      <w:pPr>
        <w:pStyle w:val="Heading2"/>
      </w:pPr>
      <w:r>
        <w:t xml:space="preserve">1. Client Background</w:t>
      </w:r>
    </w:p>
    <w:p>
      <w:pPr>
        <w:pStyle w:val="FirstParagraph"/>
      </w:pPr>
      <w:r>
        <w:t xml:space="preserve">MedService Group S.R.L. operates a network of 14 private medical clinics across Romania with approximately 600 employees (physicians, nurses, and administrative staff). Administrative processes (appointments, patient records, internal reporting, medical supply inventory management) relied on a combination of Excel spreadsheets, email, and a legacy medical information system (MIS) with no accessible API. Management requested a rapid solution – without replacing the existing MIS – that would digitalize administrative processes and provide real-time management visibility.</w:t>
      </w:r>
    </w:p>
    <w:p>
      <w:r>
        <w:pict>
          <v:rect style="width:0;height:1.5pt" o:hralign="center" o:hrstd="t" o:hr="t"/>
        </w:pict>
      </w:r>
    </w:p>
    <w:bookmarkEnd w:id="20"/>
    <w:bookmarkStart w:id="21" w:name="project-team"/>
    <w:p>
      <w:pPr>
        <w:pStyle w:val="Heading2"/>
      </w:pPr>
      <w:r>
        <w:t xml:space="preserve">2. Project Team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32"/>
        <w:gridCol w:w="1532"/>
        <w:gridCol w:w="485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Area of Expertise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Elena Georgescu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 Platform Dev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 Apps, Power Automate, Dataverse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Mihai Ionescu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Analyst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Clinical processes, functional requirements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Cristina Dumitru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M365 &amp; SharePoint Specialist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SharePoint Online, M365 integration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David Popa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Engineer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 BI, data modeling, Dataverse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project-scope-and-objectives"/>
    <w:p>
      <w:pPr>
        <w:pStyle w:val="Heading2"/>
      </w:pPr>
      <w:r>
        <w:t xml:space="preserve">3. Project Scope and Objectives</w:t>
      </w:r>
    </w:p>
    <w:p>
      <w:pPr>
        <w:numPr>
          <w:ilvl w:val="0"/>
          <w:numId w:val="1001"/>
        </w:numPr>
        <w:pStyle w:val="Compact"/>
      </w:pPr>
      <w:r>
        <w:t xml:space="preserve">Build a Power Apps Canvas App for managing appointments and administrative patient records</w:t>
      </w:r>
    </w:p>
    <w:p>
      <w:pPr>
        <w:numPr>
          <w:ilvl w:val="0"/>
          <w:numId w:val="1001"/>
        </w:numPr>
        <w:pStyle w:val="Compact"/>
      </w:pPr>
      <w:r>
        <w:t xml:space="preserve">Automate approval workflows for leave requests and internal referrals (Power Automate)</w:t>
      </w:r>
    </w:p>
    <w:p>
      <w:pPr>
        <w:numPr>
          <w:ilvl w:val="0"/>
          <w:numId w:val="1001"/>
        </w:numPr>
        <w:pStyle w:val="Compact"/>
      </w:pPr>
      <w:r>
        <w:t xml:space="preserve">Create a medical supply inventory management system per clinic</w:t>
      </w:r>
    </w:p>
    <w:p>
      <w:pPr>
        <w:numPr>
          <w:ilvl w:val="0"/>
          <w:numId w:val="1001"/>
        </w:numPr>
        <w:pStyle w:val="Compact"/>
      </w:pPr>
      <w:r>
        <w:t xml:space="preserve">Implement a consolidated Power BI dashboard for management with operational KPIs per clinic</w:t>
      </w:r>
    </w:p>
    <w:p>
      <w:pPr>
        <w:numPr>
          <w:ilvl w:val="0"/>
          <w:numId w:val="1001"/>
        </w:numPr>
        <w:pStyle w:val="Compact"/>
      </w:pPr>
      <w:r>
        <w:t xml:space="preserve">Integrate with the existing MIS through structured data exports (periodic CSV files from the MIS)</w:t>
      </w:r>
    </w:p>
    <w:p>
      <w:r>
        <w:pict>
          <v:rect style="width:0;height:1.5pt" o:hralign="center" o:hrstd="t" o:hr="t"/>
        </w:pict>
      </w:r>
    </w:p>
    <w:bookmarkEnd w:id="22"/>
    <w:bookmarkStart w:id="23" w:name="technologies-used"/>
    <w:p>
      <w:pPr>
        <w:pStyle w:val="Heading2"/>
      </w:pPr>
      <w:r>
        <w:t xml:space="preserve">4. Technologies Used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Microsoft Power Apps (Canvas Apps):</w:t>
      </w:r>
      <w:r>
        <w:t xml:space="preserve"> </w:t>
      </w:r>
      <w:r>
        <w:t xml:space="preserve">Mobile and desktop apps for administrative processes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Microsoft Power Automate:</w:t>
      </w:r>
      <w:r>
        <w:t xml:space="preserve"> </w:t>
      </w:r>
      <w:r>
        <w:t xml:space="preserve">Automation flows (approvals, notifications, data processing)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Microsoft Dataverse:</w:t>
      </w:r>
      <w:r>
        <w:t xml:space="preserve"> </w:t>
      </w:r>
      <w:r>
        <w:t xml:space="preserve">Centralized database for all application entities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Microsoft Power BI:</w:t>
      </w:r>
      <w:r>
        <w:t xml:space="preserve"> </w:t>
      </w:r>
      <w:r>
        <w:t xml:space="preserve">Management dashboards and reports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SharePoint Online:</w:t>
      </w:r>
      <w:r>
        <w:t xml:space="preserve"> </w:t>
      </w:r>
      <w:r>
        <w:t xml:space="preserve">Document storage (contracts, referrals, protocols)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Microsoft Teams:</w:t>
      </w:r>
      <w:r>
        <w:t xml:space="preserve"> </w:t>
      </w:r>
      <w:r>
        <w:t xml:space="preserve">Notifications and approval flow integration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Azure Logic Apps:</w:t>
      </w:r>
      <w:r>
        <w:t xml:space="preserve"> </w:t>
      </w:r>
      <w:r>
        <w:t xml:space="preserve">Automated processing of CSV files exported from the MIS</w:t>
      </w:r>
    </w:p>
    <w:p>
      <w:r>
        <w:pict>
          <v:rect style="width:0;height:1.5pt" o:hralign="center" o:hrstd="t" o:hr="t"/>
        </w:pict>
      </w:r>
    </w:p>
    <w:bookmarkEnd w:id="23"/>
    <w:bookmarkStart w:id="29" w:name="implementation-steps"/>
    <w:p>
      <w:pPr>
        <w:pStyle w:val="Heading2"/>
      </w:pPr>
      <w:r>
        <w:t xml:space="preserve">5. Implementation Steps</w:t>
      </w:r>
    </w:p>
    <w:bookmarkStart w:id="24" w:name="X8997aefdb456fa951e944a37562716bb9a8ab8f"/>
    <w:p>
      <w:pPr>
        <w:pStyle w:val="Heading3"/>
      </w:pPr>
      <w:r>
        <w:t xml:space="preserve">Phase 1 – Discovery and Design (September – October 2023)</w:t>
      </w:r>
    </w:p>
    <w:p>
      <w:pPr>
        <w:pStyle w:val="FirstParagraph"/>
      </w:pPr>
      <w:r>
        <w:t xml:space="preserve">Mihai Ionescu conducted 22 shadowing sessions and interviews with clinic staff to document current processes and pain points. A process map of the 15 identified processes was created and the first 6 were prioritized for the initial solution version. Elena Georgescu created wireframe prototypes in Power Apps and validated them with key users.</w:t>
      </w:r>
    </w:p>
    <w:bookmarkEnd w:id="24"/>
    <w:bookmarkStart w:id="25" w:name="phase-2-mvp-build-october-november-2023"/>
    <w:p>
      <w:pPr>
        <w:pStyle w:val="Heading3"/>
      </w:pPr>
      <w:r>
        <w:t xml:space="preserve">Phase 2 – MVP Build (October – November 2023)</w:t>
      </w:r>
    </w:p>
    <w:p>
      <w:pPr>
        <w:pStyle w:val="FirstParagraph"/>
      </w:pPr>
      <w:r>
        <w:t xml:space="preserve">The main Canvas App was built with 4 modules: Appointments, Patient Record (administrative data), Supply Inventory, and Administrative Requests. Dataverse was configured with the approved data model. The first 3 Power Automate flows were implemented (referral approval, appointment notification, minimum stock alert).</w:t>
      </w:r>
    </w:p>
    <w:bookmarkEnd w:id="25"/>
    <w:bookmarkStart w:id="26" w:name="X58b11086d10c29f70641457be061db70519f18f"/>
    <w:p>
      <w:pPr>
        <w:pStyle w:val="Heading3"/>
      </w:pPr>
      <w:r>
        <w:t xml:space="preserve">Phase 3 – Integration and Dashboard (November – December 2023)</w:t>
      </w:r>
    </w:p>
    <w:p>
      <w:pPr>
        <w:pStyle w:val="FirstParagraph"/>
      </w:pPr>
      <w:r>
        <w:t xml:space="preserve">David Popa built the data ingestion pipeline from the MIS (Azure Logic Apps processing daily CSV exports). A Power BI semantic model was created with 8 dashboard pages (room occupancy, physician productivity, per-clinic performance, inventory). Cristina Dumitru integrated the application with Teams and SharePoint.</w:t>
      </w:r>
    </w:p>
    <w:bookmarkEnd w:id="26"/>
    <w:bookmarkStart w:id="27" w:name="X2c522c6d108f49d0a2ab48094ef9f0a89936e4b"/>
    <w:p>
      <w:pPr>
        <w:pStyle w:val="Heading3"/>
      </w:pPr>
      <w:r>
        <w:t xml:space="preserve">Phase 4 – Pilot and Iterations (January 2024)</w:t>
      </w:r>
    </w:p>
    <w:p>
      <w:pPr>
        <w:pStyle w:val="FirstParagraph"/>
      </w:pPr>
      <w:r>
        <w:t xml:space="preserve">Pilot with 2 clinics (Bucharest and Cluj). 180 active users in 3 weeks. 47 feedback items were collected, 18 of which led to application changes (UI, validations, additional flows).</w:t>
      </w:r>
    </w:p>
    <w:bookmarkEnd w:id="27"/>
    <w:bookmarkStart w:id="28" w:name="X0a0cd8739b750f5895d1f8d5f6ca27b237a07fb"/>
    <w:p>
      <w:pPr>
        <w:pStyle w:val="Heading3"/>
      </w:pPr>
      <w:r>
        <w:t xml:space="preserve">Phase 5 – National Rollout and Training (February – March 2024)</w:t>
      </w:r>
    </w:p>
    <w:p>
      <w:pPr>
        <w:pStyle w:val="FirstParagraph"/>
      </w:pPr>
      <w:r>
        <w:t xml:space="preserve">Rollout to all 14 clinics. Role-specific training sessions (receptionist, nurse, clinic manager, central management). User documentation and recorded tutorial videos were produced.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challenges-encountered-and-solutions"/>
    <w:p>
      <w:pPr>
        <w:pStyle w:val="Heading2"/>
      </w:pPr>
      <w:r>
        <w:t xml:space="preserve">6. Challenges Encountered and Solutions</w:t>
      </w:r>
    </w:p>
    <w:p>
      <w:pPr>
        <w:pStyle w:val="FirstParagraph"/>
      </w:pPr>
      <w:r>
        <w:rPr>
          <w:bCs/>
          <w:b/>
        </w:rPr>
        <w:t xml:space="preserve">Challenge 1 – Canvas App performance with large data volumes</w:t>
      </w:r>
      <w:r>
        <w:t xml:space="preserve"> </w:t>
      </w:r>
      <w:r>
        <w:t xml:space="preserve">The application began loading slowly in modules with over 5,000 records. Elena Georgescu applied proper Dataverse query delegation techniques, pagination, and lazy loading, reducing load times from 8 seconds to under 2 seconds.</w:t>
      </w:r>
    </w:p>
    <w:p>
      <w:pPr>
        <w:pStyle w:val="BodyText"/>
      </w:pPr>
      <w:r>
        <w:rPr>
          <w:bCs/>
          <w:b/>
        </w:rPr>
        <w:t xml:space="preserve">Challenge 2 – Inconsistent CSV formats exported from the MIS</w:t>
      </w:r>
      <w:r>
        <w:t xml:space="preserve"> </w:t>
      </w:r>
      <w:r>
        <w:t xml:space="preserve">Different MIS versions across clinics exported CSVs with slightly different structures (column order, encoding). David Popa created a normalization stage in Azure Logic Apps with per-type schema mapping, centralizing variations without affecting downstream processing.</w:t>
      </w:r>
    </w:p>
    <w:p>
      <w:pPr>
        <w:pStyle w:val="BodyText"/>
      </w:pPr>
      <w:r>
        <w:rPr>
          <w:bCs/>
          <w:b/>
        </w:rPr>
        <w:t xml:space="preserve">Challenge 3 – Medical staff resistance to digitalization</w:t>
      </w:r>
      <w:r>
        <w:t xml:space="preserve"> </w:t>
      </w:r>
      <w:r>
        <w:t xml:space="preserve">Physicians felt that completing administrative data in the application consumed their time. Solution: Mihai Ionescu redesigned the main application flow to minimize mandatory fields for physicians (from 12 to 4 fields), shifting completion of additional data to administrative staff.</w:t>
      </w:r>
    </w:p>
    <w:p>
      <w:pPr>
        <w:pStyle w:val="BodyText"/>
      </w:pPr>
      <w:r>
        <w:rPr>
          <w:bCs/>
          <w:b/>
        </w:rPr>
        <w:t xml:space="preserve">Challenge 4 – GDPR security and compliance for patient data</w:t>
      </w:r>
      <w:r>
        <w:t xml:space="preserve"> </w:t>
      </w:r>
      <w:r>
        <w:t xml:space="preserve">Administrative patient data required GDPR protection. Elena Georgescu implemented Row-Level Security in Dataverse (each user sees only their clinic’s data), column-level encryption for national ID numbers, and documented a Data Processing Agreement with MedService.</w:t>
      </w:r>
    </w:p>
    <w:p>
      <w:r>
        <w:pict>
          <v:rect style="width:0;height:1.5pt" o:hralign="center" o:hrstd="t" o:hr="t"/>
        </w:pict>
      </w:r>
    </w:p>
    <w:bookmarkEnd w:id="30"/>
    <w:bookmarkStart w:id="31" w:name="collaboration-model"/>
    <w:p>
      <w:pPr>
        <w:pStyle w:val="Heading2"/>
      </w:pPr>
      <w:r>
        <w:t xml:space="preserve">7. Collaboration Model</w:t>
      </w:r>
    </w:p>
    <w:p>
      <w:pPr>
        <w:pStyle w:val="FirstParagraph"/>
      </w:pPr>
      <w:r>
        <w:t xml:space="preserve">Agile methodology with 2-week sprints. Demo at the end of each sprint with business stakeholders. Backlog prioritized by Mihai Ionescu together with the client’s Chief Operating Officer. BearingPoint team on-site 2 days per week at the Bucharest headquarters, remote for the remainder.</w:t>
      </w:r>
    </w:p>
    <w:p>
      <w:r>
        <w:pict>
          <v:rect style="width:0;height:1.5pt" o:hralign="center" o:hrstd="t" o:hr="t"/>
        </w:pict>
      </w:r>
    </w:p>
    <w:bookmarkEnd w:id="31"/>
    <w:bookmarkStart w:id="32" w:name="results-achieved"/>
    <w:p>
      <w:pPr>
        <w:pStyle w:val="Heading2"/>
      </w:pPr>
      <w:r>
        <w:t xml:space="preserve">8. Results Achieved</w:t>
      </w:r>
    </w:p>
    <w:p>
      <w:pPr>
        <w:numPr>
          <w:ilvl w:val="0"/>
          <w:numId w:val="1003"/>
        </w:numPr>
        <w:pStyle w:val="Compact"/>
      </w:pPr>
      <w:r>
        <w:t xml:space="preserve">70% reduction in administrative request processing time (from 2 days to 4 hours)</w:t>
      </w:r>
    </w:p>
    <w:p>
      <w:pPr>
        <w:numPr>
          <w:ilvl w:val="0"/>
          <w:numId w:val="1003"/>
        </w:numPr>
        <w:pStyle w:val="Compact"/>
      </w:pPr>
      <w:r>
        <w:t xml:space="preserve">Complete elimination of 6 Excel files used for inventory and appointment management</w:t>
      </w:r>
    </w:p>
    <w:p>
      <w:pPr>
        <w:numPr>
          <w:ilvl w:val="0"/>
          <w:numId w:val="1003"/>
        </w:numPr>
        <w:pStyle w:val="Compact"/>
      </w:pPr>
      <w:r>
        <w:t xml:space="preserve">Power BI dashboard used daily by all 14 clinic managers</w:t>
      </w:r>
    </w:p>
    <w:p>
      <w:pPr>
        <w:numPr>
          <w:ilvl w:val="0"/>
          <w:numId w:val="1003"/>
        </w:numPr>
        <w:pStyle w:val="Compact"/>
      </w:pPr>
      <w:r>
        <w:t xml:space="preserve">Automated below-threshold stock detection: 23 alerts sent in the first 2 months, preventing 4 supply shortage situations</w:t>
      </w:r>
    </w:p>
    <w:p>
      <w:pPr>
        <w:numPr>
          <w:ilvl w:val="0"/>
          <w:numId w:val="1003"/>
        </w:numPr>
        <w:pStyle w:val="Compact"/>
      </w:pPr>
      <w:r>
        <w:t xml:space="preserve">Estimated ROI payback period: 14 months from project cost</w:t>
      </w:r>
    </w:p>
    <w:p>
      <w:r>
        <w:pict>
          <v:rect style="width:0;height:1.5pt" o:hralign="center" o:hrstd="t" o:hr="t"/>
        </w:pict>
      </w:r>
    </w:p>
    <w:bookmarkEnd w:id="32"/>
    <w:bookmarkStart w:id="33" w:name="lessons-learned"/>
    <w:p>
      <w:pPr>
        <w:pStyle w:val="Heading2"/>
      </w:pPr>
      <w:r>
        <w:t xml:space="preserve">9. Lessons Learned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Shadowing real processes is more valuable than any requirements gathering session:</w:t>
      </w:r>
      <w:r>
        <w:t xml:space="preserve"> </w:t>
      </w:r>
      <w:r>
        <w:t xml:space="preserve">Direct observation of clinic activity uncovered 7 processes not included in the initial scope.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Simplify for the end user, not for the architect:</w:t>
      </w:r>
      <w:r>
        <w:t xml:space="preserve"> </w:t>
      </w:r>
      <w:r>
        <w:t xml:space="preserve">Reducing fields for physicians increased adoption rates more than any other single intervention.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Legacy system integrations via file exports are fragile but workable:</w:t>
      </w:r>
      <w:r>
        <w:t xml:space="preserve"> </w:t>
      </w:r>
      <w:r>
        <w:t xml:space="preserve">It is critical to document the expected data schema and build automated testing for format change detection.</w:t>
      </w:r>
    </w:p>
    <w:bookmarkEnd w:id="33"/>
    <w:bookmarkEnd w:id="34"/>
    <w:sectPr>
      <w:footerReference r:id="rId9" w:type="default"/>
      <w:pgSz w:h="16838" w:orient="portrait" w:w="11906"/>
      <w:pgMar w:bottom="1440" w:footer="708" w:gutter="0" w:header="708" w:left="1440" w:right="1440" w:top="1440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8"/>
        <w:szCs w:val="18"/>
      </w:rPr>
      <w:t xml:space="preserve">BearingPoint | Confidential 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8"/>
        <w:szCs w:val="18"/>
      </w:rPr>
      <w:t xml:space="preserve"> /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15:tentative="1" w:ilvl="0">
      <w:start w:val="00000001"/>
      <w:numFmt w:val="bullet"/>
      <w:lvlText w:val="●"/>
      <w:lvlJc w:val="left"/>
      <w:pPr>
        <w:ind w:hanging="360" w:left="720"/>
      </w:pPr>
    </w:lvl>
    <w:lvl w15:tentative="1" w:ilvl="1">
      <w:start w:val="00000001"/>
      <w:numFmt w:val="bullet"/>
      <w:lvlText w:val="○"/>
      <w:lvlJc w:val="left"/>
      <w:pPr>
        <w:ind w:hanging="360" w:left="1440"/>
      </w:pPr>
    </w:lvl>
    <w:lvl w15:tentative="1" w:ilvl="2">
      <w:start w:val="00000001"/>
      <w:numFmt w:val="bullet"/>
      <w:lvlText w:val="■"/>
      <w:lvlJc w:val="left"/>
      <w:pPr>
        <w:ind w:hanging="360" w:left="2160"/>
      </w:pPr>
    </w:lvl>
    <w:lvl w15:tentative="1" w:ilvl="3">
      <w:start w:val="00000001"/>
      <w:numFmt w:val="bullet"/>
      <w:lvlText w:val="●"/>
      <w:lvlJc w:val="left"/>
      <w:pPr>
        <w:ind w:hanging="360" w:left="2880"/>
      </w:pPr>
    </w:lvl>
    <w:lvl w15:tentative="1" w:ilvl="4">
      <w:start w:val="00000001"/>
      <w:numFmt w:val="bullet"/>
      <w:lvlText w:val="○"/>
      <w:lvlJc w:val="left"/>
      <w:pPr>
        <w:ind w:hanging="360" w:left="3600"/>
      </w:pPr>
    </w:lvl>
    <w:lvl w15:tentative="1" w:ilvl="5">
      <w:start w:val="00000001"/>
      <w:numFmt w:val="bullet"/>
      <w:lvlText w:val="■"/>
      <w:lvlJc w:val="left"/>
      <w:pPr>
        <w:ind w:hanging="360" w:left="4320"/>
      </w:pPr>
    </w:lvl>
    <w:lvl w15:tentative="1" w:ilvl="6">
      <w:start w:val="00000001"/>
      <w:numFmt w:val="bullet"/>
      <w:lvlText w:val="●"/>
      <w:lvlJc w:val="left"/>
      <w:pPr>
        <w:ind w:hanging="360" w:left="5040"/>
      </w:pPr>
    </w:lvl>
    <w:lvl w15:tentative="1" w:ilvl="7">
      <w:start w:val="00000001"/>
      <w:numFmt w:val="bullet"/>
      <w:lvlText w:val="●"/>
      <w:lvlJc w:val="left"/>
      <w:pPr>
        <w:ind w:hanging="360" w:left="5760"/>
      </w:pPr>
    </w:lvl>
    <w:lvl w15:tentative="1" w:ilvl="8">
      <w:start w:val="00000001"/>
      <w:numFmt w:val="bullet"/>
      <w:lvlText w:val="●"/>
      <w:lvlJc w:val="left"/>
      <w:pPr>
        <w:ind w:hanging="360" w:left="6480"/>
      </w:pPr>
    </w:lvl>
  </w:abstractNum>
  <w:abstractNum w15:restartNumberingAfterBreak="0" w:abstractNumId="2">
    <w:multiLevelType w:val="hybridMultilevel"/>
    <w:lvl w15:tentative="1" w:ilvl="0">
      <w:start w:val="00000001"/>
      <w:numFmt w:val="bullet"/>
      <w:lvlText w:val="•"/>
      <w:lvlJc w:val="left"/>
      <w:pPr>
        <w:ind w:hanging="360" w:left="720"/>
      </w:pPr>
      <w:rPr>
        <w:rFonts w:ascii="Calibri" w:cs="Calibri" w:eastAsia="Calibri" w:hAnsi="Calibri"/>
      </w:rPr>
    </w:lvl>
  </w:abstractNum>
  <w:abstractNum w15:restartNumberingAfterBreak="0" w:abstractNumId="3">
    <w:multiLevelType w:val="hybridMultilevel"/>
    <w:lvl w15:tentative="1" w:ilvl="0">
      <w:start w:val="00000001"/>
      <w:numFmt w:val="decimal"/>
      <w:lvlText w:val="%1."/>
      <w:lvlJc w:val="left"/>
      <w:pPr>
        <w:ind w:hanging="360" w:left="7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00000001"/>
      <w:numFmt w:val="decimal"/>
      <w:lvlText w:val="%1."/>
      <w:lvlJc w:val="left"/>
      <w:pPr>
        <w:ind w:left="720" w:hanging="480"/>
      </w:pPr>
    </w:lvl>
    <w:lvl w:ilvl="1">
      <w:start w:val="00000001"/>
      <w:numFmt w:val="decimal"/>
      <w:lvlText w:val="%2."/>
      <w:lvlJc w:val="left"/>
      <w:pPr>
        <w:ind w:left="1440" w:hanging="480"/>
      </w:pPr>
    </w:lvl>
    <w:lvl w:ilvl="2">
      <w:start w:val="00000001"/>
      <w:numFmt w:val="decimal"/>
      <w:lvlText w:val="%3."/>
      <w:lvlJc w:val="left"/>
      <w:pPr>
        <w:ind w:left="2160" w:hanging="480"/>
      </w:pPr>
    </w:lvl>
    <w:lvl w:ilvl="3">
      <w:start w:val="00000001"/>
      <w:numFmt w:val="decimal"/>
      <w:lvlText w:val="%4."/>
      <w:lvlJc w:val="left"/>
      <w:pPr>
        <w:ind w:left="2880" w:hanging="480"/>
      </w:pPr>
    </w:lvl>
    <w:lvl w:ilvl="4">
      <w:start w:val="00000001"/>
      <w:numFmt w:val="decimal"/>
      <w:lvlText w:val="%5."/>
      <w:lvlJc w:val="left"/>
      <w:pPr>
        <w:ind w:left="3600" w:hanging="480"/>
      </w:pPr>
    </w:lvl>
    <w:lvl w:ilvl="5">
      <w:start w:val="00000001"/>
      <w:numFmt w:val="decimal"/>
      <w:lvlText w:val="%6."/>
      <w:lvlJc w:val="left"/>
      <w:pPr>
        <w:ind w:left="4320" w:hanging="480"/>
      </w:pPr>
    </w:lvl>
    <w:lvl w:ilvl="6">
      <w:start w:val="00000001"/>
      <w:numFmt w:val="decimal"/>
      <w:lvlText w:val="%7."/>
      <w:lvlJc w:val="left"/>
      <w:pPr>
        <w:ind w:left="5040" w:hanging="480"/>
      </w:pPr>
    </w:lvl>
    <w:lvl w:ilvl="7">
      <w:start w:val="00000001"/>
      <w:numFmt w:val="decimal"/>
      <w:lvlText w:val="%8."/>
      <w:lvlJc w:val="left"/>
      <w:pPr>
        <w:ind w:left="5760" w:hanging="480"/>
      </w:pPr>
    </w:lvl>
    <w:lvl w:ilvl="8">
      <w:start w:val="00000001"/>
      <w:numFmt w:val="decimal"/>
      <w:lvlText w:val="%9."/>
      <w:lvlJc w:val="left"/>
      <w:pPr>
        <w:ind w:left="6480" w:hanging="480"/>
      </w:pPr>
    </w:lvl>
  </w:abstractNum>
  <w:num w:numId="1">
    <w:abstractNumId w:val="00000001"/>
    <w:lvlOverride w:ilvl="0">
      <w:startOverride w:val="00000001"/>
    </w:lvlOverride>
  </w:num>
  <w:num w:numId="2">
    <w:abstractNumId w:val="00000002"/>
    <w:lvlOverride w:ilvl="0">
      <w:startOverride w:val="00000001"/>
    </w:lvlOverride>
  </w:num>
  <w:num w:numId="3">
    <w:abstractNumId w:val="00000003"/>
    <w:lvlOverride w:ilvl="0">
      <w:startOverride w:val="00000001"/>
    </w:lvlOverride>
  </w:num>
  <w:num w:numId="1000">
    <w:abstractNumId w:val="00000990"/>
  </w:num>
  <w:num w:numId="1001">
    <w:abstractNumId w:val="00000991"/>
  </w:num>
  <w:num w:numId="1002">
    <w:abstractNumId w:val="00000991"/>
  </w:num>
  <w:num w:numId="1003">
    <w:abstractNumId w:val="00000991"/>
  </w:num>
  <w:num w:numId="1004">
    <w:abstractNumId w:val="00099411"/>
    <w:lvlOverride w:ilvl="0">
      <w:startOverride w:val="00000001"/>
    </w:lvlOverride>
    <w:lvlOverride w:ilvl="1">
      <w:startOverride w:val="00000001"/>
    </w:lvlOverride>
    <w:lvlOverride w:ilvl="2">
      <w:startOverride w:val="00000001"/>
    </w:lvlOverride>
    <w:lvlOverride w:ilvl="3">
      <w:startOverride w:val="00000001"/>
    </w:lvlOverride>
    <w:lvlOverride w:ilvl="4">
      <w:startOverride w:val="00000001"/>
    </w:lvlOverride>
    <w:lvlOverride w:ilvl="5">
      <w:startOverride w:val="00000001"/>
    </w:lvlOverride>
    <w:lvlOverride w:ilvl="6">
      <w:startOverride w:val="00000001"/>
    </w:lvlOverride>
    <w:lvlOverride w:ilvl="7">
      <w:startOverride w:val="00000001"/>
    </w:lvlOverride>
    <w:lvlOverride w:ilvl="8">
      <w:startOverride w:val="0000000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evenAndOddHeaders w:val="false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C2C2C"/>
        <w:sz w:val="22"/>
        <w:szCs w:val="22"/>
      </w:rPr>
    </w:rPrDefault>
    <w:pPrDefault/>
  </w:docDefaults>
  <w:style w:styleId="Title" w:type="paragraph">
    <w:name w:val="Title"/>
    <w:basedOn w:val="Normal"/>
    <w:next w:val="Normal"/>
    <w:qFormat/>
    <w:rPr>
      <w:sz w:val="56"/>
      <w:szCs w:val="56"/>
    </w:rPr>
  </w:style>
  <w:style w:styleId="Heading1" w:type="paragraph">
    <w:name w:val="Heading 1"/>
    <w:basedOn w:val="Normal"/>
    <w:next w:val="Normal"/>
    <w:qFormat/>
    <w:rPr>
      <w:color w:val="2E74B5"/>
      <w:sz w:val="32"/>
      <w:szCs w:val="32"/>
    </w:rPr>
  </w:style>
  <w:style w:styleId="Heading2" w:type="paragraph">
    <w:name w:val="Heading 2"/>
    <w:basedOn w:val="Normal"/>
    <w:next w:val="Normal"/>
    <w:qFormat/>
    <w:rPr>
      <w:color w:val="2E74B5"/>
      <w:sz w:val="26"/>
      <w:szCs w:val="26"/>
    </w:rPr>
  </w:style>
  <w:style w:styleId="Heading3" w:type="paragraph">
    <w:name w:val="Heading 3"/>
    <w:basedOn w:val="Normal"/>
    <w:next w:val="Normal"/>
    <w:qFormat/>
    <w:rPr>
      <w:color w:val="1F4D78"/>
      <w:sz w:val="24"/>
      <w:szCs w:val="24"/>
    </w:rPr>
  </w:style>
  <w:style w:styleId="Heading4" w:type="paragraph">
    <w:name w:val="Heading 4"/>
    <w:basedOn w:val="Normal"/>
    <w:next w:val="Normal"/>
    <w:qFormat/>
    <w:rPr>
      <w:i/>
      <w:iCs/>
      <w:color w:val="2E74B5"/>
    </w:rPr>
  </w:style>
  <w:style w:styleId="Heading5" w:type="paragraph">
    <w:name w:val="Heading 5"/>
    <w:basedOn w:val="Normal"/>
    <w:next w:val="Normal"/>
    <w:qFormat/>
    <w:rPr>
      <w:color w:val="2E74B5"/>
    </w:rPr>
  </w:style>
  <w:style w:styleId="Heading6" w:type="paragraph">
    <w:name w:val="Heading 6"/>
    <w:basedOn w:val="Normal"/>
    <w:next w:val="Normal"/>
    <w:qFormat/>
    <w:rPr>
      <w:color w:val="1F4D78"/>
    </w:rPr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Hyperlink" w:type="character">
    <w:name w:val="Hyperlink"/>
    <w:basedOn w:val="DefaultParagraphFont"/>
    <w:uiPriority w:val="99"/>
    <w:unhideWhenUsed/>
    <w:rPr>
      <w:color w:val="0563C1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styleId="EndnoteReference" w:type="character">
    <w:name w:val="endnote reference"/>
    <w:basedOn w:val="DefaultParagraphFont"/>
    <w:uiPriority w:val="99"/>
    <w:semiHidden/>
    <w:unhideWhenUsed/>
    <w:rPr>
      <w:vertAlign w:val="superscript"/>
    </w:rPr>
  </w:style>
  <w:style w:styleId="EndnoteText" w:type="paragraph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EndnoteTextChar" w:type="characte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styleId="Heading1" w:type="paragraph">
    <w:name w:val="Heading 1"/>
    <w:basedOn w:val="Normal"/>
    <w:next w:val="Normal"/>
    <w:qFormat/>
    <w:pPr>
      <w:pBdr>
        <w:bottom w:color="1B3A6B" w:space="4" w:sz="6" w:val="single"/>
      </w:pBdr>
      <w:spacing w:after="120" w:before="360"/>
      <w:outlineLvl w:val="0"/>
    </w:pPr>
    <w:rPr>
      <w:rFonts w:ascii="Calibri" w:cs="Calibri" w:eastAsia="Calibri" w:hAnsi="Calibri"/>
      <w:b/>
      <w:bCs/>
      <w:color w:val="1B3A6B"/>
      <w:sz w:val="36"/>
      <w:szCs w:val="36"/>
    </w:rPr>
  </w:style>
  <w:style w:styleId="Heading2" w:type="paragraph">
    <w:name w:val="Heading 2"/>
    <w:basedOn w:val="Normal"/>
    <w:next w:val="Normal"/>
    <w:qFormat/>
    <w:pPr>
      <w:spacing w:after="80" w:before="280"/>
      <w:outlineLvl w:val="1"/>
    </w:pPr>
    <w:rPr>
      <w:rFonts w:ascii="Calibri" w:cs="Calibri" w:eastAsia="Calibri" w:hAnsi="Calibri"/>
      <w:b/>
      <w:bCs/>
      <w:color w:val="1B3A6B"/>
      <w:sz w:val="26"/>
      <w:szCs w:val="26"/>
    </w:rPr>
  </w:style>
  <w:style w:styleId="Heading3" w:type="paragraph">
    <w:name w:val="Heading 3"/>
    <w:basedOn w:val="Normal"/>
    <w:next w:val="Normal"/>
    <w:qFormat/>
    <w:pPr>
      <w:spacing w:after="60" w:before="200"/>
      <w:outlineLvl w:val="2"/>
    </w:pPr>
    <w:rPr>
      <w:rFonts w:ascii="Calibri" w:cs="Calibri" w:eastAsia="Calibri" w:hAnsi="Calibri"/>
      <w:b/>
      <w:bCs/>
      <w:color w:val="555555"/>
      <w:sz w:val="22"/>
      <w:szCs w:val="22"/>
    </w:rPr>
  </w:style>
  <w:style w:styleId="Normal" w:type="paragraph">
    <w:name w:val="Normal"/>
    <w:qFormat/>
    <w:pPr>
      <w:spacing w:after="120" w:line="276"/>
    </w:pPr>
    <w:rPr>
      <w:rFonts w:ascii="Calibri" w:cs="Calibri" w:eastAsia="Calibri" w:hAnsi="Calibri"/>
      <w:color w:val="2C2C2C"/>
      <w:sz w:val="22"/>
      <w:szCs w:val="22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Process Automation Platform on Microsoft Power Platform</dc:title>
  <dc:creator>BearingPoint</dc:creator>
  <cp:keywords/>
  <dcterms:created xsi:type="dcterms:W3CDTF">2026-06-12T08:38:46Z</dcterms:created>
  <dcterms:modified xsi:type="dcterms:W3CDTF">2026-06-12T08:38:46Z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September 2023 – March 2024</vt:lpwstr>
  </property>
  <property fmtid="{D5CDD505-2E9C-101B-9397-08002B2CF9AE}" pid="3" name="subtitle">
    <vt:lpwstr>Accepted Project Proposal – MedService Group S.R.L.</vt:lpwstr>
  </property>
</Properties>
</file>