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Azure</w:t>
      </w:r>
      <w:r>
        <w:t xml:space="preserve"> </w:t>
      </w:r>
      <w:r>
        <w:t xml:space="preserve">Data</w:t>
      </w:r>
      <w:r>
        <w:t xml:space="preserve"> </w:t>
      </w:r>
      <w:r>
        <w:t xml:space="preserve">and</w:t>
      </w:r>
      <w:r>
        <w:t xml:space="preserve"> </w:t>
      </w:r>
      <w:r>
        <w:t xml:space="preserve">Analytics</w:t>
      </w:r>
      <w:r>
        <w:t xml:space="preserve"> </w:t>
      </w:r>
      <w:r>
        <w:t xml:space="preserve">Platform</w:t>
      </w:r>
    </w:p>
    <w:p>
      <w:pPr>
        <w:pStyle w:val="Subtitle"/>
      </w:pPr>
      <w:r>
        <w:t xml:space="preserve">Accepted</w:t>
      </w:r>
      <w:r>
        <w:t xml:space="preserve"> </w:t>
      </w:r>
      <w:r>
        <w:t xml:space="preserve">Project</w:t>
      </w:r>
      <w:r>
        <w:t xml:space="preserve"> </w:t>
      </w:r>
      <w:r>
        <w:t xml:space="preserve">Proposal</w:t>
      </w:r>
      <w:r>
        <w:t xml:space="preserve"> </w:t>
      </w:r>
      <w:r>
        <w:t xml:space="preserve">–</w:t>
      </w:r>
      <w:r>
        <w:t xml:space="preserve"> </w:t>
      </w:r>
      <w:r>
        <w:t xml:space="preserve">EuroAgro</w:t>
      </w:r>
      <w:r>
        <w:t xml:space="preserve"> </w:t>
      </w:r>
      <w:r>
        <w:t xml:space="preserve">International</w:t>
      </w:r>
      <w:r>
        <w:t xml:space="preserve"> </w:t>
      </w:r>
      <w:r>
        <w:t xml:space="preserve">S.A.</w:t>
      </w:r>
    </w:p>
    <w:p>
      <w:pPr>
        <w:pStyle w:val="Author"/>
      </w:pPr>
      <w:r>
        <w:t xml:space="preserve">BearingPoint</w:t>
      </w:r>
    </w:p>
    <w:p>
      <w:pPr>
        <w:pStyle w:val="Date"/>
      </w:pPr>
      <w:r>
        <w:t xml:space="preserve">July</w:t>
      </w:r>
      <w:r>
        <w:t xml:space="preserve"> </w:t>
      </w:r>
      <w:r>
        <w:t xml:space="preserve">2023</w:t>
      </w:r>
      <w:r>
        <w:t xml:space="preserve"> </w:t>
      </w:r>
      <w:r>
        <w:t xml:space="preserve">–</w:t>
      </w:r>
      <w:r>
        <w:t xml:space="preserve"> </w:t>
      </w:r>
      <w:r>
        <w:t xml:space="preserve">February</w:t>
      </w:r>
      <w:r>
        <w:t xml:space="preserve"> </w:t>
      </w:r>
      <w:r>
        <w:t xml:space="preserve">2024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azure-data-and-analytics-platform"/>
    <w:p>
      <w:pPr>
        <w:pStyle w:val="Heading1"/>
      </w:pPr>
      <w:r>
        <w:t xml:space="preserve">Azure Data and Analytics Platform</w:t>
      </w:r>
    </w:p>
    <w:p>
      <w:pPr>
        <w:pStyle w:val="FirstParagraph"/>
      </w:pPr>
      <w:r>
        <w:rPr>
          <w:bCs/>
          <w:b/>
        </w:rPr>
        <w:t xml:space="preserve">Client:</w:t>
      </w:r>
      <w:r>
        <w:t xml:space="preserve"> </w:t>
      </w:r>
      <w:r>
        <w:t xml:space="preserve">EuroAgro International S.A.</w:t>
      </w:r>
      <w:r>
        <w:t xml:space="preserve"> </w:t>
      </w:r>
      <w:r>
        <w:rPr>
          <w:bCs/>
          <w:b/>
        </w:rPr>
        <w:t xml:space="preserve">Industry:</w:t>
      </w:r>
      <w:r>
        <w:t xml:space="preserve"> </w:t>
      </w:r>
      <w:r>
        <w:t xml:space="preserve">Agriculture – Agribusiness</w:t>
      </w:r>
      <w:r>
        <w:t xml:space="preserve"> </w:t>
      </w:r>
      <w:r>
        <w:rPr>
          <w:bCs/>
          <w:b/>
        </w:rPr>
        <w:t xml:space="preserve">Engagement Period:</w:t>
      </w:r>
      <w:r>
        <w:t xml:space="preserve"> </w:t>
      </w:r>
      <w:r>
        <w:t xml:space="preserve">July 2023 – February 2024 (8 months)</w:t>
      </w:r>
      <w:r>
        <w:t xml:space="preserve"> </w:t>
      </w:r>
      <w:r>
        <w:rPr>
          <w:bCs/>
          <w:b/>
        </w:rPr>
        <w:t xml:space="preserve">Engagement Type:</w:t>
      </w:r>
      <w:r>
        <w:t xml:space="preserve"> </w:t>
      </w:r>
      <w:r>
        <w:t xml:space="preserve">Data Platform &amp; Analytics (Azure)</w:t>
      </w:r>
      <w:r>
        <w:t xml:space="preserve"> </w:t>
      </w:r>
      <w:r>
        <w:rPr>
          <w:bCs/>
          <w:b/>
        </w:rPr>
        <w:t xml:space="preserve">Status:</w:t>
      </w:r>
      <w:r>
        <w:t xml:space="preserve"> </w:t>
      </w:r>
      <w:r>
        <w:t xml:space="preserve">Accepted and Successfully Completed</w:t>
      </w:r>
    </w:p>
    <w:p>
      <w:r>
        <w:pict>
          <v:rect style="width:0;height:1.5pt" o:hralign="center" o:hrstd="t" o:hr="t"/>
        </w:pict>
      </w:r>
    </w:p>
    <w:bookmarkStart w:id="20" w:name="client-background"/>
    <w:p>
      <w:pPr>
        <w:pStyle w:val="Heading2"/>
      </w:pPr>
      <w:r>
        <w:t xml:space="preserve">1. Client Background</w:t>
      </w:r>
    </w:p>
    <w:p>
      <w:pPr>
        <w:pStyle w:val="FirstParagraph"/>
      </w:pPr>
      <w:r>
        <w:t xml:space="preserve">EuroAgro International S.A. is an agri-food group with operations in crop production, processing, and distribution across 5 Eastern European countries, with a turnover of €280 million. The group’s operational data was stored across 7 disparate systems (SAP ECC, agricultural machinery telematics systems, silo IoT platforms, operational spreadsheets, and a legacy Oracle DWH). Management lacked a consolidated real-time view; monthly reports took 3–4 days to prepare and frequently contained discrepancies between figures reported by different departments.</w:t>
      </w:r>
    </w:p>
    <w:p>
      <w:r>
        <w:pict>
          <v:rect style="width:0;height:1.5pt" o:hralign="center" o:hrstd="t" o:hr="t"/>
        </w:pict>
      </w:r>
    </w:p>
    <w:bookmarkEnd w:id="20"/>
    <w:bookmarkStart w:id="21" w:name="project-team"/>
    <w:p>
      <w:pPr>
        <w:pStyle w:val="Heading2"/>
      </w:pPr>
      <w:r>
        <w:t xml:space="preserve">2. Project Team</w:t>
      </w:r>
    </w:p>
    <w:tbl>
      <w:tblPr>
        <w:tblStyle w:val="Table"/>
        <w:tblW w:type="pct" w:w="5000"/>
        <w:tblLook w:firstRow="1" w:lastRow="0" w:firstColumn="0" w:lastColumn="0" w:noHBand="0" w:noVBand="0" w:val="0020"/>
        <w:jc w:val="start"/>
      </w:tblPr>
      <w:tblGrid>
        <w:gridCol w:w="1532"/>
        <w:gridCol w:w="1532"/>
        <w:gridCol w:w="4854"/>
      </w:tblGrid>
      <w:tr>
        <w:trPr>
          <w:tblHeader w:val="true"/>
        </w:trPr>
        <w:tc>
          <w:tcPr/>
          <w:p>
            <w:pPr>
              <w:pStyle w:val="Compact"/>
              <w:jc w:val="left"/>
            </w:pPr>
            <w:r>
              <w:t xml:space="preserve">Name</w:t>
            </w:r>
          </w:p>
        </w:tc>
        <w:tc>
          <w:tcPr/>
          <w:p>
            <w:pPr>
              <w:pStyle w:val="Compact"/>
              <w:jc w:val="left"/>
            </w:pPr>
            <w:r>
              <w:t xml:space="preserve">Role</w:t>
            </w:r>
          </w:p>
        </w:tc>
        <w:tc>
          <w:tcPr/>
          <w:p>
            <w:pPr>
              <w:pStyle w:val="Compact"/>
              <w:jc w:val="left"/>
            </w:pPr>
            <w:r>
              <w:t xml:space="preserve">Area of Expertise</w:t>
            </w:r>
          </w:p>
        </w:tc>
      </w:tr>
      <w:tr>
        <w:tc>
          <w:tcPr/>
          <w:p>
            <w:pPr>
              <w:pStyle w:val="Compact"/>
              <w:jc w:val="left"/>
            </w:pPr>
            <w:r>
              <w:t xml:space="preserve">David Popa</w:t>
            </w:r>
          </w:p>
        </w:tc>
        <w:tc>
          <w:tcPr/>
          <w:p>
            <w:pPr>
              <w:pStyle w:val="Compact"/>
              <w:jc w:val="left"/>
            </w:pPr>
            <w:r>
              <w:t xml:space="preserve">Data Architect</w:t>
            </w:r>
          </w:p>
        </w:tc>
        <w:tc>
          <w:tcPr/>
          <w:p>
            <w:pPr>
              <w:pStyle w:val="Compact"/>
              <w:jc w:val="left"/>
            </w:pPr>
            <w:r>
              <w:t xml:space="preserve">Azure Data Platform, Lakehouse, data modeling</w:t>
            </w:r>
          </w:p>
        </w:tc>
      </w:tr>
      <w:tr>
        <w:tc>
          <w:tcPr/>
          <w:p>
            <w:pPr>
              <w:pStyle w:val="Compact"/>
              <w:jc w:val="left"/>
            </w:pPr>
            <w:r>
              <w:t xml:space="preserve">Radu Constantin</w:t>
            </w:r>
          </w:p>
        </w:tc>
        <w:tc>
          <w:tcPr/>
          <w:p>
            <w:pPr>
              <w:pStyle w:val="Compact"/>
              <w:jc w:val="left"/>
            </w:pPr>
            <w:r>
              <w:t xml:space="preserve">Azure Specialist</w:t>
            </w:r>
          </w:p>
        </w:tc>
        <w:tc>
          <w:tcPr/>
          <w:p>
            <w:pPr>
              <w:pStyle w:val="Compact"/>
              <w:jc w:val="left"/>
            </w:pPr>
            <w:r>
              <w:t xml:space="preserve">Azure infrastructure, security, networking</w:t>
            </w:r>
          </w:p>
        </w:tc>
      </w:tr>
      <w:tr>
        <w:tc>
          <w:tcPr/>
          <w:p>
            <w:pPr>
              <w:pStyle w:val="Compact"/>
              <w:jc w:val="left"/>
            </w:pPr>
            <w:r>
              <w:t xml:space="preserve">Bogdan Marin</w:t>
            </w:r>
          </w:p>
        </w:tc>
        <w:tc>
          <w:tcPr/>
          <w:p>
            <w:pPr>
              <w:pStyle w:val="Compact"/>
              <w:jc w:val="left"/>
            </w:pPr>
            <w:r>
              <w:t xml:space="preserve">DevOps / DataOps Engineer</w:t>
            </w:r>
          </w:p>
        </w:tc>
        <w:tc>
          <w:tcPr/>
          <w:p>
            <w:pPr>
              <w:pStyle w:val="Compact"/>
              <w:jc w:val="left"/>
            </w:pPr>
            <w:r>
              <w:t xml:space="preserve">Terraform, Azure DevOps, CI/CD data pipelines</w:t>
            </w:r>
          </w:p>
        </w:tc>
      </w:tr>
      <w:tr>
        <w:tc>
          <w:tcPr/>
          <w:p>
            <w:pPr>
              <w:pStyle w:val="Compact"/>
              <w:jc w:val="left"/>
            </w:pPr>
            <w:r>
              <w:t xml:space="preserve">Ioana Vlad</w:t>
            </w:r>
          </w:p>
        </w:tc>
        <w:tc>
          <w:tcPr/>
          <w:p>
            <w:pPr>
              <w:pStyle w:val="Compact"/>
              <w:jc w:val="left"/>
            </w:pPr>
            <w:r>
              <w:t xml:space="preserve">Business Analyst</w:t>
            </w:r>
          </w:p>
        </w:tc>
        <w:tc>
          <w:tcPr/>
          <w:p>
            <w:pPr>
              <w:pStyle w:val="Compact"/>
              <w:jc w:val="left"/>
            </w:pPr>
            <w:r>
              <w:t xml:space="preserve">Analytics requirements, metric definitions, UAT</w:t>
            </w:r>
          </w:p>
        </w:tc>
      </w:tr>
      <w:tr>
        <w:tc>
          <w:tcPr/>
          <w:p>
            <w:pPr>
              <w:pStyle w:val="Compact"/>
              <w:jc w:val="left"/>
            </w:pPr>
            <w:r>
              <w:t xml:space="preserve">Ana-Maria Popescu</w:t>
            </w:r>
          </w:p>
        </w:tc>
        <w:tc>
          <w:tcPr/>
          <w:p>
            <w:pPr>
              <w:pStyle w:val="Compact"/>
              <w:jc w:val="left"/>
            </w:pPr>
            <w:r>
              <w:t xml:space="preserve">Project Manager</w:t>
            </w:r>
          </w:p>
        </w:tc>
        <w:tc>
          <w:tcPr/>
          <w:p>
            <w:pPr>
              <w:pStyle w:val="Compact"/>
              <w:jc w:val="left"/>
            </w:pPr>
            <w:r>
              <w:t xml:space="preserve">Data projects, stakeholder management</w:t>
            </w:r>
          </w:p>
        </w:tc>
      </w:tr>
    </w:tbl>
    <w:p>
      <w:r>
        <w:pict>
          <v:rect style="width:0;height:1.5pt" o:hralign="center" o:hrstd="t" o:hr="t"/>
        </w:pict>
      </w:r>
    </w:p>
    <w:bookmarkEnd w:id="21"/>
    <w:bookmarkStart w:id="22" w:name="project-scope-and-objectives"/>
    <w:p>
      <w:pPr>
        <w:pStyle w:val="Heading2"/>
      </w:pPr>
      <w:r>
        <w:t xml:space="preserve">3. Project Scope and Objectives</w:t>
      </w:r>
    </w:p>
    <w:p>
      <w:pPr>
        <w:numPr>
          <w:ilvl w:val="0"/>
          <w:numId w:val="1001"/>
        </w:numPr>
        <w:pStyle w:val="Compact"/>
      </w:pPr>
      <w:r>
        <w:t xml:space="preserve">Build a centralized Data Lakehouse on Azure as the single source of truth for all group data</w:t>
      </w:r>
    </w:p>
    <w:p>
      <w:pPr>
        <w:numPr>
          <w:ilvl w:val="0"/>
          <w:numId w:val="1001"/>
        </w:numPr>
        <w:pStyle w:val="Compact"/>
      </w:pPr>
      <w:r>
        <w:t xml:space="preserve">Implement ELT pipelines for data ingestion from all sources (batch and near-real-time)</w:t>
      </w:r>
    </w:p>
    <w:p>
      <w:pPr>
        <w:numPr>
          <w:ilvl w:val="0"/>
          <w:numId w:val="1001"/>
        </w:numPr>
        <w:pStyle w:val="Compact"/>
      </w:pPr>
      <w:r>
        <w:t xml:space="preserve">Create a unified semantic model for reporting and analytics</w:t>
      </w:r>
    </w:p>
    <w:p>
      <w:pPr>
        <w:numPr>
          <w:ilvl w:val="0"/>
          <w:numId w:val="1001"/>
        </w:numPr>
        <w:pStyle w:val="Compact"/>
      </w:pPr>
      <w:r>
        <w:t xml:space="preserve">Deliver a set of 12 Power BI dashboards for executive and operational management</w:t>
      </w:r>
    </w:p>
    <w:p>
      <w:pPr>
        <w:numPr>
          <w:ilvl w:val="0"/>
          <w:numId w:val="1001"/>
        </w:numPr>
        <w:pStyle w:val="Compact"/>
      </w:pPr>
      <w:r>
        <w:t xml:space="preserve">Implement Microsoft Purview for the data catalog and governance (lineage, classification)</w:t>
      </w:r>
    </w:p>
    <w:p>
      <w:pPr>
        <w:numPr>
          <w:ilvl w:val="0"/>
          <w:numId w:val="1001"/>
        </w:numPr>
        <w:pStyle w:val="Compact"/>
      </w:pPr>
      <w:r>
        <w:t xml:space="preserve">Reduce monthly report generation time from 3–4 days to a maximum of 2 hours</w:t>
      </w:r>
    </w:p>
    <w:p>
      <w:r>
        <w:pict>
          <v:rect style="width:0;height:1.5pt" o:hralign="center" o:hrstd="t" o:hr="t"/>
        </w:pict>
      </w:r>
    </w:p>
    <w:bookmarkEnd w:id="22"/>
    <w:bookmarkStart w:id="23" w:name="technologies-used"/>
    <w:p>
      <w:pPr>
        <w:pStyle w:val="Heading2"/>
      </w:pPr>
      <w:r>
        <w:t xml:space="preserve">4. Technologies Used</w:t>
      </w:r>
    </w:p>
    <w:p>
      <w:pPr>
        <w:numPr>
          <w:ilvl w:val="0"/>
          <w:numId w:val="1002"/>
        </w:numPr>
        <w:pStyle w:val="Compact"/>
      </w:pPr>
      <w:r>
        <w:rPr>
          <w:bCs/>
          <w:b/>
        </w:rPr>
        <w:t xml:space="preserve">Azure Data Lake Storage Gen2 (ADLS):</w:t>
      </w:r>
      <w:r>
        <w:t xml:space="preserve"> </w:t>
      </w:r>
      <w:r>
        <w:t xml:space="preserve">Lakehouse storage layer (Bronze/Silver/Gold)</w:t>
      </w:r>
    </w:p>
    <w:p>
      <w:pPr>
        <w:numPr>
          <w:ilvl w:val="0"/>
          <w:numId w:val="1002"/>
        </w:numPr>
        <w:pStyle w:val="Compact"/>
      </w:pPr>
      <w:r>
        <w:rPr>
          <w:bCs/>
          <w:b/>
        </w:rPr>
        <w:t xml:space="preserve">Azure Data Factory (ADF):</w:t>
      </w:r>
      <w:r>
        <w:t xml:space="preserve"> </w:t>
      </w:r>
      <w:r>
        <w:t xml:space="preserve">ELT pipeline orchestration and data source connectors</w:t>
      </w:r>
    </w:p>
    <w:p>
      <w:pPr>
        <w:numPr>
          <w:ilvl w:val="0"/>
          <w:numId w:val="1002"/>
        </w:numPr>
        <w:pStyle w:val="Compact"/>
      </w:pPr>
      <w:r>
        <w:rPr>
          <w:bCs/>
          <w:b/>
        </w:rPr>
        <w:t xml:space="preserve">Azure Databricks:</w:t>
      </w:r>
      <w:r>
        <w:t xml:space="preserve"> </w:t>
      </w:r>
      <w:r>
        <w:t xml:space="preserve">Large-scale data processing, complex transformations, ML features (future)</w:t>
      </w:r>
    </w:p>
    <w:p>
      <w:pPr>
        <w:numPr>
          <w:ilvl w:val="0"/>
          <w:numId w:val="1002"/>
        </w:numPr>
        <w:pStyle w:val="Compact"/>
      </w:pPr>
      <w:r>
        <w:rPr>
          <w:bCs/>
          <w:b/>
        </w:rPr>
        <w:t xml:space="preserve">Azure Synapse Analytics:</w:t>
      </w:r>
      <w:r>
        <w:t xml:space="preserve"> </w:t>
      </w:r>
      <w:r>
        <w:t xml:space="preserve">SQL Pool for Gold layer reporting and querying</w:t>
      </w:r>
    </w:p>
    <w:p>
      <w:pPr>
        <w:numPr>
          <w:ilvl w:val="0"/>
          <w:numId w:val="1002"/>
        </w:numPr>
        <w:pStyle w:val="Compact"/>
      </w:pPr>
      <w:r>
        <w:rPr>
          <w:bCs/>
          <w:b/>
        </w:rPr>
        <w:t xml:space="preserve">Microsoft Power BI (Premium Per User):</w:t>
      </w:r>
      <w:r>
        <w:t xml:space="preserve"> </w:t>
      </w:r>
      <w:r>
        <w:t xml:space="preserve">Executive and operational dashboards and reports</w:t>
      </w:r>
    </w:p>
    <w:p>
      <w:pPr>
        <w:numPr>
          <w:ilvl w:val="0"/>
          <w:numId w:val="1002"/>
        </w:numPr>
        <w:pStyle w:val="Compact"/>
      </w:pPr>
      <w:r>
        <w:rPr>
          <w:bCs/>
          <w:b/>
        </w:rPr>
        <w:t xml:space="preserve">Microsoft Purview:</w:t>
      </w:r>
      <w:r>
        <w:t xml:space="preserve"> </w:t>
      </w:r>
      <w:r>
        <w:t xml:space="preserve">Data catalog, automatic lineage, GDPR classification</w:t>
      </w:r>
    </w:p>
    <w:p>
      <w:pPr>
        <w:numPr>
          <w:ilvl w:val="0"/>
          <w:numId w:val="1002"/>
        </w:numPr>
        <w:pStyle w:val="Compact"/>
      </w:pPr>
      <w:r>
        <w:rPr>
          <w:bCs/>
          <w:b/>
        </w:rPr>
        <w:t xml:space="preserve">Azure Key Vault:</w:t>
      </w:r>
      <w:r>
        <w:t xml:space="preserve"> </w:t>
      </w:r>
      <w:r>
        <w:t xml:space="preserve">Secrets and credential management</w:t>
      </w:r>
    </w:p>
    <w:p>
      <w:pPr>
        <w:numPr>
          <w:ilvl w:val="0"/>
          <w:numId w:val="1002"/>
        </w:numPr>
        <w:pStyle w:val="Compact"/>
      </w:pPr>
      <w:r>
        <w:rPr>
          <w:bCs/>
          <w:b/>
        </w:rPr>
        <w:t xml:space="preserve">Terraform + Azure DevOps:</w:t>
      </w:r>
      <w:r>
        <w:t xml:space="preserve"> </w:t>
      </w:r>
      <w:r>
        <w:t xml:space="preserve">Infrastructure as code and CI/CD for data pipelines</w:t>
      </w:r>
    </w:p>
    <w:p>
      <w:pPr>
        <w:numPr>
          <w:ilvl w:val="0"/>
          <w:numId w:val="1002"/>
        </w:numPr>
        <w:pStyle w:val="Compact"/>
      </w:pPr>
      <w:r>
        <w:rPr>
          <w:bCs/>
          <w:b/>
        </w:rPr>
        <w:t xml:space="preserve">Delta Lake (Databricks):</w:t>
      </w:r>
      <w:r>
        <w:t xml:space="preserve"> </w:t>
      </w:r>
      <w:r>
        <w:t xml:space="preserve">Transactional table format for Silver and Gold layers</w:t>
      </w:r>
    </w:p>
    <w:p>
      <w:r>
        <w:pict>
          <v:rect style="width:0;height:1.5pt" o:hralign="center" o:hrstd="t" o:hr="t"/>
        </w:pict>
      </w:r>
    </w:p>
    <w:bookmarkEnd w:id="23"/>
    <w:bookmarkStart w:id="29" w:name="implementation-steps"/>
    <w:p>
      <w:pPr>
        <w:pStyle w:val="Heading2"/>
      </w:pPr>
      <w:r>
        <w:t xml:space="preserve">5. Implementation Steps</w:t>
      </w:r>
    </w:p>
    <w:bookmarkStart w:id="24" w:name="X7889a6ecae8377de72eda2f84a5ef0711a361c7"/>
    <w:p>
      <w:pPr>
        <w:pStyle w:val="Heading3"/>
      </w:pPr>
      <w:r>
        <w:t xml:space="preserve">Phase 1 – Data Discovery and Architecture (July – August 2023)</w:t>
      </w:r>
    </w:p>
    <w:p>
      <w:pPr>
        <w:pStyle w:val="FirstParagraph"/>
      </w:pPr>
      <w:r>
        <w:t xml:space="preserve">David Popa led 3 weeks of data discovery: interviewing analysts from each country, inventorying data sources (schemas, volumes, update frequency, data quality). A preliminary Data Catalog was documented (87 data entities) and the Medallion architecture was designed (Bronze → Silver → Gold). Radu Constantin dimensioned and provisioned the Azure infrastructure via Terraform.</w:t>
      </w:r>
    </w:p>
    <w:bookmarkEnd w:id="24"/>
    <w:bookmarkStart w:id="25" w:name="Xaa157732bcd8327cbc264dc08d4a6764322a5bc"/>
    <w:p>
      <w:pPr>
        <w:pStyle w:val="Heading3"/>
      </w:pPr>
      <w:r>
        <w:t xml:space="preserve">Phase 2 – Ingestion and Bronze Layer (August – September 2023)</w:t>
      </w:r>
    </w:p>
    <w:p>
      <w:pPr>
        <w:pStyle w:val="FirstParagraph"/>
      </w:pPr>
      <w:r>
        <w:t xml:space="preserve">Connectivity was established with all 7 data sources. Bogdan Marin built 14 ADF pipelines for raw data ingestion into ADLS Bronze layer. SAP Connector for ADF (tables BSEG, VBAK, LIKP) and JDBC connectors for the Oracle DWH and telematics systems were configured.</w:t>
      </w:r>
    </w:p>
    <w:bookmarkEnd w:id="25"/>
    <w:bookmarkStart w:id="26" w:name="X2bf7963e1ff3127410f69ce9f0e4f34e3b8780f"/>
    <w:p>
      <w:pPr>
        <w:pStyle w:val="Heading3"/>
      </w:pPr>
      <w:r>
        <w:t xml:space="preserve">Phase 3 – Silver/Gold Transformation (September – November 2023)</w:t>
      </w:r>
    </w:p>
    <w:p>
      <w:pPr>
        <w:pStyle w:val="FirstParagraph"/>
      </w:pPr>
      <w:r>
        <w:t xml:space="preserve">Databricks notebooks were built for data cleansing and normalization (Silver layer) and for the Gold dimensional model (fact constellation: Sales, Production, Inventory, Machinery, Financial). Data quality rules were implemented using Great Expectations.</w:t>
      </w:r>
    </w:p>
    <w:bookmarkEnd w:id="26"/>
    <w:bookmarkStart w:id="27" w:name="X7a3d4e9e4625942a8a659578339b65052fbc744"/>
    <w:p>
      <w:pPr>
        <w:pStyle w:val="Heading3"/>
      </w:pPr>
      <w:r>
        <w:t xml:space="preserve">Phase 4 – Semantic Layer and Power BI (November – December 2023)</w:t>
      </w:r>
    </w:p>
    <w:p>
      <w:pPr>
        <w:pStyle w:val="FirstParagraph"/>
      </w:pPr>
      <w:r>
        <w:t xml:space="preserve">David Popa built the Power BI semantic model with 47 DAX measures. Ioana Vlad coordinated with client analysts to define 12 dashboards delivered in two iterations with intermediate feedback.</w:t>
      </w:r>
    </w:p>
    <w:bookmarkEnd w:id="27"/>
    <w:bookmarkStart w:id="28" w:name="X26020af65f838f775b66cb3f180ea0244aedf1a"/>
    <w:p>
      <w:pPr>
        <w:pStyle w:val="Heading3"/>
      </w:pPr>
      <w:r>
        <w:t xml:space="preserve">Phase 5 – Purview, Security, and Go-Live (January – February 2024)</w:t>
      </w:r>
    </w:p>
    <w:p>
      <w:pPr>
        <w:pStyle w:val="FirstParagraph"/>
      </w:pPr>
      <w:r>
        <w:t xml:space="preserve">Microsoft Purview was configured with automated scanning of ADLS and Synapse, automatic PII classification, and complete data lineage. Power BI Row-Level Security was configured per country and per department. Analyst and platform administrator training and complete documentation were delivered.</w:t>
      </w:r>
    </w:p>
    <w:p>
      <w:r>
        <w:pict>
          <v:rect style="width:0;height:1.5pt" o:hralign="center" o:hrstd="t" o:hr="t"/>
        </w:pict>
      </w:r>
    </w:p>
    <w:bookmarkEnd w:id="28"/>
    <w:bookmarkEnd w:id="29"/>
    <w:bookmarkStart w:id="30" w:name="challenges-encountered-and-solutions"/>
    <w:p>
      <w:pPr>
        <w:pStyle w:val="Heading2"/>
      </w:pPr>
      <w:r>
        <w:t xml:space="preserve">6. Challenges Encountered and Solutions</w:t>
      </w:r>
    </w:p>
    <w:p>
      <w:pPr>
        <w:pStyle w:val="FirstParagraph"/>
      </w:pPr>
      <w:r>
        <w:rPr>
          <w:bCs/>
          <w:b/>
        </w:rPr>
        <w:t xml:space="preserve">Challenge 1 – SAP Connector ADF poor performance on large tables</w:t>
      </w:r>
      <w:r>
        <w:t xml:space="preserve"> </w:t>
      </w:r>
      <w:r>
        <w:t xml:space="preserve">Extracting table BSEG (200+ million records) via SAP Connector for ADF took 18 hours. Solution: David Popa implemented partitioned extraction on the BUDAT (document date) field with parallelism, reducing duration to 3.5 hours. An incremental delta extraction mechanism based on timestamp was also added.</w:t>
      </w:r>
    </w:p>
    <w:p>
      <w:pPr>
        <w:pStyle w:val="BodyText"/>
      </w:pPr>
      <w:r>
        <w:rPr>
          <w:bCs/>
          <w:b/>
        </w:rPr>
        <w:t xml:space="preserve">Challenge 2 – Different metric definitions across countries</w:t>
      </w:r>
      <w:r>
        <w:t xml:space="preserve"> </w:t>
      </w:r>
      <w:r>
        <w:t xml:space="preserve">“</w:t>
      </w:r>
      <w:r>
        <w:t xml:space="preserve">Net Sales</w:t>
      </w:r>
      <w:r>
        <w:t xml:space="preserve">”</w:t>
      </w:r>
      <w:r>
        <w:t xml:space="preserve"> </w:t>
      </w:r>
      <w:r>
        <w:t xml:space="preserve">was calculated differently in Romania versus Poland (inclusion/exclusion of partial returns). Ioana Vlad initiated a Data Governance Workshop with CFOs from both countries that resulted in an approved Data Dictionary with 23 standardized group-level metrics.</w:t>
      </w:r>
    </w:p>
    <w:p>
      <w:pPr>
        <w:pStyle w:val="BodyText"/>
      </w:pPr>
      <w:r>
        <w:rPr>
          <w:bCs/>
          <w:b/>
        </w:rPr>
        <w:t xml:space="preserve">Challenge 3 – Very high-frequency IoT data from silos</w:t>
      </w:r>
      <w:r>
        <w:t xml:space="preserve"> </w:t>
      </w:r>
      <w:r>
        <w:t xml:space="preserve">Silo sensors generated 50,000 events/hour, overwhelming the original batch pipeline. Bogdan Marin implemented an Azure Event Hubs intermediary layer with 15-minute micro-batching, decoupling IoT ingestion from the main ADF pipeline.</w:t>
      </w:r>
    </w:p>
    <w:p>
      <w:pPr>
        <w:pStyle w:val="BodyText"/>
      </w:pPr>
      <w:r>
        <w:rPr>
          <w:bCs/>
          <w:b/>
        </w:rPr>
        <w:t xml:space="preserve">Challenge 4 – Local analyst resistance to the new platform</w:t>
      </w:r>
      <w:r>
        <w:t xml:space="preserve"> </w:t>
      </w:r>
      <w:r>
        <w:t xml:space="preserve">Analysts experienced in Excel and Oracle reports were unwilling to abandon familiar working methods. Solution: a 60-day parallel operation period (new platform plus old reports) was launched, enabling figure comparison and building trust in the new data source.</w:t>
      </w:r>
    </w:p>
    <w:p>
      <w:r>
        <w:pict>
          <v:rect style="width:0;height:1.5pt" o:hralign="center" o:hrstd="t" o:hr="t"/>
        </w:pict>
      </w:r>
    </w:p>
    <w:bookmarkEnd w:id="30"/>
    <w:bookmarkStart w:id="31" w:name="collaboration-model"/>
    <w:p>
      <w:pPr>
        <w:pStyle w:val="Heading2"/>
      </w:pPr>
      <w:r>
        <w:t xml:space="preserve">7. Collaboration Model</w:t>
      </w:r>
    </w:p>
    <w:p>
      <w:pPr>
        <w:pStyle w:val="FirstParagraph"/>
      </w:pPr>
      <w:r>
        <w:t xml:space="preserve">Project governed through a hybrid Agile-Waterfall methodology: architecture phases in waterfall mode, pipeline and dashboard builds in 2-week sprints. Weekly workshop with the client analytics team; monthly Steering Committee with the Group CFO.</w:t>
      </w:r>
    </w:p>
    <w:p>
      <w:r>
        <w:pict>
          <v:rect style="width:0;height:1.5pt" o:hralign="center" o:hrstd="t" o:hr="t"/>
        </w:pict>
      </w:r>
    </w:p>
    <w:bookmarkEnd w:id="31"/>
    <w:bookmarkStart w:id="32" w:name="results-achieved"/>
    <w:p>
      <w:pPr>
        <w:pStyle w:val="Heading2"/>
      </w:pPr>
      <w:r>
        <w:t xml:space="preserve">8. Results Achieved</w:t>
      </w:r>
    </w:p>
    <w:p>
      <w:pPr>
        <w:numPr>
          <w:ilvl w:val="0"/>
          <w:numId w:val="1003"/>
        </w:numPr>
        <w:pStyle w:val="Compact"/>
      </w:pPr>
      <w:r>
        <w:t xml:space="preserve">Monthly report preparation time reduced from 3–4 days to 45 minutes (fully automated)</w:t>
      </w:r>
    </w:p>
    <w:p>
      <w:pPr>
        <w:numPr>
          <w:ilvl w:val="0"/>
          <w:numId w:val="1003"/>
        </w:numPr>
        <w:pStyle w:val="Compact"/>
      </w:pPr>
      <w:r>
        <w:t xml:space="preserve">12 Power BI dashboards delivered and used daily by 78 users across 5 countries</w:t>
      </w:r>
    </w:p>
    <w:p>
      <w:pPr>
        <w:numPr>
          <w:ilvl w:val="0"/>
          <w:numId w:val="1003"/>
        </w:numPr>
        <w:pStyle w:val="Compact"/>
      </w:pPr>
      <w:r>
        <w:t xml:space="preserve">Single source of truth established: reporting discrepancies between departments eliminated</w:t>
      </w:r>
    </w:p>
    <w:p>
      <w:pPr>
        <w:numPr>
          <w:ilvl w:val="0"/>
          <w:numId w:val="1003"/>
        </w:numPr>
        <w:pStyle w:val="Compact"/>
      </w:pPr>
      <w:r>
        <w:t xml:space="preserve">Purview catalog: 87 entities documented, 23 metrics standardized in the Data Dictionary</w:t>
      </w:r>
    </w:p>
    <w:p>
      <w:pPr>
        <w:numPr>
          <w:ilvl w:val="0"/>
          <w:numId w:val="1003"/>
        </w:numPr>
        <w:pStyle w:val="Compact"/>
      </w:pPr>
      <w:r>
        <w:t xml:space="preserve">Foundation established for future ML initiatives (crop yield prediction, logistics route optimization)</w:t>
      </w:r>
    </w:p>
    <w:p>
      <w:r>
        <w:pict>
          <v:rect style="width:0;height:1.5pt" o:hralign="center" o:hrstd="t" o:hr="t"/>
        </w:pict>
      </w:r>
    </w:p>
    <w:bookmarkEnd w:id="32"/>
    <w:bookmarkStart w:id="33" w:name="lessons-learned"/>
    <w:p>
      <w:pPr>
        <w:pStyle w:val="Heading2"/>
      </w:pPr>
      <w:r>
        <w:t xml:space="preserve">9. Lessons Learned</w:t>
      </w:r>
    </w:p>
    <w:p>
      <w:pPr>
        <w:numPr>
          <w:ilvl w:val="0"/>
          <w:numId w:val="1004"/>
        </w:numPr>
        <w:pStyle w:val="Compact"/>
      </w:pPr>
      <w:r>
        <w:rPr>
          <w:bCs/>
          <w:b/>
        </w:rPr>
        <w:t xml:space="preserve">Data governance must precede technical delivery:</w:t>
      </w:r>
      <w:r>
        <w:t xml:space="preserve"> </w:t>
      </w:r>
      <w:r>
        <w:t xml:space="preserve">Without standardized metric definitions, any technical platform distributes confusion at scale.</w:t>
      </w:r>
    </w:p>
    <w:p>
      <w:pPr>
        <w:numPr>
          <w:ilvl w:val="0"/>
          <w:numId w:val="1004"/>
        </w:numPr>
        <w:pStyle w:val="Compact"/>
      </w:pPr>
      <w:r>
        <w:rPr>
          <w:bCs/>
          <w:b/>
        </w:rPr>
        <w:t xml:space="preserve">A parallel operation period is critical for adoption:</w:t>
      </w:r>
      <w:r>
        <w:t xml:space="preserve"> </w:t>
      </w:r>
      <w:r>
        <w:t xml:space="preserve">Analysts will adopt the new platform when they have proof the data is correct, not because they are told to.</w:t>
      </w:r>
    </w:p>
    <w:p>
      <w:pPr>
        <w:numPr>
          <w:ilvl w:val="0"/>
          <w:numId w:val="1004"/>
        </w:numPr>
        <w:pStyle w:val="Compact"/>
      </w:pPr>
      <w:r>
        <w:rPr>
          <w:bCs/>
          <w:b/>
        </w:rPr>
        <w:t xml:space="preserve">SAP extraction requires specific expertise:</w:t>
      </w:r>
      <w:r>
        <w:t xml:space="preserve"> </w:t>
      </w:r>
      <w:r>
        <w:t xml:space="preserve">A naive approach to SAP connectors generates serious performance issues. Partitioning and delta extraction are mandatory from the design phase.</w:t>
      </w:r>
    </w:p>
    <w:bookmarkEnd w:id="33"/>
    <w:bookmarkEnd w:id="34"/>
    <w:sectPr>
      <w:footerReference r:id="rId9" w:type="default"/>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BearingPoint | Confidential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00000001"/>
      <w:numFmt w:val="bullet"/>
      <w:lvlText w:val="●"/>
      <w:lvlJc w:val="left"/>
      <w:pPr>
        <w:ind w:hanging="360" w:left="720"/>
      </w:pPr>
    </w:lvl>
    <w:lvl w15:tentative="1" w:ilvl="1">
      <w:start w:val="00000001"/>
      <w:numFmt w:val="bullet"/>
      <w:lvlText w:val="○"/>
      <w:lvlJc w:val="left"/>
      <w:pPr>
        <w:ind w:hanging="360" w:left="1440"/>
      </w:pPr>
    </w:lvl>
    <w:lvl w15:tentative="1" w:ilvl="2">
      <w:start w:val="00000001"/>
      <w:numFmt w:val="bullet"/>
      <w:lvlText w:val="■"/>
      <w:lvlJc w:val="left"/>
      <w:pPr>
        <w:ind w:hanging="360" w:left="2160"/>
      </w:pPr>
    </w:lvl>
    <w:lvl w15:tentative="1" w:ilvl="3">
      <w:start w:val="00000001"/>
      <w:numFmt w:val="bullet"/>
      <w:lvlText w:val="●"/>
      <w:lvlJc w:val="left"/>
      <w:pPr>
        <w:ind w:hanging="360" w:left="2880"/>
      </w:pPr>
    </w:lvl>
    <w:lvl w15:tentative="1" w:ilvl="4">
      <w:start w:val="00000001"/>
      <w:numFmt w:val="bullet"/>
      <w:lvlText w:val="○"/>
      <w:lvlJc w:val="left"/>
      <w:pPr>
        <w:ind w:hanging="360" w:left="3600"/>
      </w:pPr>
    </w:lvl>
    <w:lvl w15:tentative="1" w:ilvl="5">
      <w:start w:val="00000001"/>
      <w:numFmt w:val="bullet"/>
      <w:lvlText w:val="■"/>
      <w:lvlJc w:val="left"/>
      <w:pPr>
        <w:ind w:hanging="360" w:left="4320"/>
      </w:pPr>
    </w:lvl>
    <w:lvl w15:tentative="1" w:ilvl="6">
      <w:start w:val="00000001"/>
      <w:numFmt w:val="bullet"/>
      <w:lvlText w:val="●"/>
      <w:lvlJc w:val="left"/>
      <w:pPr>
        <w:ind w:hanging="360" w:left="5040"/>
      </w:pPr>
    </w:lvl>
    <w:lvl w15:tentative="1" w:ilvl="7">
      <w:start w:val="00000001"/>
      <w:numFmt w:val="bullet"/>
      <w:lvlText w:val="●"/>
      <w:lvlJc w:val="left"/>
      <w:pPr>
        <w:ind w:hanging="360" w:left="5760"/>
      </w:pPr>
    </w:lvl>
    <w:lvl w15:tentative="1" w:ilvl="8">
      <w:start w:val="00000001"/>
      <w:numFmt w:val="bullet"/>
      <w:lvlText w:val="●"/>
      <w:lvlJc w:val="left"/>
      <w:pPr>
        <w:ind w:hanging="360" w:left="6480"/>
      </w:pPr>
    </w:lvl>
  </w:abstractNum>
  <w:abstractNum w15:restartNumberingAfterBreak="0" w:abstractNumId="2">
    <w:multiLevelType w:val="hybridMultilevel"/>
    <w:lvl w15:tentative="1" w:ilvl="0">
      <w:start w:val="00000001"/>
      <w:numFmt w:val="bullet"/>
      <w:lvlText w:val="•"/>
      <w:lvlJc w:val="left"/>
      <w:pPr>
        <w:ind w:hanging="360" w:left="720"/>
      </w:pPr>
      <w:rPr>
        <w:rFonts w:ascii="Calibri" w:cs="Calibri" w:eastAsia="Calibri" w:hAnsi="Calibri"/>
      </w:rPr>
    </w:lvl>
  </w:abstractNum>
  <w:abstractNum w15:restartNumberingAfterBreak="0" w:abstractNumId="3">
    <w:multiLevelType w:val="hybridMultilevel"/>
    <w:lvl w15:tentative="1" w:ilvl="0">
      <w:start w:val="00000001"/>
      <w:numFmt w:val="decimal"/>
      <w:lvlText w:val="%1."/>
      <w:lvlJc w:val="left"/>
      <w:pPr>
        <w:ind w:hanging="360" w:left="72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00000001"/>
      <w:numFmt w:val="decimal"/>
      <w:lvlText w:val="%1."/>
      <w:lvlJc w:val="left"/>
      <w:pPr>
        <w:ind w:left="720" w:hanging="480"/>
      </w:pPr>
    </w:lvl>
    <w:lvl w:ilvl="1">
      <w:start w:val="00000001"/>
      <w:numFmt w:val="decimal"/>
      <w:lvlText w:val="%2."/>
      <w:lvlJc w:val="left"/>
      <w:pPr>
        <w:ind w:left="1440" w:hanging="480"/>
      </w:pPr>
    </w:lvl>
    <w:lvl w:ilvl="2">
      <w:start w:val="00000001"/>
      <w:numFmt w:val="decimal"/>
      <w:lvlText w:val="%3."/>
      <w:lvlJc w:val="left"/>
      <w:pPr>
        <w:ind w:left="2160" w:hanging="480"/>
      </w:pPr>
    </w:lvl>
    <w:lvl w:ilvl="3">
      <w:start w:val="00000001"/>
      <w:numFmt w:val="decimal"/>
      <w:lvlText w:val="%4."/>
      <w:lvlJc w:val="left"/>
      <w:pPr>
        <w:ind w:left="2880" w:hanging="480"/>
      </w:pPr>
    </w:lvl>
    <w:lvl w:ilvl="4">
      <w:start w:val="00000001"/>
      <w:numFmt w:val="decimal"/>
      <w:lvlText w:val="%5."/>
      <w:lvlJc w:val="left"/>
      <w:pPr>
        <w:ind w:left="3600" w:hanging="480"/>
      </w:pPr>
    </w:lvl>
    <w:lvl w:ilvl="5">
      <w:start w:val="00000001"/>
      <w:numFmt w:val="decimal"/>
      <w:lvlText w:val="%6."/>
      <w:lvlJc w:val="left"/>
      <w:pPr>
        <w:ind w:left="4320" w:hanging="480"/>
      </w:pPr>
    </w:lvl>
    <w:lvl w:ilvl="6">
      <w:start w:val="00000001"/>
      <w:numFmt w:val="decimal"/>
      <w:lvlText w:val="%7."/>
      <w:lvlJc w:val="left"/>
      <w:pPr>
        <w:ind w:left="5040" w:hanging="480"/>
      </w:pPr>
    </w:lvl>
    <w:lvl w:ilvl="7">
      <w:start w:val="00000001"/>
      <w:numFmt w:val="decimal"/>
      <w:lvlText w:val="%8."/>
      <w:lvlJc w:val="left"/>
      <w:pPr>
        <w:ind w:left="5760" w:hanging="480"/>
      </w:pPr>
    </w:lvl>
    <w:lvl w:ilvl="8">
      <w:start w:val="00000001"/>
      <w:numFmt w:val="decimal"/>
      <w:lvlText w:val="%9."/>
      <w:lvlJc w:val="left"/>
      <w:pPr>
        <w:ind w:left="6480" w:hanging="480"/>
      </w:pPr>
    </w:lvl>
  </w:abstractNum>
  <w:num w:numId="1">
    <w:abstractNumId w:val="00000001"/>
    <w:lvlOverride w:ilvl="0">
      <w:startOverride w:val="00000001"/>
    </w:lvlOverride>
  </w:num>
  <w:num w:numId="2">
    <w:abstractNumId w:val="00000002"/>
    <w:lvlOverride w:ilvl="0">
      <w:startOverride w:val="00000001"/>
    </w:lvlOverride>
  </w:num>
  <w:num w:numId="3">
    <w:abstractNumId w:val="00000003"/>
    <w:lvlOverride w:ilvl="0">
      <w:startOverride w:val="00000001"/>
    </w:lvlOverride>
  </w:num>
  <w:num w:numId="1000">
    <w:abstractNumId w:val="00000990"/>
  </w:num>
  <w:num w:numId="1001">
    <w:abstractNumId w:val="00000991"/>
  </w:num>
  <w:num w:numId="1002">
    <w:abstractNumId w:val="00000991"/>
  </w:num>
  <w:num w:numId="1003">
    <w:abstractNumId w:val="00000991"/>
  </w:num>
  <w:num w:numId="1004">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pBdr>
        <w:bottom w:color="1B3A6B" w:space="4" w:sz="6" w:val="single"/>
      </w:pBdr>
      <w:spacing w:after="120" w:before="360"/>
      <w:outlineLvl w:val="0"/>
    </w:pPr>
    <w:rPr>
      <w:rFonts w:ascii="Calibri" w:cs="Calibri" w:eastAsia="Calibri" w:hAnsi="Calibri"/>
      <w:b/>
      <w:bCs/>
      <w:color w:val="1B3A6B"/>
      <w:sz w:val="36"/>
      <w:szCs w:val="36"/>
    </w:rPr>
  </w:style>
  <w:style w:styleId="Heading2" w:type="paragraph">
    <w:name w:val="Heading 2"/>
    <w:basedOn w:val="Normal"/>
    <w:next w:val="Normal"/>
    <w:qFormat/>
    <w:pPr>
      <w:spacing w:after="80" w:before="280"/>
      <w:outlineLvl w:val="1"/>
    </w:pPr>
    <w:rPr>
      <w:rFonts w:ascii="Calibri" w:cs="Calibri" w:eastAsia="Calibri" w:hAnsi="Calibri"/>
      <w:b/>
      <w:bCs/>
      <w:color w:val="1B3A6B"/>
      <w:sz w:val="26"/>
      <w:szCs w:val="26"/>
    </w:rPr>
  </w:style>
  <w:style w:styleId="Heading3" w:type="paragraph">
    <w:name w:val="Heading 3"/>
    <w:basedOn w:val="Normal"/>
    <w:next w:val="Normal"/>
    <w:qFormat/>
    <w:pPr>
      <w:spacing w:after="60" w:before="200"/>
      <w:outlineLvl w:val="2"/>
    </w:pPr>
    <w:rPr>
      <w:rFonts w:ascii="Calibri" w:cs="Calibri" w:eastAsia="Calibri" w:hAnsi="Calibri"/>
      <w:b/>
      <w:bCs/>
      <w:color w:val="555555"/>
      <w:sz w:val="22"/>
      <w:szCs w:val="22"/>
    </w:rPr>
  </w:style>
  <w:style w:styleId="Normal" w:type="paragraph">
    <w:name w:val="Normal"/>
    <w:qFormat/>
    <w:pPr>
      <w:spacing w:after="120" w:line="276"/>
    </w:pPr>
    <w:rPr>
      <w:rFonts w:ascii="Calibri" w:cs="Calibri" w:eastAsia="Calibri" w:hAnsi="Calibri"/>
      <w:color w:val="2C2C2C"/>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Data and Analytics Platform</dc:title>
  <dc:creator>BearingPoint</dc:creator>
  <cp:keywords/>
  <dcterms:created xsi:type="dcterms:W3CDTF">2026-06-12T08:38:47Z</dcterms:created>
  <dcterms:modified xsi:type="dcterms:W3CDTF">2026-06-12T08:38:47Z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2023 – February 2024</vt:lpwstr>
  </property>
  <property fmtid="{D5CDD505-2E9C-101B-9397-08002B2CF9AE}" pid="3" name="subtitle">
    <vt:lpwstr>Accepted Project Proposal – EuroAgro International S.A.</vt:lpwstr>
  </property>
</Properties>
</file>