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SAP</w:t>
      </w:r>
      <w:r>
        <w:t xml:space="preserve"> </w:t>
      </w:r>
      <w:r>
        <w:t xml:space="preserve">SuccessFactors</w:t>
      </w:r>
      <w:r>
        <w:t xml:space="preserve"> </w:t>
      </w:r>
      <w:r>
        <w:t xml:space="preserve">HR</w:t>
      </w:r>
      <w:r>
        <w:t xml:space="preserve"> </w:t>
      </w:r>
      <w:r>
        <w:t xml:space="preserve">Cloud</w:t>
      </w:r>
      <w:r>
        <w:t xml:space="preserve"> </w:t>
      </w:r>
      <w:r>
        <w:t xml:space="preserve">Implementation</w:t>
      </w:r>
    </w:p>
    <w:p>
      <w:pPr>
        <w:pStyle w:val="Subtitle"/>
      </w:pPr>
      <w:r>
        <w:t xml:space="preserve">Accepted</w:t>
      </w:r>
      <w:r>
        <w:t xml:space="preserve"> </w:t>
      </w:r>
      <w:r>
        <w:t xml:space="preserve">Project</w:t>
      </w:r>
      <w:r>
        <w:t xml:space="preserve"> </w:t>
      </w:r>
      <w:r>
        <w:t xml:space="preserve">Proposal</w:t>
      </w:r>
      <w:r>
        <w:t xml:space="preserve"> </w:t>
      </w:r>
      <w:r>
        <w:t xml:space="preserve">–</w:t>
      </w:r>
      <w:r>
        <w:t xml:space="preserve"> </w:t>
      </w:r>
      <w:r>
        <w:t xml:space="preserve">Primus</w:t>
      </w:r>
      <w:r>
        <w:t xml:space="preserve"> </w:t>
      </w:r>
      <w:r>
        <w:t xml:space="preserve">Pharma</w:t>
      </w:r>
      <w:r>
        <w:t xml:space="preserve"> </w:t>
      </w:r>
      <w:r>
        <w:t xml:space="preserve">Group</w:t>
      </w:r>
      <w:r>
        <w:t xml:space="preserve"> </w:t>
      </w:r>
      <w:r>
        <w:t xml:space="preserve">S.A.</w:t>
      </w:r>
    </w:p>
    <w:p>
      <w:pPr>
        <w:pStyle w:val="Author"/>
      </w:pPr>
      <w:r>
        <w:t xml:space="preserve">BearingPoint</w:t>
      </w:r>
    </w:p>
    <w:p>
      <w:pPr>
        <w:pStyle w:val="Date"/>
      </w:pPr>
      <w:r>
        <w:t xml:space="preserve">February</w:t>
      </w:r>
      <w:r>
        <w:t xml:space="preserve"> </w:t>
      </w:r>
      <w:r>
        <w:t xml:space="preserve">2023</w:t>
      </w:r>
      <w:r>
        <w:t xml:space="preserve"> </w:t>
      </w:r>
      <w:r>
        <w:t xml:space="preserve">–</w:t>
      </w:r>
      <w:r>
        <w:t xml:space="preserve"> </w:t>
      </w:r>
      <w:r>
        <w:t xml:space="preserve">November</w:t>
      </w:r>
      <w:r>
        <w:t xml:space="preserve"> </w:t>
      </w:r>
      <w:r>
        <w:t xml:space="preserve">2023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X5503ef79cb841114253d5815c84e9cf9641eab5"/>
    <w:p>
      <w:pPr>
        <w:pStyle w:val="Heading1"/>
      </w:pPr>
      <w:r>
        <w:t xml:space="preserve">SAP SuccessFactors HR Cloud Implementation</w:t>
      </w:r>
    </w:p>
    <w:p>
      <w:pPr>
        <w:pStyle w:val="FirstParagraph"/>
      </w:pPr>
      <w:r>
        <w:rPr>
          <w:bCs/>
          <w:b/>
        </w:rPr>
        <w:t xml:space="preserve">Client:</w:t>
      </w:r>
      <w:r>
        <w:t xml:space="preserve"> </w:t>
      </w:r>
      <w:r>
        <w:t xml:space="preserve">Primus Pharma Group S.A.</w:t>
      </w:r>
      <w:r>
        <w:t xml:space="preserve"> </w:t>
      </w:r>
      <w:r>
        <w:rPr>
          <w:bCs/>
          <w:b/>
        </w:rPr>
        <w:t xml:space="preserve">Industry:</w:t>
      </w:r>
      <w:r>
        <w:t xml:space="preserve"> </w:t>
      </w:r>
      <w:r>
        <w:t xml:space="preserve">Pharmaceutical Manufacturing</w:t>
      </w:r>
      <w:r>
        <w:t xml:space="preserve"> </w:t>
      </w:r>
      <w:r>
        <w:rPr>
          <w:bCs/>
          <w:b/>
        </w:rPr>
        <w:t xml:space="preserve">Engagement Period:</w:t>
      </w:r>
      <w:r>
        <w:t xml:space="preserve"> </w:t>
      </w:r>
      <w:r>
        <w:t xml:space="preserve">February 2023 – November 2023 (10 months)</w:t>
      </w:r>
      <w:r>
        <w:t xml:space="preserve"> </w:t>
      </w:r>
      <w:r>
        <w:rPr>
          <w:bCs/>
          <w:b/>
        </w:rPr>
        <w:t xml:space="preserve">Engagement Type:</w:t>
      </w:r>
      <w:r>
        <w:t xml:space="preserve"> </w:t>
      </w:r>
      <w:r>
        <w:t xml:space="preserve">SAP SuccessFactors Implementation</w:t>
      </w:r>
      <w:r>
        <w:t xml:space="preserve"> </w:t>
      </w:r>
      <w:r>
        <w:rPr>
          <w:bCs/>
          <w:b/>
        </w:rPr>
        <w:t xml:space="preserve">Status:</w:t>
      </w:r>
      <w:r>
        <w:t xml:space="preserve"> </w:t>
      </w:r>
      <w:r>
        <w:t xml:space="preserve">Accepted and Successfully Completed</w:t>
      </w:r>
    </w:p>
    <w:p>
      <w:r>
        <w:pict>
          <v:rect style="width:0;height:1.5pt" o:hralign="center" o:hrstd="t" o:hr="t"/>
        </w:pict>
      </w:r>
    </w:p>
    <w:bookmarkStart w:id="20" w:name="client-background"/>
    <w:p>
      <w:pPr>
        <w:pStyle w:val="Heading2"/>
      </w:pPr>
      <w:r>
        <w:t xml:space="preserve">1. Client Background</w:t>
      </w:r>
    </w:p>
    <w:p>
      <w:pPr>
        <w:pStyle w:val="FirstParagraph"/>
      </w:pPr>
      <w:r>
        <w:t xml:space="preserve">Primus Pharma Group S.A. is a pharmaceutical manufacturer with 2,400 employees distributed across 3 factories and 2 administrative centers in Romania and Bulgaria. HR processes relied on SAP HCM on-premise (PA/OM modules) for payroll and personnel administration, but the company lacked modern tools for performance evaluation, goals management, and professional development. Regulatory requirements in the pharmaceutical industry (complete training auditability, GxP compliance) added further complexity. The decision was made to adopt SAP SuccessFactors to modernize HR without replacing the existing payroll system.</w:t>
      </w:r>
    </w:p>
    <w:p>
      <w:r>
        <w:pict>
          <v:rect style="width:0;height:1.5pt" o:hralign="center" o:hrstd="t" o:hr="t"/>
        </w:pict>
      </w:r>
    </w:p>
    <w:bookmarkEnd w:id="20"/>
    <w:bookmarkStart w:id="21" w:name="project-team"/>
    <w:p>
      <w:pPr>
        <w:pStyle w:val="Heading2"/>
      </w:pPr>
      <w:r>
        <w:t xml:space="preserve">2. Project Team</w:t>
      </w:r>
    </w:p>
    <w:tbl>
      <w:tblPr>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Area of Expertise</w:t>
            </w:r>
          </w:p>
        </w:tc>
      </w:tr>
      <w:tr>
        <w:tc>
          <w:tcPr/>
          <w:p>
            <w:pPr>
              <w:pStyle w:val="Compact"/>
              <w:jc w:val="left"/>
            </w:pPr>
            <w:r>
              <w:t xml:space="preserve">Stefan Weber</w:t>
            </w:r>
          </w:p>
        </w:tc>
        <w:tc>
          <w:tcPr/>
          <w:p>
            <w:pPr>
              <w:pStyle w:val="Compact"/>
              <w:jc w:val="left"/>
            </w:pPr>
            <w:r>
              <w:t xml:space="preserve">SAP SuccessFactors Lead</w:t>
            </w:r>
          </w:p>
        </w:tc>
        <w:tc>
          <w:tcPr/>
          <w:p>
            <w:pPr>
              <w:pStyle w:val="Compact"/>
              <w:jc w:val="left"/>
            </w:pPr>
            <w:r>
              <w:t xml:space="preserve">Employee Central, Performance &amp; Goals, Learning</w:t>
            </w:r>
          </w:p>
        </w:tc>
      </w:tr>
      <w:tr>
        <w:tc>
          <w:tcPr/>
          <w:p>
            <w:pPr>
              <w:pStyle w:val="Compact"/>
              <w:jc w:val="left"/>
            </w:pPr>
            <w:r>
              <w:t xml:space="preserve">Katharina Müller</w:t>
            </w:r>
          </w:p>
        </w:tc>
        <w:tc>
          <w:tcPr/>
          <w:p>
            <w:pPr>
              <w:pStyle w:val="Compact"/>
              <w:jc w:val="left"/>
            </w:pPr>
            <w:r>
              <w:t xml:space="preserve">Change Management Lead</w:t>
            </w:r>
          </w:p>
        </w:tc>
        <w:tc>
          <w:tcPr/>
          <w:p>
            <w:pPr>
              <w:pStyle w:val="Compact"/>
              <w:jc w:val="left"/>
            </w:pPr>
            <w:r>
              <w:t xml:space="preserve">HR transformation, organizational communication</w:t>
            </w:r>
          </w:p>
        </w:tc>
      </w:tr>
      <w:tr>
        <w:tc>
          <w:tcPr/>
          <w:p>
            <w:pPr>
              <w:pStyle w:val="Compact"/>
              <w:jc w:val="left"/>
            </w:pPr>
            <w:r>
              <w:t xml:space="preserve">Ioana Vlad</w:t>
            </w:r>
          </w:p>
        </w:tc>
        <w:tc>
          <w:tcPr/>
          <w:p>
            <w:pPr>
              <w:pStyle w:val="Compact"/>
              <w:jc w:val="left"/>
            </w:pPr>
            <w:r>
              <w:t xml:space="preserve">Business Analyst</w:t>
            </w:r>
          </w:p>
        </w:tc>
        <w:tc>
          <w:tcPr/>
          <w:p>
            <w:pPr>
              <w:pStyle w:val="Compact"/>
              <w:jc w:val="left"/>
            </w:pPr>
            <w:r>
              <w:t xml:space="preserve">HR processes, functional requirements</w:t>
            </w:r>
          </w:p>
        </w:tc>
      </w:tr>
      <w:tr>
        <w:tc>
          <w:tcPr/>
          <w:p>
            <w:pPr>
              <w:pStyle w:val="Compact"/>
              <w:jc w:val="left"/>
            </w:pPr>
            <w:r>
              <w:t xml:space="preserve">Thomas Fischer</w:t>
            </w:r>
          </w:p>
        </w:tc>
        <w:tc>
          <w:tcPr/>
          <w:p>
            <w:pPr>
              <w:pStyle w:val="Compact"/>
              <w:jc w:val="left"/>
            </w:pPr>
            <w:r>
              <w:t xml:space="preserve">SAP Integration Specialist</w:t>
            </w:r>
          </w:p>
        </w:tc>
        <w:tc>
          <w:tcPr/>
          <w:p>
            <w:pPr>
              <w:pStyle w:val="Compact"/>
              <w:jc w:val="left"/>
            </w:pPr>
            <w:r>
              <w:t xml:space="preserve">SAP Integration Suite, SF-HCM middleware</w:t>
            </w:r>
          </w:p>
        </w:tc>
      </w:tr>
    </w:tbl>
    <w:p>
      <w:r>
        <w:pict>
          <v:rect style="width:0;height:1.5pt" o:hralign="center" o:hrstd="t" o:hr="t"/>
        </w:pict>
      </w:r>
    </w:p>
    <w:bookmarkEnd w:id="21"/>
    <w:bookmarkStart w:id="22" w:name="project-scope-and-objectives"/>
    <w:p>
      <w:pPr>
        <w:pStyle w:val="Heading2"/>
      </w:pPr>
      <w:r>
        <w:t xml:space="preserve">3. Project Scope and Objectives</w:t>
      </w:r>
    </w:p>
    <w:p>
      <w:pPr>
        <w:numPr>
          <w:ilvl w:val="0"/>
          <w:numId w:val="1001"/>
        </w:numPr>
        <w:pStyle w:val="Compact"/>
      </w:pPr>
      <w:r>
        <w:t xml:space="preserve">Implement SAP SuccessFactors Employee Central (EC) as the HR system of record for employee master data (in parallel with SAP HCM on-premise)</w:t>
      </w:r>
    </w:p>
    <w:p>
      <w:pPr>
        <w:numPr>
          <w:ilvl w:val="0"/>
          <w:numId w:val="1001"/>
        </w:numPr>
        <w:pStyle w:val="Compact"/>
      </w:pPr>
      <w:r>
        <w:t xml:space="preserve">Implement the Performance &amp; Goals Management (PM&amp;G) and Continuous Performance Management (CPM) modules</w:t>
      </w:r>
    </w:p>
    <w:p>
      <w:pPr>
        <w:numPr>
          <w:ilvl w:val="0"/>
          <w:numId w:val="1001"/>
        </w:numPr>
        <w:pStyle w:val="Compact"/>
      </w:pPr>
      <w:r>
        <w:t xml:space="preserve">Implement SAP SuccessFactors Learning Management System (LMS) with management of mandatory GxP courses</w:t>
      </w:r>
    </w:p>
    <w:p>
      <w:pPr>
        <w:numPr>
          <w:ilvl w:val="0"/>
          <w:numId w:val="1001"/>
        </w:numPr>
        <w:pStyle w:val="Compact"/>
      </w:pPr>
      <w:r>
        <w:t xml:space="preserve">Build bidirectional integration SuccessFactors Employee Central ↔ SAP HCM on-premise (payroll) via SAP Integration Suite</w:t>
      </w:r>
    </w:p>
    <w:p>
      <w:pPr>
        <w:numPr>
          <w:ilvl w:val="0"/>
          <w:numId w:val="1001"/>
        </w:numPr>
        <w:pStyle w:val="Compact"/>
      </w:pPr>
      <w:r>
        <w:t xml:space="preserve">Execute a change management program for adoption across all managers and employees</w:t>
      </w:r>
    </w:p>
    <w:p>
      <w:r>
        <w:pict>
          <v:rect style="width:0;height:1.5pt" o:hralign="center" o:hrstd="t" o:hr="t"/>
        </w:pict>
      </w:r>
    </w:p>
    <w:bookmarkEnd w:id="22"/>
    <w:bookmarkStart w:id="23" w:name="technologies-used"/>
    <w:p>
      <w:pPr>
        <w:pStyle w:val="Heading2"/>
      </w:pPr>
      <w:r>
        <w:t xml:space="preserve">4. Technologies Used</w:t>
      </w:r>
    </w:p>
    <w:p>
      <w:pPr>
        <w:numPr>
          <w:ilvl w:val="0"/>
          <w:numId w:val="1002"/>
        </w:numPr>
        <w:pStyle w:val="Compact"/>
      </w:pPr>
      <w:r>
        <w:rPr>
          <w:bCs/>
          <w:b/>
        </w:rPr>
        <w:t xml:space="preserve">SAP SuccessFactors Employee Central (EC):</w:t>
      </w:r>
      <w:r>
        <w:t xml:space="preserve"> </w:t>
      </w:r>
      <w:r>
        <w:t xml:space="preserve">Employee master data management</w:t>
      </w:r>
    </w:p>
    <w:p>
      <w:pPr>
        <w:numPr>
          <w:ilvl w:val="0"/>
          <w:numId w:val="1002"/>
        </w:numPr>
        <w:pStyle w:val="Compact"/>
      </w:pPr>
      <w:r>
        <w:rPr>
          <w:bCs/>
          <w:b/>
        </w:rPr>
        <w:t xml:space="preserve">SAP SuccessFactors Performance &amp; Goals (PM&amp;G):</w:t>
      </w:r>
      <w:r>
        <w:t xml:space="preserve"> </w:t>
      </w:r>
      <w:r>
        <w:t xml:space="preserve">Performance evaluation and goals management</w:t>
      </w:r>
    </w:p>
    <w:p>
      <w:pPr>
        <w:numPr>
          <w:ilvl w:val="0"/>
          <w:numId w:val="1002"/>
        </w:numPr>
        <w:pStyle w:val="Compact"/>
      </w:pPr>
      <w:r>
        <w:rPr>
          <w:bCs/>
          <w:b/>
        </w:rPr>
        <w:t xml:space="preserve">SAP SuccessFactors Continuous Performance Management (CPM):</w:t>
      </w:r>
      <w:r>
        <w:t xml:space="preserve"> </w:t>
      </w:r>
      <w:r>
        <w:t xml:space="preserve">Regular check-ins and coaching</w:t>
      </w:r>
    </w:p>
    <w:p>
      <w:pPr>
        <w:numPr>
          <w:ilvl w:val="0"/>
          <w:numId w:val="1002"/>
        </w:numPr>
        <w:pStyle w:val="Compact"/>
      </w:pPr>
      <w:r>
        <w:rPr>
          <w:bCs/>
          <w:b/>
        </w:rPr>
        <w:t xml:space="preserve">SAP SuccessFactors Learning (LMS):</w:t>
      </w:r>
      <w:r>
        <w:t xml:space="preserve"> </w:t>
      </w:r>
      <w:r>
        <w:t xml:space="preserve">Training management, certifications, GxP curricula</w:t>
      </w:r>
    </w:p>
    <w:p>
      <w:pPr>
        <w:numPr>
          <w:ilvl w:val="0"/>
          <w:numId w:val="1002"/>
        </w:numPr>
        <w:pStyle w:val="Compact"/>
      </w:pPr>
      <w:r>
        <w:rPr>
          <w:bCs/>
          <w:b/>
        </w:rPr>
        <w:t xml:space="preserve">SAP Integration Suite (Cloud Integration):</w:t>
      </w:r>
      <w:r>
        <w:t xml:space="preserve"> </w:t>
      </w:r>
      <w:r>
        <w:t xml:space="preserve">Middleware for EC ↔ SAP HCM integration</w:t>
      </w:r>
    </w:p>
    <w:p>
      <w:pPr>
        <w:numPr>
          <w:ilvl w:val="0"/>
          <w:numId w:val="1002"/>
        </w:numPr>
        <w:pStyle w:val="Compact"/>
      </w:pPr>
      <w:r>
        <w:rPr>
          <w:bCs/>
          <w:b/>
        </w:rPr>
        <w:t xml:space="preserve">SAP Business Technology Platform (BTP):</w:t>
      </w:r>
      <w:r>
        <w:t xml:space="preserve"> </w:t>
      </w:r>
      <w:r>
        <w:t xml:space="preserve">Hosting platform for Integration Suite</w:t>
      </w:r>
    </w:p>
    <w:p>
      <w:pPr>
        <w:numPr>
          <w:ilvl w:val="0"/>
          <w:numId w:val="1002"/>
        </w:numPr>
        <w:pStyle w:val="Compact"/>
      </w:pPr>
      <w:r>
        <w:rPr>
          <w:bCs/>
          <w:b/>
        </w:rPr>
        <w:t xml:space="preserve">SAP Signavio:</w:t>
      </w:r>
      <w:r>
        <w:t xml:space="preserve"> </w:t>
      </w:r>
      <w:r>
        <w:t xml:space="preserve">Documentation of restructured HR processes pre-implementation</w:t>
      </w:r>
    </w:p>
    <w:p>
      <w:pPr>
        <w:numPr>
          <w:ilvl w:val="0"/>
          <w:numId w:val="1002"/>
        </w:numPr>
        <w:pStyle w:val="Compact"/>
      </w:pPr>
      <w:r>
        <w:rPr>
          <w:bCs/>
          <w:b/>
        </w:rPr>
        <w:t xml:space="preserve">SuccessFactors Workforce Analytics:</w:t>
      </w:r>
      <w:r>
        <w:t xml:space="preserve"> </w:t>
      </w:r>
      <w:r>
        <w:t xml:space="preserve">HR analytical reporting</w:t>
      </w:r>
    </w:p>
    <w:p>
      <w:r>
        <w:pict>
          <v:rect style="width:0;height:1.5pt" o:hralign="center" o:hrstd="t" o:hr="t"/>
        </w:pict>
      </w:r>
    </w:p>
    <w:bookmarkEnd w:id="23"/>
    <w:bookmarkStart w:id="29" w:name="implementation-steps"/>
    <w:p>
      <w:pPr>
        <w:pStyle w:val="Heading2"/>
      </w:pPr>
      <w:r>
        <w:t xml:space="preserve">5. Implementation Steps</w:t>
      </w:r>
    </w:p>
    <w:bookmarkStart w:id="24" w:name="X7d1b6364b44a07aaf1ce5a7e469c67c834e093b"/>
    <w:p>
      <w:pPr>
        <w:pStyle w:val="Heading3"/>
      </w:pPr>
      <w:r>
        <w:t xml:space="preserve">Phase 1 – Explore and Design (February – March 2023)</w:t>
      </w:r>
    </w:p>
    <w:p>
      <w:pPr>
        <w:pStyle w:val="FirstParagraph"/>
      </w:pPr>
      <w:r>
        <w:t xml:space="preserve">Katharina Müller and Ioana Vlad facilitated Fit-to-Standard workshops with HR directors and management from both countries. AS-IS and TO-BE processes were documented for performance evaluation (at the time fully manual with no standardized form). Stefan Weber presented SuccessFactors module demos to obtain approval for the configuration approach.</w:t>
      </w:r>
    </w:p>
    <w:bookmarkEnd w:id="24"/>
    <w:bookmarkStart w:id="25" w:name="X1d2f9ae0741c1cd8a3f482ea260f9ab57236722"/>
    <w:p>
      <w:pPr>
        <w:pStyle w:val="Heading3"/>
      </w:pPr>
      <w:r>
        <w:t xml:space="preserve">Phase 2 – Employee Central and Integration (March – May 2023)</w:t>
      </w:r>
    </w:p>
    <w:p>
      <w:pPr>
        <w:pStyle w:val="FirstParagraph"/>
      </w:pPr>
      <w:r>
        <w:t xml:space="preserve">The organizational structure was configured in EC (5,200 positions, 3 locations, Romanian and Bulgarian legal entities). Thomas Fischer built the EC ↔ HCM integration: bidirectional employee data synchronization (hires, changes, terminations) with special handling for payroll-specific fields. Testing with 50 pilot employees.</w:t>
      </w:r>
    </w:p>
    <w:bookmarkEnd w:id="25"/>
    <w:bookmarkStart w:id="26" w:name="phase-3-performance-goals-may-july-2023"/>
    <w:p>
      <w:pPr>
        <w:pStyle w:val="Heading3"/>
      </w:pPr>
      <w:r>
        <w:t xml:space="preserve">Phase 3 – Performance &amp; Goals (May – July 2023)</w:t>
      </w:r>
    </w:p>
    <w:p>
      <w:pPr>
        <w:pStyle w:val="FirstParagraph"/>
      </w:pPr>
      <w:r>
        <w:t xml:space="preserve">Stefan Weber configured the annual evaluation cycle (form configuration, 1–5 rating scales, SMART objectives with weighting, managerial calibration). CPM was implemented with quarterly check-ins. Ioana Vlad conducted end-to-end testing with 20 pilot managers and collected 34 feedback items.</w:t>
      </w:r>
    </w:p>
    <w:bookmarkEnd w:id="26"/>
    <w:bookmarkStart w:id="27" w:name="Xfd21b0c708cad200583ea7c3efa59049f2923f6"/>
    <w:p>
      <w:pPr>
        <w:pStyle w:val="Heading3"/>
      </w:pPr>
      <w:r>
        <w:t xml:space="preserve">Phase 4 – Learning Management System (July – September 2023)</w:t>
      </w:r>
    </w:p>
    <w:p>
      <w:pPr>
        <w:pStyle w:val="FirstParagraph"/>
      </w:pPr>
      <w:r>
        <w:t xml:space="preserve">The LMS was configured with 3 curricula types (Onboarding, Mandatory GxP, Professional Development). 156 existing courses were migrated from the legacy system (SCORM format and PDF documents). Automatic mandatory course assignment at hire and annually was configured. Integration with the Quality Management System (QMS) for GxP auditability was implemented.</w:t>
      </w:r>
    </w:p>
    <w:bookmarkEnd w:id="27"/>
    <w:bookmarkStart w:id="28" w:name="X0466626e073309f773d24dc5daf1a853f8a3bd3"/>
    <w:p>
      <w:pPr>
        <w:pStyle w:val="Heading3"/>
      </w:pPr>
      <w:r>
        <w:t xml:space="preserve">Phase 5 – Go-Live and Change Management (October – November 2023)</w:t>
      </w:r>
    </w:p>
    <w:p>
      <w:pPr>
        <w:pStyle w:val="FirstParagraph"/>
      </w:pPr>
      <w:r>
        <w:t xml:space="preserve">Go-live in waves: Managers (October), remaining employees (November). Katharina Müller coordinated the communication and training program: 12 in-person training sessions, video materials, and quick reference guides per role. Six-week hypercare support post go-live.</w:t>
      </w:r>
    </w:p>
    <w:p>
      <w:r>
        <w:pict>
          <v:rect style="width:0;height:1.5pt" o:hralign="center" o:hrstd="t" o:hr="t"/>
        </w:pict>
      </w:r>
    </w:p>
    <w:bookmarkEnd w:id="28"/>
    <w:bookmarkEnd w:id="29"/>
    <w:bookmarkStart w:id="30" w:name="challenges-encountered-and-solutions"/>
    <w:p>
      <w:pPr>
        <w:pStyle w:val="Heading2"/>
      </w:pPr>
      <w:r>
        <w:t xml:space="preserve">6. Challenges Encountered and Solutions</w:t>
      </w:r>
    </w:p>
    <w:p>
      <w:pPr>
        <w:pStyle w:val="FirstParagraph"/>
      </w:pPr>
      <w:r>
        <w:rPr>
          <w:bCs/>
          <w:b/>
        </w:rPr>
        <w:t xml:space="preserve">Challenge 1 – Organizational structure divergences between EC and HCM</w:t>
      </w:r>
      <w:r>
        <w:t xml:space="preserve"> </w:t>
      </w:r>
      <w:r>
        <w:t xml:space="preserve">The organizational structure in SAP HCM differed from the actual management structure (reorganizations not yet implemented in HCM). Ioana Vlad organized a 2-day workshop with HR to reconcile the structures and update HCM before migration, preventing integration errors.</w:t>
      </w:r>
    </w:p>
    <w:p>
      <w:pPr>
        <w:pStyle w:val="BodyText"/>
      </w:pPr>
      <w:r>
        <w:rPr>
          <w:bCs/>
          <w:b/>
        </w:rPr>
        <w:t xml:space="preserve">Challenge 2 – GxP requirements for the LMS</w:t>
      </w:r>
      <w:r>
        <w:t xml:space="preserve"> </w:t>
      </w:r>
      <w:r>
        <w:t xml:space="preserve">GxP courses required audit evidence (who accessed the course, test result, exact date) accepted by FDA and EMA auditors. Thomas Fischer configured a complete audit trail in the LMS and exported the audit report approved by the company’s Quality Manager.</w:t>
      </w:r>
    </w:p>
    <w:p>
      <w:pPr>
        <w:pStyle w:val="BodyText"/>
      </w:pPr>
      <w:r>
        <w:rPr>
          <w:bCs/>
          <w:b/>
        </w:rPr>
        <w:t xml:space="preserve">Challenge 3 – Manager resistance to the performance evaluation process</w:t>
      </w:r>
      <w:r>
        <w:t xml:space="preserve"> </w:t>
      </w:r>
      <w:r>
        <w:t xml:space="preserve">Factory line managers viewed the annual evaluation as additional bureaucracy. Katharina Müller restructured the process by reducing the form from 22 to 9 mandatory fields for line managers and demonstrated that CPM reduces annual workload through regular check-ins throughout the year.</w:t>
      </w:r>
    </w:p>
    <w:p>
      <w:pPr>
        <w:pStyle w:val="BodyText"/>
      </w:pPr>
      <w:r>
        <w:rPr>
          <w:bCs/>
          <w:b/>
        </w:rPr>
        <w:t xml:space="preserve">Challenge 4 – Bidirectional EC ↔ HCM synchronization with custom fields</w:t>
      </w:r>
      <w:r>
        <w:t xml:space="preserve"> </w:t>
      </w:r>
      <w:r>
        <w:t xml:space="preserve">The client’s SAP HCM contained 28 custom fields with no standard EC equivalent. Thomas Fischer mapped 20 fields to custom EC fields and, after business confirmation that 8 were no longer actively used, decided to retire them.</w:t>
      </w:r>
    </w:p>
    <w:p>
      <w:r>
        <w:pict>
          <v:rect style="width:0;height:1.5pt" o:hralign="center" o:hrstd="t" o:hr="t"/>
        </w:pict>
      </w:r>
    </w:p>
    <w:bookmarkEnd w:id="30"/>
    <w:bookmarkStart w:id="31" w:name="collaboration-model"/>
    <w:p>
      <w:pPr>
        <w:pStyle w:val="Heading2"/>
      </w:pPr>
      <w:r>
        <w:t xml:space="preserve">7. Collaboration Model</w:t>
      </w:r>
    </w:p>
    <w:p>
      <w:pPr>
        <w:pStyle w:val="FirstParagraph"/>
      </w:pPr>
      <w:r>
        <w:t xml:space="preserve">SAP Activate methodology was followed. BearingPoint team on-site 2 days per week, remote for the rest. An HR Champion Network was activated by Katharina Müller: 15 HR Ambassadors from across the organization participated in testing and drove internal communication. Bi-monthly Project Committee with CHRO and CFO.</w:t>
      </w:r>
    </w:p>
    <w:p>
      <w:r>
        <w:pict>
          <v:rect style="width:0;height:1.5pt" o:hralign="center" o:hrstd="t" o:hr="t"/>
        </w:pict>
      </w:r>
    </w:p>
    <w:bookmarkEnd w:id="31"/>
    <w:bookmarkStart w:id="32" w:name="results-achieved"/>
    <w:p>
      <w:pPr>
        <w:pStyle w:val="Heading2"/>
      </w:pPr>
      <w:r>
        <w:t xml:space="preserve">8. Results Achieved</w:t>
      </w:r>
    </w:p>
    <w:p>
      <w:pPr>
        <w:numPr>
          <w:ilvl w:val="0"/>
          <w:numId w:val="1003"/>
        </w:numPr>
        <w:pStyle w:val="Compact"/>
      </w:pPr>
      <w:r>
        <w:t xml:space="preserve">100% of employees migrated to SuccessFactors Employee Central within the planned timeline</w:t>
      </w:r>
    </w:p>
    <w:p>
      <w:pPr>
        <w:numPr>
          <w:ilvl w:val="0"/>
          <w:numId w:val="1003"/>
        </w:numPr>
        <w:pStyle w:val="Compact"/>
      </w:pPr>
      <w:r>
        <w:t xml:space="preserve">First digital performance evaluation cycle completed by 98% of managers (versus 0% digital previously)</w:t>
      </w:r>
    </w:p>
    <w:p>
      <w:pPr>
        <w:numPr>
          <w:ilvl w:val="0"/>
          <w:numId w:val="1003"/>
        </w:numPr>
        <w:pStyle w:val="Compact"/>
      </w:pPr>
      <w:r>
        <w:t xml:space="preserve">GxP curricula configured for 1,840 factory employees; complete auditability achieved</w:t>
      </w:r>
    </w:p>
    <w:p>
      <w:pPr>
        <w:numPr>
          <w:ilvl w:val="0"/>
          <w:numId w:val="1003"/>
        </w:numPr>
        <w:pStyle w:val="Compact"/>
      </w:pPr>
      <w:r>
        <w:t xml:space="preserve">Training request processing time reduced from 5 days to 4 hours (automated LMS approval)</w:t>
      </w:r>
    </w:p>
    <w:p>
      <w:pPr>
        <w:numPr>
          <w:ilvl w:val="0"/>
          <w:numId w:val="1003"/>
        </w:numPr>
        <w:pStyle w:val="Compact"/>
      </w:pPr>
      <w:r>
        <w:t xml:space="preserve">Employee satisfaction with HR processes: +23 NPS points after implementation</w:t>
      </w:r>
    </w:p>
    <w:p>
      <w:r>
        <w:pict>
          <v:rect style="width:0;height:1.5pt" o:hralign="center" o:hrstd="t" o:hr="t"/>
        </w:pict>
      </w:r>
    </w:p>
    <w:bookmarkEnd w:id="32"/>
    <w:bookmarkStart w:id="33" w:name="lessons-learned"/>
    <w:p>
      <w:pPr>
        <w:pStyle w:val="Heading2"/>
      </w:pPr>
      <w:r>
        <w:t xml:space="preserve">9. Lessons Learned</w:t>
      </w:r>
    </w:p>
    <w:p>
      <w:pPr>
        <w:numPr>
          <w:ilvl w:val="0"/>
          <w:numId w:val="1004"/>
        </w:numPr>
        <w:pStyle w:val="Compact"/>
      </w:pPr>
      <w:r>
        <w:rPr>
          <w:bCs/>
          <w:b/>
        </w:rPr>
        <w:t xml:space="preserve">Organizational data reconciliation must precede any migration:</w:t>
      </w:r>
      <w:r>
        <w:t xml:space="preserve"> </w:t>
      </w:r>
      <w:r>
        <w:t xml:space="preserve">Clean HR data is the foundation on which everything else is built.</w:t>
      </w:r>
    </w:p>
    <w:p>
      <w:pPr>
        <w:numPr>
          <w:ilvl w:val="0"/>
          <w:numId w:val="1004"/>
        </w:numPr>
        <w:pStyle w:val="Compact"/>
      </w:pPr>
      <w:r>
        <w:rPr>
          <w:bCs/>
          <w:b/>
        </w:rPr>
        <w:t xml:space="preserve">Regulatory requirements (GxP) must be addressed explicitly in design, not retrofitted:</w:t>
      </w:r>
      <w:r>
        <w:t xml:space="preserve"> </w:t>
      </w:r>
      <w:r>
        <w:t xml:space="preserve">Configuring auditability after the build costs 3x more than planning it from the start.</w:t>
      </w:r>
    </w:p>
    <w:p>
      <w:pPr>
        <w:numPr>
          <w:ilvl w:val="0"/>
          <w:numId w:val="1004"/>
        </w:numPr>
        <w:pStyle w:val="Compact"/>
      </w:pPr>
      <w:r>
        <w:rPr>
          <w:bCs/>
          <w:b/>
        </w:rPr>
        <w:t xml:space="preserve">Change management in HR is more sensitive than in any other domain:</w:t>
      </w:r>
      <w:r>
        <w:t xml:space="preserve"> </w:t>
      </w:r>
      <w:r>
        <w:t xml:space="preserve">Employees perceive HR systems as reflecting how much the company values its people. Empathetic and participatory communication makes all the difference.</w:t>
      </w:r>
    </w:p>
    <w:bookmarkEnd w:id="33"/>
    <w:bookmarkEnd w:id="34"/>
    <w:sectPr>
      <w:footerReference r:id="rId9"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BearingPoint | Confidential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440"/>
      </w:pPr>
    </w:lvl>
    <w:lvl w15:tentative="1" w:ilvl="2">
      <w:start w:val="00000001"/>
      <w:numFmt w:val="bullet"/>
      <w:lvlText w:val="■"/>
      <w:lvlJc w:val="left"/>
      <w:pPr>
        <w:ind w:hanging="360" w:left="2160"/>
      </w:pPr>
    </w:lvl>
    <w:lvl w15:tentative="1" w:ilvl="3">
      <w:start w:val="00000001"/>
      <w:numFmt w:val="bullet"/>
      <w:lvlText w:val="●"/>
      <w:lvlJc w:val="left"/>
      <w:pPr>
        <w:ind w:hanging="360" w:left="2880"/>
      </w:pPr>
    </w:lvl>
    <w:lvl w15:tentative="1" w:ilvl="4">
      <w:start w:val="00000001"/>
      <w:numFmt w:val="bullet"/>
      <w:lvlText w:val="○"/>
      <w:lvlJc w:val="left"/>
      <w:pPr>
        <w:ind w:hanging="360" w:left="3600"/>
      </w:pPr>
    </w:lvl>
    <w:lvl w15:tentative="1" w:ilvl="5">
      <w:start w:val="00000001"/>
      <w:numFmt w:val="bullet"/>
      <w:lvlText w:val="■"/>
      <w:lvlJc w:val="left"/>
      <w:pPr>
        <w:ind w:hanging="360" w:left="4320"/>
      </w:pPr>
    </w:lvl>
    <w:lvl w15:tentative="1" w:ilvl="6">
      <w:start w:val="00000001"/>
      <w:numFmt w:val="bullet"/>
      <w:lvlText w:val="●"/>
      <w:lvlJc w:val="left"/>
      <w:pPr>
        <w:ind w:hanging="360" w:left="5040"/>
      </w:pPr>
    </w:lvl>
    <w:lvl w15:tentative="1" w:ilvl="7">
      <w:start w:val="00000001"/>
      <w:numFmt w:val="bullet"/>
      <w:lvlText w:val="●"/>
      <w:lvlJc w:val="left"/>
      <w:pPr>
        <w:ind w:hanging="360" w:left="5760"/>
      </w:pPr>
    </w:lvl>
    <w:lvl w15:tentative="1" w:ilvl="8">
      <w:start w:val="00000001"/>
      <w:numFmt w:val="bullet"/>
      <w:lvlText w:val="●"/>
      <w:lvlJc w:val="left"/>
      <w:pPr>
        <w:ind w:hanging="360" w:left="6480"/>
      </w:pPr>
    </w:lvl>
  </w:abstractNum>
  <w:abstractNum w15:restartNumberingAfterBreak="0" w:abstractNumId="2">
    <w:multiLevelType w:val="hybridMultilevel"/>
    <w:lvl w15:tentative="1" w:ilvl="0">
      <w:start w:val="00000001"/>
      <w:numFmt w:val="bullet"/>
      <w:lvlText w:val="•"/>
      <w:lvlJc w:val="left"/>
      <w:pPr>
        <w:ind w:hanging="360" w:left="720"/>
      </w:pPr>
      <w:rPr>
        <w:rFonts w:ascii="Calibri" w:cs="Calibri" w:eastAsia="Calibri" w:hAnsi="Calibri"/>
      </w:rPr>
    </w:lvl>
  </w:abstractNum>
  <w:abstractNum w15:restartNumberingAfterBreak="0" w:abstractNumId="3">
    <w:multiLevelType w:val="hybridMultilevel"/>
    <w:lvl w15:tentative="1" w:ilvl="0">
      <w:start w:val="00000001"/>
      <w:numFmt w:val="decimal"/>
      <w:lvlText w:val="%1."/>
      <w:lvlJc w:val="left"/>
      <w:pPr>
        <w:ind w:hanging="360" w:left="7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00000001"/>
      <w:numFmt w:val="decimal"/>
      <w:lvlText w:val="%1."/>
      <w:lvlJc w:val="left"/>
      <w:pPr>
        <w:ind w:left="720" w:hanging="480"/>
      </w:pPr>
    </w:lvl>
    <w:lvl w:ilvl="1">
      <w:start w:val="00000001"/>
      <w:numFmt w:val="decimal"/>
      <w:lvlText w:val="%2."/>
      <w:lvlJc w:val="left"/>
      <w:pPr>
        <w:ind w:left="1440" w:hanging="480"/>
      </w:pPr>
    </w:lvl>
    <w:lvl w:ilvl="2">
      <w:start w:val="00000001"/>
      <w:numFmt w:val="decimal"/>
      <w:lvlText w:val="%3."/>
      <w:lvlJc w:val="left"/>
      <w:pPr>
        <w:ind w:left="2160" w:hanging="480"/>
      </w:pPr>
    </w:lvl>
    <w:lvl w:ilvl="3">
      <w:start w:val="00000001"/>
      <w:numFmt w:val="decimal"/>
      <w:lvlText w:val="%4."/>
      <w:lvlJc w:val="left"/>
      <w:pPr>
        <w:ind w:left="2880" w:hanging="480"/>
      </w:pPr>
    </w:lvl>
    <w:lvl w:ilvl="4">
      <w:start w:val="00000001"/>
      <w:numFmt w:val="decimal"/>
      <w:lvlText w:val="%5."/>
      <w:lvlJc w:val="left"/>
      <w:pPr>
        <w:ind w:left="3600" w:hanging="480"/>
      </w:pPr>
    </w:lvl>
    <w:lvl w:ilvl="5">
      <w:start w:val="00000001"/>
      <w:numFmt w:val="decimal"/>
      <w:lvlText w:val="%6."/>
      <w:lvlJc w:val="left"/>
      <w:pPr>
        <w:ind w:left="4320" w:hanging="480"/>
      </w:pPr>
    </w:lvl>
    <w:lvl w:ilvl="6">
      <w:start w:val="00000001"/>
      <w:numFmt w:val="decimal"/>
      <w:lvlText w:val="%7."/>
      <w:lvlJc w:val="left"/>
      <w:pPr>
        <w:ind w:left="5040" w:hanging="480"/>
      </w:pPr>
    </w:lvl>
    <w:lvl w:ilvl="7">
      <w:start w:val="00000001"/>
      <w:numFmt w:val="decimal"/>
      <w:lvlText w:val="%8."/>
      <w:lvlJc w:val="left"/>
      <w:pPr>
        <w:ind w:left="5760" w:hanging="480"/>
      </w:pPr>
    </w:lvl>
    <w:lvl w:ilvl="8">
      <w:start w:val="00000001"/>
      <w:numFmt w:val="decimal"/>
      <w:lvlText w:val="%9."/>
      <w:lvlJc w:val="left"/>
      <w:pPr>
        <w:ind w:left="6480" w:hanging="480"/>
      </w:pPr>
    </w:lvl>
  </w:abstractNum>
  <w:num w:numId="1">
    <w:abstractNumId w:val="00000001"/>
    <w:lvlOverride w:ilvl="0">
      <w:startOverride w:val="00000001"/>
    </w:lvlOverride>
  </w:num>
  <w:num w:numId="2">
    <w:abstractNumId w:val="00000002"/>
    <w:lvlOverride w:ilvl="0">
      <w:startOverride w:val="00000001"/>
    </w:lvlOverride>
  </w:num>
  <w:num w:numId="3">
    <w:abstractNumId w:val="00000003"/>
    <w:lvlOverride w:ilvl="0">
      <w:startOverride w:val="00000001"/>
    </w:lvlOverride>
  </w:num>
  <w:num w:numId="1000">
    <w:abstractNumId w:val="00000990"/>
  </w:num>
  <w:num w:numId="1001">
    <w:abstractNumId w:val="00000991"/>
  </w:num>
  <w:num w:numId="1002">
    <w:abstractNumId w:val="00000991"/>
  </w:num>
  <w:num w:numId="1003">
    <w:abstractNumId w:val="00000991"/>
  </w:num>
  <w:num w:numId="1004">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pBdr>
        <w:bottom w:color="1B3A6B" w:space="4" w:sz="6" w:val="single"/>
      </w:pBdr>
      <w:spacing w:after="120" w:before="360"/>
      <w:outlineLvl w:val="0"/>
    </w:pPr>
    <w:rPr>
      <w:rFonts w:ascii="Calibri" w:cs="Calibri" w:eastAsia="Calibri" w:hAnsi="Calibri"/>
      <w:b/>
      <w:bCs/>
      <w:color w:val="1B3A6B"/>
      <w:sz w:val="36"/>
      <w:szCs w:val="36"/>
    </w:rPr>
  </w:style>
  <w:style w:styleId="Heading2" w:type="paragraph">
    <w:name w:val="Heading 2"/>
    <w:basedOn w:val="Normal"/>
    <w:next w:val="Normal"/>
    <w:qFormat/>
    <w:pPr>
      <w:spacing w:after="80" w:before="280"/>
      <w:outlineLvl w:val="1"/>
    </w:pPr>
    <w:rPr>
      <w:rFonts w:ascii="Calibri" w:cs="Calibri" w:eastAsia="Calibri" w:hAnsi="Calibri"/>
      <w:b/>
      <w:bCs/>
      <w:color w:val="1B3A6B"/>
      <w:sz w:val="26"/>
      <w:szCs w:val="26"/>
    </w:rPr>
  </w:style>
  <w:style w:styleId="Heading3" w:type="paragraph">
    <w:name w:val="Heading 3"/>
    <w:basedOn w:val="Normal"/>
    <w:next w:val="Normal"/>
    <w:qFormat/>
    <w:pPr>
      <w:spacing w:after="60" w:before="200"/>
      <w:outlineLvl w:val="2"/>
    </w:pPr>
    <w:rPr>
      <w:rFonts w:ascii="Calibri" w:cs="Calibri" w:eastAsia="Calibri" w:hAnsi="Calibri"/>
      <w:b/>
      <w:bCs/>
      <w:color w:val="555555"/>
      <w:sz w:val="22"/>
      <w:szCs w:val="22"/>
    </w:rPr>
  </w:style>
  <w:style w:styleId="Normal" w:type="paragraph">
    <w:name w:val="Normal"/>
    <w:qFormat/>
    <w:pPr>
      <w:spacing w:after="120" w:line="276"/>
    </w:pPr>
    <w:rPr>
      <w:rFonts w:ascii="Calibri" w:cs="Calibri" w:eastAsia="Calibri" w:hAnsi="Calibri"/>
      <w:color w:val="2C2C2C"/>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SuccessFactors HR Cloud Implementation</dc:title>
  <dc:creator>BearingPoint</dc:creator>
  <cp:keywords/>
  <dcterms:created xsi:type="dcterms:W3CDTF">2026-06-12T08:38:47Z</dcterms:created>
  <dcterms:modified xsi:type="dcterms:W3CDTF">2026-06-12T08:38:47Z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2023 – November 2023</vt:lpwstr>
  </property>
  <property fmtid="{D5CDD505-2E9C-101B-9397-08002B2CF9AE}" pid="3" name="subtitle">
    <vt:lpwstr>Accepted Project Proposal – Primus Pharma Group S.A.</vt:lpwstr>
  </property>
</Properties>
</file>