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Zero</w:t>
      </w:r>
      <w:r>
        <w:t xml:space="preserve"> </w:t>
      </w:r>
      <w:r>
        <w:t xml:space="preserve">Trust</w:t>
      </w:r>
      <w:r>
        <w:t xml:space="preserve"> </w:t>
      </w:r>
      <w:r>
        <w:t xml:space="preserve">Security</w:t>
      </w:r>
      <w:r>
        <w:t xml:space="preserve"> </w:t>
      </w:r>
      <w:r>
        <w:t xml:space="preserve">Implementation</w:t>
      </w:r>
      <w:r>
        <w:t xml:space="preserve"> </w:t>
      </w:r>
      <w:r>
        <w:t xml:space="preserve">with</w:t>
      </w:r>
      <w:r>
        <w:t xml:space="preserve"> </w:t>
      </w:r>
      <w:r>
        <w:t xml:space="preserve">Microsoft</w:t>
      </w:r>
      <w:r>
        <w:t xml:space="preserve"> </w:t>
      </w:r>
      <w:r>
        <w:t xml:space="preserve">Defender</w:t>
      </w:r>
      <w:r>
        <w:t xml:space="preserve"> </w:t>
      </w:r>
      <w:r>
        <w:t xml:space="preserve">&amp;</w:t>
      </w:r>
      <w:r>
        <w:t xml:space="preserve"> </w:t>
      </w:r>
      <w:r>
        <w:t xml:space="preserve">Purview</w:t>
      </w:r>
    </w:p>
    <w:p>
      <w:pPr>
        <w:pStyle w:val="Subtitle"/>
      </w:pPr>
      <w:r>
        <w:t xml:space="preserve">Accepted</w:t>
      </w:r>
      <w:r>
        <w:t xml:space="preserve"> </w:t>
      </w:r>
      <w:r>
        <w:t xml:space="preserve">Project</w:t>
      </w:r>
      <w:r>
        <w:t xml:space="preserve"> </w:t>
      </w:r>
      <w:r>
        <w:t xml:space="preserve">Proposal</w:t>
      </w:r>
      <w:r>
        <w:t xml:space="preserve"> </w:t>
      </w:r>
      <w:r>
        <w:t xml:space="preserve">–</w:t>
      </w:r>
      <w:r>
        <w:t xml:space="preserve"> </w:t>
      </w:r>
      <w:r>
        <w:t xml:space="preserve">TelecomRO</w:t>
      </w:r>
      <w:r>
        <w:t xml:space="preserve"> </w:t>
      </w:r>
      <w:r>
        <w:t xml:space="preserve">S.A.</w:t>
      </w:r>
    </w:p>
    <w:p>
      <w:pPr>
        <w:pStyle w:val="Author"/>
      </w:pPr>
      <w:r>
        <w:t xml:space="preserve">BearingPoint</w:t>
      </w:r>
    </w:p>
    <w:p>
      <w:pPr>
        <w:pStyle w:val="Date"/>
      </w:pPr>
      <w:r>
        <w:t xml:space="preserve">September</w:t>
      </w:r>
      <w:r>
        <w:t xml:space="preserve"> </w:t>
      </w:r>
      <w:r>
        <w:t xml:space="preserve">2023</w:t>
      </w:r>
      <w:r>
        <w:t xml:space="preserve"> </w:t>
      </w:r>
      <w:r>
        <w:t xml:space="preserve">–</w:t>
      </w:r>
      <w:r>
        <w:t xml:space="preserve"> </w:t>
      </w:r>
      <w:r>
        <w:t xml:space="preserve">May</w:t>
      </w:r>
      <w:r>
        <w:t xml:space="preserve"> </w:t>
      </w:r>
      <w:r>
        <w:t xml:space="preserve">2024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X58223b4050383b45e49fb5037e31f98e7111398"/>
    <w:p>
      <w:pPr>
        <w:pStyle w:val="Heading1"/>
      </w:pPr>
      <w:r>
        <w:t xml:space="preserve">Zero Trust Security Implementation with Microsoft Defender &amp; Purview</w:t>
      </w:r>
    </w:p>
    <w:p>
      <w:pPr>
        <w:pStyle w:val="FirstParagraph"/>
      </w:pPr>
      <w:r>
        <w:rPr>
          <w:bCs/>
          <w:b/>
        </w:rPr>
        <w:t xml:space="preserve">Client:</w:t>
      </w:r>
      <w:r>
        <w:t xml:space="preserve"> </w:t>
      </w:r>
      <w:r>
        <w:t xml:space="preserve">TelecomRO S.A.</w:t>
      </w:r>
      <w:r>
        <w:t xml:space="preserve"> </w:t>
      </w:r>
      <w:r>
        <w:rPr>
          <w:bCs/>
          <w:b/>
        </w:rPr>
        <w:t xml:space="preserve">Industry:</w:t>
      </w:r>
      <w:r>
        <w:t xml:space="preserve"> </w:t>
      </w:r>
      <w:r>
        <w:t xml:space="preserve">Telecommunications</w:t>
      </w:r>
      <w:r>
        <w:t xml:space="preserve"> </w:t>
      </w:r>
      <w:r>
        <w:rPr>
          <w:bCs/>
          <w:b/>
        </w:rPr>
        <w:t xml:space="preserve">Engagement Period:</w:t>
      </w:r>
      <w:r>
        <w:t xml:space="preserve"> </w:t>
      </w:r>
      <w:r>
        <w:t xml:space="preserve">September 2023 – May 2024 (9 months)</w:t>
      </w:r>
      <w:r>
        <w:t xml:space="preserve"> </w:t>
      </w:r>
      <w:r>
        <w:rPr>
          <w:bCs/>
          <w:b/>
        </w:rPr>
        <w:t xml:space="preserve">Engagement Type:</w:t>
      </w:r>
      <w:r>
        <w:t xml:space="preserve"> </w:t>
      </w:r>
      <w:r>
        <w:t xml:space="preserve">Microsoft Security &amp; Compliance Consulting</w:t>
      </w:r>
      <w:r>
        <w:t xml:space="preserve"> </w:t>
      </w:r>
      <w:r>
        <w:rPr>
          <w:bCs/>
          <w:b/>
        </w:rPr>
        <w:t xml:space="preserve">Status:</w:t>
      </w:r>
      <w:r>
        <w:t xml:space="preserve"> </w:t>
      </w:r>
      <w:r>
        <w:t xml:space="preserve">Accepted and Successfully Completed</w:t>
      </w:r>
    </w:p>
    <w:p>
      <w:r>
        <w:pict>
          <v:rect style="width:0;height:1.5pt" o:hralign="center" o:hrstd="t" o:hr="t"/>
        </w:pict>
      </w:r>
    </w:p>
    <w:bookmarkStart w:id="20" w:name="client-background"/>
    <w:p>
      <w:pPr>
        <w:pStyle w:val="Heading2"/>
      </w:pPr>
      <w:r>
        <w:t xml:space="preserve">1. Client Background</w:t>
      </w:r>
    </w:p>
    <w:p>
      <w:pPr>
        <w:pStyle w:val="FirstParagraph"/>
      </w:pPr>
      <w:r>
        <w:t xml:space="preserve">TelecomRO S.A. is a telecommunications operator with 5,800 employees and national critical infrastructure (fiber optic networks, voice and data services for consumers and businesses). The company had been the subject of a ransomware attack in 2022 (a public incident causing €3 million in damages), which led the board to allocate a significant budget for modernizing the security posture. The existing environment was complex: 15,000 endpoints, on-premise Active Directory federated with Entra ID, critical SaaS applications, broadly permissive VPNs, and nonexistent DLP policies.</w:t>
      </w:r>
    </w:p>
    <w:p>
      <w:r>
        <w:pict>
          <v:rect style="width:0;height:1.5pt" o:hralign="center" o:hrstd="t" o:hr="t"/>
        </w:pict>
      </w:r>
    </w:p>
    <w:bookmarkEnd w:id="20"/>
    <w:bookmarkStart w:id="21" w:name="project-team"/>
    <w:p>
      <w:pPr>
        <w:pStyle w:val="Heading2"/>
      </w:pPr>
      <w:r>
        <w:t xml:space="preserve">2. Project Team</w:t>
      </w:r>
    </w:p>
    <w:tbl>
      <w:tblPr>
        <w:tblStyle w:val="Table"/>
        <w:tblW w:type="pct" w:w="5000"/>
        <w:tblLook w:firstRow="1" w:lastRow="0" w:firstColumn="0" w:lastColumn="0" w:noHBand="0" w:noVBand="0" w:val="0020"/>
        <w:jc w:val="start"/>
      </w:tblPr>
      <w:tblGrid>
        <w:gridCol w:w="1532"/>
        <w:gridCol w:w="1532"/>
        <w:gridCol w:w="4854"/>
      </w:tblGrid>
      <w:tr>
        <w:trPr>
          <w:tblHeader w:val="true"/>
        </w:trPr>
        <w:tc>
          <w:tcPr/>
          <w:p>
            <w:pPr>
              <w:pStyle w:val="Compact"/>
              <w:jc w:val="left"/>
            </w:pPr>
            <w:r>
              <w:t xml:space="preserve">Name</w:t>
            </w:r>
          </w:p>
        </w:tc>
        <w:tc>
          <w:tcPr/>
          <w:p>
            <w:pPr>
              <w:pStyle w:val="Compact"/>
              <w:jc w:val="left"/>
            </w:pPr>
            <w:r>
              <w:t xml:space="preserve">Role</w:t>
            </w:r>
          </w:p>
        </w:tc>
        <w:tc>
          <w:tcPr/>
          <w:p>
            <w:pPr>
              <w:pStyle w:val="Compact"/>
              <w:jc w:val="left"/>
            </w:pPr>
            <w:r>
              <w:t xml:space="preserve">Area of Expertise</w:t>
            </w:r>
          </w:p>
        </w:tc>
      </w:tr>
      <w:tr>
        <w:tc>
          <w:tcPr/>
          <w:p>
            <w:pPr>
              <w:pStyle w:val="Compact"/>
              <w:jc w:val="left"/>
            </w:pPr>
            <w:r>
              <w:t xml:space="preserve">Andrei Stancu</w:t>
            </w:r>
          </w:p>
        </w:tc>
        <w:tc>
          <w:tcPr/>
          <w:p>
            <w:pPr>
              <w:pStyle w:val="Compact"/>
              <w:jc w:val="left"/>
            </w:pPr>
            <w:r>
              <w:t xml:space="preserve">Security Lead Consultant</w:t>
            </w:r>
          </w:p>
        </w:tc>
        <w:tc>
          <w:tcPr/>
          <w:p>
            <w:pPr>
              <w:pStyle w:val="Compact"/>
              <w:jc w:val="left"/>
            </w:pPr>
            <w:r>
              <w:t xml:space="preserve">Zero Trust, Microsoft Defender, SIEM/SOAR</w:t>
            </w:r>
          </w:p>
        </w:tc>
      </w:tr>
      <w:tr>
        <w:tc>
          <w:tcPr/>
          <w:p>
            <w:pPr>
              <w:pStyle w:val="Compact"/>
              <w:jc w:val="left"/>
            </w:pPr>
            <w:r>
              <w:t xml:space="preserve">Cristina Dumitru</w:t>
            </w:r>
          </w:p>
        </w:tc>
        <w:tc>
          <w:tcPr/>
          <w:p>
            <w:pPr>
              <w:pStyle w:val="Compact"/>
              <w:jc w:val="left"/>
            </w:pPr>
            <w:r>
              <w:t xml:space="preserve">M365 &amp; Compliance Specialist</w:t>
            </w:r>
          </w:p>
        </w:tc>
        <w:tc>
          <w:tcPr/>
          <w:p>
            <w:pPr>
              <w:pStyle w:val="Compact"/>
              <w:jc w:val="left"/>
            </w:pPr>
            <w:r>
              <w:t xml:space="preserve">Purview, DLP, Information Protection</w:t>
            </w:r>
          </w:p>
        </w:tc>
      </w:tr>
      <w:tr>
        <w:tc>
          <w:tcPr/>
          <w:p>
            <w:pPr>
              <w:pStyle w:val="Compact"/>
              <w:jc w:val="left"/>
            </w:pPr>
            <w:r>
              <w:t xml:space="preserve">Radu Constantin</w:t>
            </w:r>
          </w:p>
        </w:tc>
        <w:tc>
          <w:tcPr/>
          <w:p>
            <w:pPr>
              <w:pStyle w:val="Compact"/>
              <w:jc w:val="left"/>
            </w:pPr>
            <w:r>
              <w:t xml:space="preserve">Azure Security Architect</w:t>
            </w:r>
          </w:p>
        </w:tc>
        <w:tc>
          <w:tcPr/>
          <w:p>
            <w:pPr>
              <w:pStyle w:val="Compact"/>
              <w:jc w:val="left"/>
            </w:pPr>
            <w:r>
              <w:t xml:space="preserve">Entra ID, Conditional Access, Azure Sentinel</w:t>
            </w:r>
          </w:p>
        </w:tc>
      </w:tr>
      <w:tr>
        <w:tc>
          <w:tcPr/>
          <w:p>
            <w:pPr>
              <w:pStyle w:val="Compact"/>
              <w:jc w:val="left"/>
            </w:pPr>
            <w:r>
              <w:t xml:space="preserve">Ana-Maria Popescu</w:t>
            </w:r>
          </w:p>
        </w:tc>
        <w:tc>
          <w:tcPr/>
          <w:p>
            <w:pPr>
              <w:pStyle w:val="Compact"/>
              <w:jc w:val="left"/>
            </w:pPr>
            <w:r>
              <w:t xml:space="preserve">Project Manager</w:t>
            </w:r>
          </w:p>
        </w:tc>
        <w:tc>
          <w:tcPr/>
          <w:p>
            <w:pPr>
              <w:pStyle w:val="Compact"/>
              <w:jc w:val="left"/>
            </w:pPr>
            <w:r>
              <w:t xml:space="preserve">Security projects, stakeholder management</w:t>
            </w:r>
          </w:p>
        </w:tc>
      </w:tr>
    </w:tbl>
    <w:p>
      <w:r>
        <w:pict>
          <v:rect style="width:0;height:1.5pt" o:hralign="center" o:hrstd="t" o:hr="t"/>
        </w:pict>
      </w:r>
    </w:p>
    <w:bookmarkEnd w:id="21"/>
    <w:bookmarkStart w:id="22" w:name="project-scope-and-objectives"/>
    <w:p>
      <w:pPr>
        <w:pStyle w:val="Heading2"/>
      </w:pPr>
      <w:r>
        <w:t xml:space="preserve">3. Project Scope and Objectives</w:t>
      </w:r>
    </w:p>
    <w:p>
      <w:pPr>
        <w:numPr>
          <w:ilvl w:val="0"/>
          <w:numId w:val="1001"/>
        </w:numPr>
        <w:pStyle w:val="Compact"/>
      </w:pPr>
      <w:r>
        <w:t xml:space="preserve">Implement a comprehensive Zero Trust model (Identity, Device, Network, Application) on the Microsoft infrastructure</w:t>
      </w:r>
    </w:p>
    <w:p>
      <w:pPr>
        <w:numPr>
          <w:ilvl w:val="0"/>
          <w:numId w:val="1001"/>
        </w:numPr>
        <w:pStyle w:val="Compact"/>
      </w:pPr>
      <w:r>
        <w:t xml:space="preserve">Deploy and configure Microsoft Defender for Endpoint (MDE) on all endpoints</w:t>
      </w:r>
    </w:p>
    <w:p>
      <w:pPr>
        <w:numPr>
          <w:ilvl w:val="0"/>
          <w:numId w:val="1001"/>
        </w:numPr>
        <w:pStyle w:val="Compact"/>
      </w:pPr>
      <w:r>
        <w:t xml:space="preserve">Implement Microsoft Defender for Identity (MDI) for Active Directory protection</w:t>
      </w:r>
    </w:p>
    <w:p>
      <w:pPr>
        <w:numPr>
          <w:ilvl w:val="0"/>
          <w:numId w:val="1001"/>
        </w:numPr>
        <w:pStyle w:val="Compact"/>
      </w:pPr>
      <w:r>
        <w:t xml:space="preserve">Configure Microsoft Defender for Cloud Apps (MDCA) for SaaS application visibility and control</w:t>
      </w:r>
    </w:p>
    <w:p>
      <w:pPr>
        <w:numPr>
          <w:ilvl w:val="0"/>
          <w:numId w:val="1001"/>
        </w:numPr>
        <w:pStyle w:val="Compact"/>
      </w:pPr>
      <w:r>
        <w:t xml:space="preserve">Implement DLP policies and Microsoft Purview sensitivity labels</w:t>
      </w:r>
    </w:p>
    <w:p>
      <w:pPr>
        <w:numPr>
          <w:ilvl w:val="0"/>
          <w:numId w:val="1001"/>
        </w:numPr>
        <w:pStyle w:val="Compact"/>
      </w:pPr>
      <w:r>
        <w:t xml:space="preserve">Implement Microsoft Sentinel as the SIEM/SOAR with automated response playbooks</w:t>
      </w:r>
    </w:p>
    <w:p>
      <w:pPr>
        <w:numPr>
          <w:ilvl w:val="0"/>
          <w:numId w:val="1001"/>
        </w:numPr>
        <w:pStyle w:val="Compact"/>
      </w:pPr>
      <w:r>
        <w:t xml:space="preserve">Eliminate unrestricted VPN access and replace it with Entra ID Conditional Access and Microsoft Entra Private Access</w:t>
      </w:r>
    </w:p>
    <w:p>
      <w:r>
        <w:pict>
          <v:rect style="width:0;height:1.5pt" o:hralign="center" o:hrstd="t" o:hr="t"/>
        </w:pict>
      </w:r>
    </w:p>
    <w:bookmarkEnd w:id="22"/>
    <w:bookmarkStart w:id="23" w:name="technologies-used"/>
    <w:p>
      <w:pPr>
        <w:pStyle w:val="Heading2"/>
      </w:pPr>
      <w:r>
        <w:t xml:space="preserve">4. Technologies Used</w:t>
      </w:r>
    </w:p>
    <w:p>
      <w:pPr>
        <w:numPr>
          <w:ilvl w:val="0"/>
          <w:numId w:val="1002"/>
        </w:numPr>
        <w:pStyle w:val="Compact"/>
      </w:pPr>
      <w:r>
        <w:rPr>
          <w:bCs/>
          <w:b/>
        </w:rPr>
        <w:t xml:space="preserve">Microsoft Defender for Endpoint (Plan 2):</w:t>
      </w:r>
      <w:r>
        <w:t xml:space="preserve"> </w:t>
      </w:r>
      <w:r>
        <w:t xml:space="preserve">Endpoint protection, EDR, threat hunting</w:t>
      </w:r>
    </w:p>
    <w:p>
      <w:pPr>
        <w:numPr>
          <w:ilvl w:val="0"/>
          <w:numId w:val="1002"/>
        </w:numPr>
        <w:pStyle w:val="Compact"/>
      </w:pPr>
      <w:r>
        <w:rPr>
          <w:bCs/>
          <w:b/>
        </w:rPr>
        <w:t xml:space="preserve">Microsoft Defender for Identity:</w:t>
      </w:r>
      <w:r>
        <w:t xml:space="preserve"> </w:t>
      </w:r>
      <w:r>
        <w:t xml:space="preserve">AD attack detection, lateral movement, credential theft</w:t>
      </w:r>
    </w:p>
    <w:p>
      <w:pPr>
        <w:numPr>
          <w:ilvl w:val="0"/>
          <w:numId w:val="1002"/>
        </w:numPr>
        <w:pStyle w:val="Compact"/>
      </w:pPr>
      <w:r>
        <w:rPr>
          <w:bCs/>
          <w:b/>
        </w:rPr>
        <w:t xml:space="preserve">Microsoft Defender for Cloud Apps (MCAS):</w:t>
      </w:r>
      <w:r>
        <w:t xml:space="preserve"> </w:t>
      </w:r>
      <w:r>
        <w:t xml:space="preserve">Cloud app visibility, CASB, session controls</w:t>
      </w:r>
    </w:p>
    <w:p>
      <w:pPr>
        <w:numPr>
          <w:ilvl w:val="0"/>
          <w:numId w:val="1002"/>
        </w:numPr>
        <w:pStyle w:val="Compact"/>
      </w:pPr>
      <w:r>
        <w:rPr>
          <w:bCs/>
          <w:b/>
        </w:rPr>
        <w:t xml:space="preserve">Microsoft Defender for Office 365 (Plan 2):</w:t>
      </w:r>
      <w:r>
        <w:t xml:space="preserve"> </w:t>
      </w:r>
      <w:r>
        <w:t xml:space="preserve">Email protection, anti-phishing, Safe Links/Attachments</w:t>
      </w:r>
    </w:p>
    <w:p>
      <w:pPr>
        <w:numPr>
          <w:ilvl w:val="0"/>
          <w:numId w:val="1002"/>
        </w:numPr>
        <w:pStyle w:val="Compact"/>
      </w:pPr>
      <w:r>
        <w:rPr>
          <w:bCs/>
          <w:b/>
        </w:rPr>
        <w:t xml:space="preserve">Microsoft Sentinel:</w:t>
      </w:r>
      <w:r>
        <w:t xml:space="preserve"> </w:t>
      </w:r>
      <w:r>
        <w:t xml:space="preserve">Cloud-native SIEM, SOAR, analytics rules, Logic Apps playbooks</w:t>
      </w:r>
    </w:p>
    <w:p>
      <w:pPr>
        <w:numPr>
          <w:ilvl w:val="0"/>
          <w:numId w:val="1002"/>
        </w:numPr>
        <w:pStyle w:val="Compact"/>
      </w:pPr>
      <w:r>
        <w:rPr>
          <w:bCs/>
          <w:b/>
        </w:rPr>
        <w:t xml:space="preserve">Microsoft Purview Information Protection:</w:t>
      </w:r>
      <w:r>
        <w:t xml:space="preserve"> </w:t>
      </w:r>
      <w:r>
        <w:t xml:space="preserve">Sensitivity labels, encryption, DLP</w:t>
      </w:r>
    </w:p>
    <w:p>
      <w:pPr>
        <w:numPr>
          <w:ilvl w:val="0"/>
          <w:numId w:val="1002"/>
        </w:numPr>
        <w:pStyle w:val="Compact"/>
      </w:pPr>
      <w:r>
        <w:rPr>
          <w:bCs/>
          <w:b/>
        </w:rPr>
        <w:t xml:space="preserve">Microsoft Entra ID P2:</w:t>
      </w:r>
      <w:r>
        <w:t xml:space="preserve"> </w:t>
      </w:r>
      <w:r>
        <w:t xml:space="preserve">Conditional Access, Privileged Identity Management (PIM), Identity Protection</w:t>
      </w:r>
    </w:p>
    <w:p>
      <w:pPr>
        <w:numPr>
          <w:ilvl w:val="0"/>
          <w:numId w:val="1002"/>
        </w:numPr>
        <w:pStyle w:val="Compact"/>
      </w:pPr>
      <w:r>
        <w:rPr>
          <w:bCs/>
          <w:b/>
        </w:rPr>
        <w:t xml:space="preserve">Microsoft Entra Private Access:</w:t>
      </w:r>
      <w:r>
        <w:t xml:space="preserve"> </w:t>
      </w:r>
      <w:r>
        <w:t xml:space="preserve">Zero Trust replacement for legacy VPN</w:t>
      </w:r>
    </w:p>
    <w:p>
      <w:pPr>
        <w:numPr>
          <w:ilvl w:val="0"/>
          <w:numId w:val="1002"/>
        </w:numPr>
        <w:pStyle w:val="Compact"/>
      </w:pPr>
      <w:r>
        <w:rPr>
          <w:bCs/>
          <w:b/>
        </w:rPr>
        <w:t xml:space="preserve">Microsoft Intune:</w:t>
      </w:r>
      <w:r>
        <w:t xml:space="preserve"> </w:t>
      </w:r>
      <w:r>
        <w:t xml:space="preserve">Device compliance as a Conditional Access signal</w:t>
      </w:r>
    </w:p>
    <w:p>
      <w:r>
        <w:pict>
          <v:rect style="width:0;height:1.5pt" o:hralign="center" o:hrstd="t" o:hr="t"/>
        </w:pict>
      </w:r>
    </w:p>
    <w:bookmarkEnd w:id="23"/>
    <w:bookmarkStart w:id="29" w:name="implementation-steps"/>
    <w:p>
      <w:pPr>
        <w:pStyle w:val="Heading2"/>
      </w:pPr>
      <w:r>
        <w:t xml:space="preserve">5. Implementation Steps</w:t>
      </w:r>
    </w:p>
    <w:bookmarkStart w:id="24" w:name="X3a34dc341f2f6389bfff28f19a53d16404188ee"/>
    <w:p>
      <w:pPr>
        <w:pStyle w:val="Heading3"/>
      </w:pPr>
      <w:r>
        <w:t xml:space="preserve">Phase 1 – Assessment and Roadmap (September – October 2023)</w:t>
      </w:r>
    </w:p>
    <w:p>
      <w:pPr>
        <w:pStyle w:val="FirstParagraph"/>
      </w:pPr>
      <w:r>
        <w:t xml:space="preserve">Andrei Stancu led a Microsoft Security Assessment (using Microsoft Secure Score as a baseline plus inventory tooling). Initial score: 32/100. 47 security recommendations were identified and prioritized by impact/effort into 3 categories: Quick Wins (&lt;2 weeks), Medium (1–3 months), and Strategic (3–9 months). A Security Roadmap was developed and approved by the board.</w:t>
      </w:r>
    </w:p>
    <w:bookmarkEnd w:id="24"/>
    <w:bookmarkStart w:id="25" w:name="Xbac8090146a09412bc5269072c4d22306f5710a"/>
    <w:p>
      <w:pPr>
        <w:pStyle w:val="Heading3"/>
      </w:pPr>
      <w:r>
        <w:t xml:space="preserve">Phase 2 – Identity Security (October – November 2023)</w:t>
      </w:r>
    </w:p>
    <w:p>
      <w:pPr>
        <w:pStyle w:val="FirstParagraph"/>
      </w:pPr>
      <w:r>
        <w:t xml:space="preserve">Radu Constantin implemented Conditional Access Policies (MFA for all applications, device compliance requirement, blocking access from high-risk countries). Entra ID Identity Protection was configured with user risk and sign-in risk policies. Privileged Identity Management (PIM) was activated for administrative roles (eliminating standing administrator roles).</w:t>
      </w:r>
    </w:p>
    <w:bookmarkEnd w:id="25"/>
    <w:bookmarkStart w:id="26" w:name="X430def611eadacda1218792861b5e3daeafbe24"/>
    <w:p>
      <w:pPr>
        <w:pStyle w:val="Heading3"/>
      </w:pPr>
      <w:r>
        <w:t xml:space="preserve">Phase 3 – Endpoint Protection (November – December 2023)</w:t>
      </w:r>
    </w:p>
    <w:p>
      <w:pPr>
        <w:pStyle w:val="FirstParagraph"/>
      </w:pPr>
      <w:r>
        <w:t xml:space="preserve">MDE was deployed to 15,000 endpoints in 3 waves (IT → Back Office → Field). Andrei Stancu configured Attack Surface Reduction (ASR) rules, Tamper Protection, and automated remediation policies. 14 incidents were detected and remediated within the first 30 days (residual malware from the 2022 incident).</w:t>
      </w:r>
    </w:p>
    <w:bookmarkEnd w:id="26"/>
    <w:bookmarkStart w:id="27" w:name="Xbbf08541bad1195d7ef8c7231bb9aef5839a266"/>
    <w:p>
      <w:pPr>
        <w:pStyle w:val="Heading3"/>
      </w:pPr>
      <w:r>
        <w:t xml:space="preserve">Phase 4 – Sentinel SIEM and SOAR (December 2023 – February 2024)</w:t>
      </w:r>
    </w:p>
    <w:p>
      <w:pPr>
        <w:pStyle w:val="FirstParagraph"/>
      </w:pPr>
      <w:r>
        <w:t xml:space="preserve">All data sources were connected to Sentinel (Entra ID, MDE, MDI, MDCA, Palo Alto firewalls, Windows Security Events). Cristina Dumitru and Andrei Stancu built 28 custom analytics rules for detecting attacks specific to the telecom industry (toll fraud, SIM swapping). Six SOAR playbooks were implemented (automatic endpoint isolation, automatic high-risk password reset, automated Jira ticket on critical alert).</w:t>
      </w:r>
    </w:p>
    <w:bookmarkEnd w:id="27"/>
    <w:bookmarkStart w:id="28" w:name="X15418da8d0f2a0347b0879384ee0733e7cf142b"/>
    <w:p>
      <w:pPr>
        <w:pStyle w:val="Heading3"/>
      </w:pPr>
      <w:r>
        <w:t xml:space="preserve">Phase 5 – DLP, Information Protection, and Private Access (February – May 2024)</w:t>
      </w:r>
    </w:p>
    <w:p>
      <w:pPr>
        <w:pStyle w:val="FirstParagraph"/>
      </w:pPr>
      <w:r>
        <w:t xml:space="preserve">Cristina Dumitru implemented the Purview classification schema (5 levels: Public, Internal, Confidential, Highly Confidential, Restricted). 23 DLP policies were created for email, SharePoint, Teams, and endpoints. Radu Constantin replaced the legacy VPN with Microsoft Entra Private Access (ZTNA) for 800 remote users.</w:t>
      </w:r>
    </w:p>
    <w:p>
      <w:r>
        <w:pict>
          <v:rect style="width:0;height:1.5pt" o:hralign="center" o:hrstd="t" o:hr="t"/>
        </w:pict>
      </w:r>
    </w:p>
    <w:bookmarkEnd w:id="28"/>
    <w:bookmarkEnd w:id="29"/>
    <w:bookmarkStart w:id="30" w:name="challenges-encountered-and-solutions"/>
    <w:p>
      <w:pPr>
        <w:pStyle w:val="Heading2"/>
      </w:pPr>
      <w:r>
        <w:t xml:space="preserve">6. Challenges Encountered and Solutions</w:t>
      </w:r>
    </w:p>
    <w:p>
      <w:pPr>
        <w:pStyle w:val="FirstParagraph"/>
      </w:pPr>
      <w:r>
        <w:rPr>
          <w:bCs/>
          <w:b/>
        </w:rPr>
        <w:t xml:space="preserve">Challenge 1 – MDE deployment blocking legacy applications</w:t>
      </w:r>
      <w:r>
        <w:t xml:space="preserve"> </w:t>
      </w:r>
      <w:r>
        <w:t xml:space="preserve">When ASR rules were activated, 3 critical internal applications stopped functioning (they ran from non-standard paths or used legitimate but flagged DLL injection). Andrei Stancu used Audit mode (2 weeks) before rule enforcement, identifying affected applications and configuring documented specific exclusions.</w:t>
      </w:r>
    </w:p>
    <w:p>
      <w:pPr>
        <w:pStyle w:val="BodyText"/>
      </w:pPr>
      <w:r>
        <w:rPr>
          <w:bCs/>
          <w:b/>
        </w:rPr>
        <w:t xml:space="preserve">Challenge 2 – High volume of false positive alerts in Sentinel</w:t>
      </w:r>
      <w:r>
        <w:t xml:space="preserve"> </w:t>
      </w:r>
      <w:r>
        <w:t xml:space="preserve">The first week post-activation of analytics rules generated 2,400 alerts/day, overwhelming the client’s IT security team. Solution: Andrei Stancu configured User and Entity Behavior Analytics (UEBA), adjusted thresholds, and unified correlated alerts into incidents, reducing to 45 actionable incidents/day.</w:t>
      </w:r>
    </w:p>
    <w:p>
      <w:pPr>
        <w:pStyle w:val="BodyText"/>
      </w:pPr>
      <w:r>
        <w:rPr>
          <w:bCs/>
          <w:b/>
        </w:rPr>
        <w:t xml:space="preserve">Challenge 3 – DLP policies blocking legitimate telecom business flows (subscriber data)</w:t>
      </w:r>
      <w:r>
        <w:t xml:space="preserve"> </w:t>
      </w:r>
      <w:r>
        <w:t xml:space="preserve">The initial DLP rules were blocking file sends containing subscriber data (required in internal number portability processes). Cristina Dumitru created exceptions based on certified security groups and established monthly audits of exceptions to prevent uncontrolled accumulation of derogations.</w:t>
      </w:r>
    </w:p>
    <w:p>
      <w:pPr>
        <w:pStyle w:val="BodyText"/>
      </w:pPr>
      <w:r>
        <w:rPr>
          <w:bCs/>
          <w:b/>
        </w:rPr>
        <w:t xml:space="preserve">Challenge 4 – Resistance to VPN elimination</w:t>
      </w:r>
      <w:r>
        <w:t xml:space="preserve"> </w:t>
      </w:r>
      <w:r>
        <w:t xml:space="preserve">Remote users refused the transition from the familiar VPN to Entra Private Access. Radu Constantin provided an 8-week parallel operation period and created a step-by-step guide approved by IT Management explaining concrete benefits (no full tunneling, faster access to specific applications).</w:t>
      </w:r>
    </w:p>
    <w:p>
      <w:r>
        <w:pict>
          <v:rect style="width:0;height:1.5pt" o:hralign="center" o:hrstd="t" o:hr="t"/>
        </w:pict>
      </w:r>
    </w:p>
    <w:bookmarkEnd w:id="30"/>
    <w:bookmarkStart w:id="31" w:name="collaboration-model"/>
    <w:p>
      <w:pPr>
        <w:pStyle w:val="Heading2"/>
      </w:pPr>
      <w:r>
        <w:t xml:space="preserve">7. Collaboration Model</w:t>
      </w:r>
    </w:p>
    <w:p>
      <w:pPr>
        <w:pStyle w:val="FirstParagraph"/>
      </w:pPr>
      <w:r>
        <w:t xml:space="preserve">A significant knowledge transfer component was built into the project: TelecomRO’s internal SOC team was actively involved in all phases (shadowing and co-building). Monthly Steering Committee with CISO and CTO. Weekly reporting on Microsoft Secure Score evolution (from 32 to 74 over 9 months).</w:t>
      </w:r>
    </w:p>
    <w:p>
      <w:r>
        <w:pict>
          <v:rect style="width:0;height:1.5pt" o:hralign="center" o:hrstd="t" o:hr="t"/>
        </w:pict>
      </w:r>
    </w:p>
    <w:bookmarkEnd w:id="31"/>
    <w:bookmarkStart w:id="32" w:name="results-achieved"/>
    <w:p>
      <w:pPr>
        <w:pStyle w:val="Heading2"/>
      </w:pPr>
      <w:r>
        <w:t xml:space="preserve">8. Results Achieved</w:t>
      </w:r>
    </w:p>
    <w:p>
      <w:pPr>
        <w:numPr>
          <w:ilvl w:val="0"/>
          <w:numId w:val="1003"/>
        </w:numPr>
        <w:pStyle w:val="Compact"/>
      </w:pPr>
      <w:r>
        <w:t xml:space="preserve">Microsoft Secure Score: from 32 to 74 (131% increase)</w:t>
      </w:r>
    </w:p>
    <w:p>
      <w:pPr>
        <w:numPr>
          <w:ilvl w:val="0"/>
          <w:numId w:val="1003"/>
        </w:numPr>
        <w:pStyle w:val="Compact"/>
      </w:pPr>
      <w:r>
        <w:t xml:space="preserve">15,000 endpoints protected with MDE; 0 ransomware incidents in 9 months post-deployment</w:t>
      </w:r>
    </w:p>
    <w:p>
      <w:pPr>
        <w:numPr>
          <w:ilvl w:val="0"/>
          <w:numId w:val="1003"/>
        </w:numPr>
        <w:pStyle w:val="Compact"/>
      </w:pPr>
      <w:r>
        <w:t xml:space="preserve">Conditional Access: 99.2% of authentications evaluated through policies (versus 12% previously)</w:t>
      </w:r>
    </w:p>
    <w:p>
      <w:pPr>
        <w:numPr>
          <w:ilvl w:val="0"/>
          <w:numId w:val="1003"/>
        </w:numPr>
        <w:pStyle w:val="Compact"/>
      </w:pPr>
      <w:r>
        <w:t xml:space="preserve">Mean Time to Detect (MTTD): reduced from 14 days to 4 hours</w:t>
      </w:r>
    </w:p>
    <w:p>
      <w:pPr>
        <w:numPr>
          <w:ilvl w:val="0"/>
          <w:numId w:val="1003"/>
        </w:numPr>
        <w:pStyle w:val="Compact"/>
      </w:pPr>
      <w:r>
        <w:t xml:space="preserve">Legacy VPN decommissioned for 800 remote users, replaced with ZTNA</w:t>
      </w:r>
    </w:p>
    <w:p>
      <w:r>
        <w:pict>
          <v:rect style="width:0;height:1.5pt" o:hralign="center" o:hrstd="t" o:hr="t"/>
        </w:pict>
      </w:r>
    </w:p>
    <w:bookmarkEnd w:id="32"/>
    <w:bookmarkStart w:id="33" w:name="lessons-learned"/>
    <w:p>
      <w:pPr>
        <w:pStyle w:val="Heading2"/>
      </w:pPr>
      <w:r>
        <w:t xml:space="preserve">9. Lessons Learned</w:t>
      </w:r>
    </w:p>
    <w:p>
      <w:pPr>
        <w:numPr>
          <w:ilvl w:val="0"/>
          <w:numId w:val="1004"/>
        </w:numPr>
        <w:pStyle w:val="Compact"/>
      </w:pPr>
      <w:r>
        <w:rPr>
          <w:bCs/>
          <w:b/>
        </w:rPr>
        <w:t xml:space="preserve">Activating ASR rules in Audit mode before enforcement avoids business disruptions:</w:t>
      </w:r>
      <w:r>
        <w:t xml:space="preserve"> </w:t>
      </w:r>
      <w:r>
        <w:t xml:space="preserve">There is no shortcut when testing compatibility with existing applications.</w:t>
      </w:r>
    </w:p>
    <w:p>
      <w:pPr>
        <w:numPr>
          <w:ilvl w:val="0"/>
          <w:numId w:val="1004"/>
        </w:numPr>
        <w:pStyle w:val="Compact"/>
      </w:pPr>
      <w:r>
        <w:rPr>
          <w:bCs/>
          <w:b/>
        </w:rPr>
        <w:t xml:space="preserve">Alert quality in SIEM matters more than alert quantity:</w:t>
      </w:r>
      <w:r>
        <w:t xml:space="preserve"> </w:t>
      </w:r>
      <w:r>
        <w:t xml:space="preserve">45 actionable relevant incidents per day beats 2,400 noisy alerts that exhaust the team.</w:t>
      </w:r>
    </w:p>
    <w:p>
      <w:pPr>
        <w:numPr>
          <w:ilvl w:val="0"/>
          <w:numId w:val="1004"/>
        </w:numPr>
        <w:pStyle w:val="Compact"/>
      </w:pPr>
      <w:r>
        <w:rPr>
          <w:bCs/>
          <w:b/>
        </w:rPr>
        <w:t xml:space="preserve">Secure Score is a board communication tool, not just a technical KPI:</w:t>
      </w:r>
      <w:r>
        <w:t xml:space="preserve"> </w:t>
      </w:r>
      <w:r>
        <w:t xml:space="preserve">The evolution from 32 to 74 justified the investment to the board more effectively than any project document.</w:t>
      </w:r>
    </w:p>
    <w:bookmarkEnd w:id="33"/>
    <w:bookmarkEnd w:id="34"/>
    <w:sectPr>
      <w:footerReference r:id="rId9" w:type="default"/>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BearingPoint | Confidential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00000001"/>
      <w:numFmt w:val="bullet"/>
      <w:lvlText w:val="●"/>
      <w:lvlJc w:val="left"/>
      <w:pPr>
        <w:ind w:hanging="360" w:left="720"/>
      </w:pPr>
    </w:lvl>
    <w:lvl w15:tentative="1" w:ilvl="1">
      <w:start w:val="00000001"/>
      <w:numFmt w:val="bullet"/>
      <w:lvlText w:val="○"/>
      <w:lvlJc w:val="left"/>
      <w:pPr>
        <w:ind w:hanging="360" w:left="1440"/>
      </w:pPr>
    </w:lvl>
    <w:lvl w15:tentative="1" w:ilvl="2">
      <w:start w:val="00000001"/>
      <w:numFmt w:val="bullet"/>
      <w:lvlText w:val="■"/>
      <w:lvlJc w:val="left"/>
      <w:pPr>
        <w:ind w:hanging="360" w:left="2160"/>
      </w:pPr>
    </w:lvl>
    <w:lvl w15:tentative="1" w:ilvl="3">
      <w:start w:val="00000001"/>
      <w:numFmt w:val="bullet"/>
      <w:lvlText w:val="●"/>
      <w:lvlJc w:val="left"/>
      <w:pPr>
        <w:ind w:hanging="360" w:left="2880"/>
      </w:pPr>
    </w:lvl>
    <w:lvl w15:tentative="1" w:ilvl="4">
      <w:start w:val="00000001"/>
      <w:numFmt w:val="bullet"/>
      <w:lvlText w:val="○"/>
      <w:lvlJc w:val="left"/>
      <w:pPr>
        <w:ind w:hanging="360" w:left="3600"/>
      </w:pPr>
    </w:lvl>
    <w:lvl w15:tentative="1" w:ilvl="5">
      <w:start w:val="00000001"/>
      <w:numFmt w:val="bullet"/>
      <w:lvlText w:val="■"/>
      <w:lvlJc w:val="left"/>
      <w:pPr>
        <w:ind w:hanging="360" w:left="4320"/>
      </w:pPr>
    </w:lvl>
    <w:lvl w15:tentative="1" w:ilvl="6">
      <w:start w:val="00000001"/>
      <w:numFmt w:val="bullet"/>
      <w:lvlText w:val="●"/>
      <w:lvlJc w:val="left"/>
      <w:pPr>
        <w:ind w:hanging="360" w:left="5040"/>
      </w:pPr>
    </w:lvl>
    <w:lvl w15:tentative="1" w:ilvl="7">
      <w:start w:val="00000001"/>
      <w:numFmt w:val="bullet"/>
      <w:lvlText w:val="●"/>
      <w:lvlJc w:val="left"/>
      <w:pPr>
        <w:ind w:hanging="360" w:left="5760"/>
      </w:pPr>
    </w:lvl>
    <w:lvl w15:tentative="1" w:ilvl="8">
      <w:start w:val="00000001"/>
      <w:numFmt w:val="bullet"/>
      <w:lvlText w:val="●"/>
      <w:lvlJc w:val="left"/>
      <w:pPr>
        <w:ind w:hanging="360" w:left="6480"/>
      </w:pPr>
    </w:lvl>
  </w:abstractNum>
  <w:abstractNum w15:restartNumberingAfterBreak="0" w:abstractNumId="2">
    <w:multiLevelType w:val="hybridMultilevel"/>
    <w:lvl w15:tentative="1" w:ilvl="0">
      <w:start w:val="00000001"/>
      <w:numFmt w:val="bullet"/>
      <w:lvlText w:val="•"/>
      <w:lvlJc w:val="left"/>
      <w:pPr>
        <w:ind w:hanging="360" w:left="720"/>
      </w:pPr>
      <w:rPr>
        <w:rFonts w:ascii="Calibri" w:cs="Calibri" w:eastAsia="Calibri" w:hAnsi="Calibri"/>
      </w:rPr>
    </w:lvl>
  </w:abstractNum>
  <w:abstractNum w15:restartNumberingAfterBreak="0" w:abstractNumId="3">
    <w:multiLevelType w:val="hybridMultilevel"/>
    <w:lvl w15:tentative="1" w:ilvl="0">
      <w:start w:val="00000001"/>
      <w:numFmt w:val="decimal"/>
      <w:lvlText w:val="%1."/>
      <w:lvlJc w:val="left"/>
      <w:pPr>
        <w:ind w:hanging="360" w:left="72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00000001"/>
      <w:numFmt w:val="decimal"/>
      <w:lvlText w:val="%1."/>
      <w:lvlJc w:val="left"/>
      <w:pPr>
        <w:ind w:left="720" w:hanging="480"/>
      </w:pPr>
    </w:lvl>
    <w:lvl w:ilvl="1">
      <w:start w:val="00000001"/>
      <w:numFmt w:val="decimal"/>
      <w:lvlText w:val="%2."/>
      <w:lvlJc w:val="left"/>
      <w:pPr>
        <w:ind w:left="1440" w:hanging="480"/>
      </w:pPr>
    </w:lvl>
    <w:lvl w:ilvl="2">
      <w:start w:val="00000001"/>
      <w:numFmt w:val="decimal"/>
      <w:lvlText w:val="%3."/>
      <w:lvlJc w:val="left"/>
      <w:pPr>
        <w:ind w:left="2160" w:hanging="480"/>
      </w:pPr>
    </w:lvl>
    <w:lvl w:ilvl="3">
      <w:start w:val="00000001"/>
      <w:numFmt w:val="decimal"/>
      <w:lvlText w:val="%4."/>
      <w:lvlJc w:val="left"/>
      <w:pPr>
        <w:ind w:left="2880" w:hanging="480"/>
      </w:pPr>
    </w:lvl>
    <w:lvl w:ilvl="4">
      <w:start w:val="00000001"/>
      <w:numFmt w:val="decimal"/>
      <w:lvlText w:val="%5."/>
      <w:lvlJc w:val="left"/>
      <w:pPr>
        <w:ind w:left="3600" w:hanging="480"/>
      </w:pPr>
    </w:lvl>
    <w:lvl w:ilvl="5">
      <w:start w:val="00000001"/>
      <w:numFmt w:val="decimal"/>
      <w:lvlText w:val="%6."/>
      <w:lvlJc w:val="left"/>
      <w:pPr>
        <w:ind w:left="4320" w:hanging="480"/>
      </w:pPr>
    </w:lvl>
    <w:lvl w:ilvl="6">
      <w:start w:val="00000001"/>
      <w:numFmt w:val="decimal"/>
      <w:lvlText w:val="%7."/>
      <w:lvlJc w:val="left"/>
      <w:pPr>
        <w:ind w:left="5040" w:hanging="480"/>
      </w:pPr>
    </w:lvl>
    <w:lvl w:ilvl="7">
      <w:start w:val="00000001"/>
      <w:numFmt w:val="decimal"/>
      <w:lvlText w:val="%8."/>
      <w:lvlJc w:val="left"/>
      <w:pPr>
        <w:ind w:left="5760" w:hanging="480"/>
      </w:pPr>
    </w:lvl>
    <w:lvl w:ilvl="8">
      <w:start w:val="00000001"/>
      <w:numFmt w:val="decimal"/>
      <w:lvlText w:val="%9."/>
      <w:lvlJc w:val="left"/>
      <w:pPr>
        <w:ind w:left="6480" w:hanging="480"/>
      </w:pPr>
    </w:lvl>
  </w:abstractNum>
  <w:num w:numId="1">
    <w:abstractNumId w:val="00000001"/>
    <w:lvlOverride w:ilvl="0">
      <w:startOverride w:val="00000001"/>
    </w:lvlOverride>
  </w:num>
  <w:num w:numId="2">
    <w:abstractNumId w:val="00000002"/>
    <w:lvlOverride w:ilvl="0">
      <w:startOverride w:val="00000001"/>
    </w:lvlOverride>
  </w:num>
  <w:num w:numId="3">
    <w:abstractNumId w:val="00000003"/>
    <w:lvlOverride w:ilvl="0">
      <w:startOverride w:val="00000001"/>
    </w:lvlOverride>
  </w:num>
  <w:num w:numId="1000">
    <w:abstractNumId w:val="00000990"/>
  </w:num>
  <w:num w:numId="1001">
    <w:abstractNumId w:val="00000991"/>
  </w:num>
  <w:num w:numId="1002">
    <w:abstractNumId w:val="00000991"/>
  </w:num>
  <w:num w:numId="1003">
    <w:abstractNumId w:val="00000991"/>
  </w:num>
  <w:num w:numId="1004">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pBdr>
        <w:bottom w:color="1B3A6B" w:space="4" w:sz="6" w:val="single"/>
      </w:pBdr>
      <w:spacing w:after="120" w:before="360"/>
      <w:outlineLvl w:val="0"/>
    </w:pPr>
    <w:rPr>
      <w:rFonts w:ascii="Calibri" w:cs="Calibri" w:eastAsia="Calibri" w:hAnsi="Calibri"/>
      <w:b/>
      <w:bCs/>
      <w:color w:val="1B3A6B"/>
      <w:sz w:val="36"/>
      <w:szCs w:val="36"/>
    </w:rPr>
  </w:style>
  <w:style w:styleId="Heading2" w:type="paragraph">
    <w:name w:val="Heading 2"/>
    <w:basedOn w:val="Normal"/>
    <w:next w:val="Normal"/>
    <w:qFormat/>
    <w:pPr>
      <w:spacing w:after="80" w:before="280"/>
      <w:outlineLvl w:val="1"/>
    </w:pPr>
    <w:rPr>
      <w:rFonts w:ascii="Calibri" w:cs="Calibri" w:eastAsia="Calibri" w:hAnsi="Calibri"/>
      <w:b/>
      <w:bCs/>
      <w:color w:val="1B3A6B"/>
      <w:sz w:val="26"/>
      <w:szCs w:val="26"/>
    </w:rPr>
  </w:style>
  <w:style w:styleId="Heading3" w:type="paragraph">
    <w:name w:val="Heading 3"/>
    <w:basedOn w:val="Normal"/>
    <w:next w:val="Normal"/>
    <w:qFormat/>
    <w:pPr>
      <w:spacing w:after="60" w:before="200"/>
      <w:outlineLvl w:val="2"/>
    </w:pPr>
    <w:rPr>
      <w:rFonts w:ascii="Calibri" w:cs="Calibri" w:eastAsia="Calibri" w:hAnsi="Calibri"/>
      <w:b/>
      <w:bCs/>
      <w:color w:val="555555"/>
      <w:sz w:val="22"/>
      <w:szCs w:val="22"/>
    </w:rPr>
  </w:style>
  <w:style w:styleId="Normal" w:type="paragraph">
    <w:name w:val="Normal"/>
    <w:qFormat/>
    <w:pPr>
      <w:spacing w:after="120" w:line="276"/>
    </w:pPr>
    <w:rPr>
      <w:rFonts w:ascii="Calibri" w:cs="Calibri" w:eastAsia="Calibri" w:hAnsi="Calibri"/>
      <w:color w:val="2C2C2C"/>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 Trust Security Implementation with Microsoft Defender &amp; Purview</dc:title>
  <dc:creator>BearingPoint</dc:creator>
  <cp:keywords/>
  <dcterms:created xsi:type="dcterms:W3CDTF">2026-06-12T08:38:47Z</dcterms:created>
  <dcterms:modified xsi:type="dcterms:W3CDTF">2026-06-12T08:38:47Z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2023 – May 2024</vt:lpwstr>
  </property>
  <property fmtid="{D5CDD505-2E9C-101B-9397-08002B2CF9AE}" pid="3" name="subtitle">
    <vt:lpwstr>Accepted Project Proposal – TelecomRO S.A.</vt:lpwstr>
  </property>
</Properties>
</file>