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SAP</w:t>
      </w:r>
      <w:r>
        <w:t xml:space="preserve"> </w:t>
      </w:r>
      <w:r>
        <w:t xml:space="preserve">BTP</w:t>
      </w:r>
      <w:r>
        <w:t xml:space="preserve"> </w:t>
      </w:r>
      <w:r>
        <w:t xml:space="preserve">Integration</w:t>
      </w:r>
      <w:r>
        <w:t xml:space="preserve"> </w:t>
      </w:r>
      <w:r>
        <w:t xml:space="preserve">Hub</w:t>
      </w:r>
      <w:r>
        <w:t xml:space="preserve"> </w:t>
      </w:r>
      <w:r>
        <w:t xml:space="preserve">for</w:t>
      </w:r>
      <w:r>
        <w:t xml:space="preserve"> </w:t>
      </w:r>
      <w:r>
        <w:t xml:space="preserve">Logistics</w:t>
      </w:r>
      <w:r>
        <w:t xml:space="preserve"> </w:t>
      </w:r>
      <w:r>
        <w:t xml:space="preserve">Ecosystem</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Mobilis</w:t>
      </w:r>
      <w:r>
        <w:t xml:space="preserve"> </w:t>
      </w:r>
      <w:r>
        <w:t xml:space="preserve">Logistics</w:t>
      </w:r>
      <w:r>
        <w:t xml:space="preserve"> </w:t>
      </w:r>
      <w:r>
        <w:t xml:space="preserve">GmbH</w:t>
      </w:r>
    </w:p>
    <w:p>
      <w:pPr>
        <w:pStyle w:val="Author"/>
      </w:pPr>
      <w:r>
        <w:t xml:space="preserve">BearingPoint</w:t>
      </w:r>
    </w:p>
    <w:p>
      <w:pPr>
        <w:pStyle w:val="Date"/>
      </w:pPr>
      <w:r>
        <w:t xml:space="preserve">November</w:t>
      </w:r>
      <w:r>
        <w:t xml:space="preserve"> </w:t>
      </w:r>
      <w:r>
        <w:t xml:space="preserve">2022</w:t>
      </w:r>
      <w:r>
        <w:t xml:space="preserve"> </w:t>
      </w:r>
      <w:r>
        <w:t xml:space="preserve">–</w:t>
      </w:r>
      <w:r>
        <w:t xml:space="preserve"> </w:t>
      </w:r>
      <w:r>
        <w:t xml:space="preserve">August</w:t>
      </w:r>
      <w:r>
        <w:t xml:space="preserve"> </w:t>
      </w:r>
      <w:r>
        <w:t xml:space="preserve">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31c8e32a4c8e0d031184ce07229bd748902a6a1"/>
    <w:p>
      <w:pPr>
        <w:pStyle w:val="Heading1"/>
      </w:pPr>
      <w:r>
        <w:t xml:space="preserve">SAP BTP Integration Hub for Logistics Ecosystem</w:t>
      </w:r>
    </w:p>
    <w:p>
      <w:pPr>
        <w:pStyle w:val="FirstParagraph"/>
      </w:pPr>
      <w:r>
        <w:rPr>
          <w:bCs/>
          <w:b/>
        </w:rPr>
        <w:t xml:space="preserve">Client:</w:t>
      </w:r>
      <w:r>
        <w:t xml:space="preserve"> </w:t>
      </w:r>
      <w:r>
        <w:t xml:space="preserve">Mobilis Logistics GmbH</w:t>
      </w:r>
      <w:r>
        <w:t xml:space="preserve"> </w:t>
      </w:r>
      <w:r>
        <w:rPr>
          <w:bCs/>
          <w:b/>
        </w:rPr>
        <w:t xml:space="preserve">Industry:</w:t>
      </w:r>
      <w:r>
        <w:t xml:space="preserve"> </w:t>
      </w:r>
      <w:r>
        <w:t xml:space="preserve">Logistics and Transportation</w:t>
      </w:r>
      <w:r>
        <w:t xml:space="preserve"> </w:t>
      </w:r>
      <w:r>
        <w:rPr>
          <w:bCs/>
          <w:b/>
        </w:rPr>
        <w:t xml:space="preserve">Engagement Period:</w:t>
      </w:r>
      <w:r>
        <w:t xml:space="preserve"> </w:t>
      </w:r>
      <w:r>
        <w:t xml:space="preserve">November 2022 – August 2023 (10 months)</w:t>
      </w:r>
      <w:r>
        <w:t xml:space="preserve"> </w:t>
      </w:r>
      <w:r>
        <w:rPr>
          <w:bCs/>
          <w:b/>
        </w:rPr>
        <w:t xml:space="preserve">Engagement Type:</w:t>
      </w:r>
      <w:r>
        <w:t xml:space="preserve"> </w:t>
      </w:r>
      <w:r>
        <w:t xml:space="preserve">SAP BTP Integration &amp; API Management</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Mobilis Logistics GmbH is a logistics operator headquartered in Vienna with operations in 11 European countries, specializing in last-mile delivery and fulfillment for e-commerce. The company operated SAP S/4HANA 2021 as its central ERP, but the ecosystem consisted of 12 external systems: a WMS (Manhattan Associates), a TMS (Transporeon), 3 customer e-commerce platforms (Salesforce Commerce, Shopify, and a proprietary system), a proprietary tracking system (REST API), Salesforce CRM, and 5 EDI platforms for partners. Existing integrations were point-to-point, implemented ad hoc over the years, with no documentation, difficult to monitor, and frequently experiencing undetected errors.</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Alexandru Dinu</w:t>
            </w:r>
          </w:p>
        </w:tc>
        <w:tc>
          <w:tcPr/>
          <w:p>
            <w:pPr>
              <w:pStyle w:val="Compact"/>
              <w:jc w:val="left"/>
            </w:pPr>
            <w:r>
              <w:t xml:space="preserve">Integration Architect</w:t>
            </w:r>
          </w:p>
        </w:tc>
        <w:tc>
          <w:tcPr/>
          <w:p>
            <w:pPr>
              <w:pStyle w:val="Compact"/>
              <w:jc w:val="left"/>
            </w:pPr>
            <w:r>
              <w:t xml:space="preserve">SAP BTP, Integration Suite, API Management</w:t>
            </w:r>
          </w:p>
        </w:tc>
      </w:tr>
      <w:tr>
        <w:tc>
          <w:tcPr/>
          <w:p>
            <w:pPr>
              <w:pStyle w:val="Compact"/>
              <w:jc w:val="left"/>
            </w:pPr>
            <w:r>
              <w:t xml:space="preserve">Stefan Weber</w:t>
            </w:r>
          </w:p>
        </w:tc>
        <w:tc>
          <w:tcPr/>
          <w:p>
            <w:pPr>
              <w:pStyle w:val="Compact"/>
              <w:jc w:val="left"/>
            </w:pPr>
            <w:r>
              <w:t xml:space="preserve">SAP S/4HANA Lead</w:t>
            </w:r>
          </w:p>
        </w:tc>
        <w:tc>
          <w:tcPr/>
          <w:p>
            <w:pPr>
              <w:pStyle w:val="Compact"/>
              <w:jc w:val="left"/>
            </w:pPr>
            <w:r>
              <w:t xml:space="preserve">S/4HANA SD/MM, OData, BAPI</w:t>
            </w:r>
          </w:p>
        </w:tc>
      </w:tr>
      <w:tr>
        <w:tc>
          <w:tcPr/>
          <w:p>
            <w:pPr>
              <w:pStyle w:val="Compact"/>
              <w:jc w:val="left"/>
            </w:pPr>
            <w:r>
              <w:t xml:space="preserve">David Popa</w:t>
            </w:r>
          </w:p>
        </w:tc>
        <w:tc>
          <w:tcPr/>
          <w:p>
            <w:pPr>
              <w:pStyle w:val="Compact"/>
              <w:jc w:val="left"/>
            </w:pPr>
            <w:r>
              <w:t xml:space="preserve">Data &amp; Integration Engineer</w:t>
            </w:r>
          </w:p>
        </w:tc>
        <w:tc>
          <w:tcPr/>
          <w:p>
            <w:pPr>
              <w:pStyle w:val="Compact"/>
              <w:jc w:val="left"/>
            </w:pPr>
            <w:r>
              <w:t xml:space="preserve">CPI iFlows, mapping, SaaS integration</w:t>
            </w:r>
          </w:p>
        </w:tc>
      </w:tr>
      <w:tr>
        <w:tc>
          <w:tcPr/>
          <w:p>
            <w:pPr>
              <w:pStyle w:val="Compact"/>
              <w:jc w:val="left"/>
            </w:pPr>
            <w:r>
              <w:t xml:space="preserve">Bogdan Marin</w:t>
            </w:r>
          </w:p>
        </w:tc>
        <w:tc>
          <w:tcPr/>
          <w:p>
            <w:pPr>
              <w:pStyle w:val="Compact"/>
              <w:jc w:val="left"/>
            </w:pPr>
            <w:r>
              <w:t xml:space="preserve">DevOps / BTP Engineer</w:t>
            </w:r>
          </w:p>
        </w:tc>
        <w:tc>
          <w:tcPr/>
          <w:p>
            <w:pPr>
              <w:pStyle w:val="Compact"/>
              <w:jc w:val="left"/>
            </w:pPr>
            <w:r>
              <w:t xml:space="preserve">CI/CD BTP, Transport Management, Git</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Build a centralized Integration Hub on SAP Business Technology Platform (BTP) to replace existing point-to-point integrations</w:t>
      </w:r>
    </w:p>
    <w:p>
      <w:pPr>
        <w:numPr>
          <w:ilvl w:val="0"/>
          <w:numId w:val="1001"/>
        </w:numPr>
        <w:pStyle w:val="Compact"/>
      </w:pPr>
      <w:r>
        <w:t xml:space="preserve">Implement SAP Integration Suite (Cloud Integration / CPI) for all integration flows between S/4HANA and external systems</w:t>
      </w:r>
    </w:p>
    <w:p>
      <w:pPr>
        <w:numPr>
          <w:ilvl w:val="0"/>
          <w:numId w:val="1001"/>
        </w:numPr>
        <w:pStyle w:val="Compact"/>
      </w:pPr>
      <w:r>
        <w:t xml:space="preserve">Implement SAP API Management for the controlled exposure of S/4HANA APIs to partners and external applications</w:t>
      </w:r>
    </w:p>
    <w:p>
      <w:pPr>
        <w:numPr>
          <w:ilvl w:val="0"/>
          <w:numId w:val="1001"/>
        </w:numPr>
        <w:pStyle w:val="Compact"/>
      </w:pPr>
      <w:r>
        <w:t xml:space="preserve">Implement SAP Event Mesh for event-driven integration scenarios</w:t>
      </w:r>
    </w:p>
    <w:p>
      <w:pPr>
        <w:numPr>
          <w:ilvl w:val="0"/>
          <w:numId w:val="1001"/>
        </w:numPr>
        <w:pStyle w:val="Compact"/>
      </w:pPr>
      <w:r>
        <w:t xml:space="preserve">Build an integration operations monitoring center (Operations Dashboard)</w:t>
      </w:r>
    </w:p>
    <w:p>
      <w:pPr>
        <w:numPr>
          <w:ilvl w:val="0"/>
          <w:numId w:val="1001"/>
        </w:numPr>
        <w:pStyle w:val="Compact"/>
      </w:pPr>
      <w:r>
        <w:t xml:space="preserve">Fully document all integrations in the SAP API Business Hub (Enterprise) – internal catalog</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SAP Business Technology Platform (BTP):</w:t>
      </w:r>
      <w:r>
        <w:t xml:space="preserve"> </w:t>
      </w:r>
      <w:r>
        <w:t xml:space="preserve">Core integration platform</w:t>
      </w:r>
    </w:p>
    <w:p>
      <w:pPr>
        <w:numPr>
          <w:ilvl w:val="0"/>
          <w:numId w:val="1002"/>
        </w:numPr>
        <w:pStyle w:val="Compact"/>
      </w:pPr>
      <w:r>
        <w:rPr>
          <w:bCs/>
          <w:b/>
        </w:rPr>
        <w:t xml:space="preserve">SAP Integration Suite – Cloud Integration (CPI):</w:t>
      </w:r>
      <w:r>
        <w:t xml:space="preserve"> </w:t>
      </w:r>
      <w:r>
        <w:t xml:space="preserve">Integration engine, iFlows, mapping</w:t>
      </w:r>
    </w:p>
    <w:p>
      <w:pPr>
        <w:numPr>
          <w:ilvl w:val="0"/>
          <w:numId w:val="1002"/>
        </w:numPr>
        <w:pStyle w:val="Compact"/>
      </w:pPr>
      <w:r>
        <w:rPr>
          <w:bCs/>
          <w:b/>
        </w:rPr>
        <w:t xml:space="preserve">SAP Integration Suite – API Management:</w:t>
      </w:r>
      <w:r>
        <w:t xml:space="preserve"> </w:t>
      </w:r>
      <w:r>
        <w:t xml:space="preserve">API gateway, rate limiting, API security, developer portal</w:t>
      </w:r>
    </w:p>
    <w:p>
      <w:pPr>
        <w:numPr>
          <w:ilvl w:val="0"/>
          <w:numId w:val="1002"/>
        </w:numPr>
        <w:pStyle w:val="Compact"/>
      </w:pPr>
      <w:r>
        <w:rPr>
          <w:bCs/>
          <w:b/>
        </w:rPr>
        <w:t xml:space="preserve">SAP Integration Suite – Event Mesh:</w:t>
      </w:r>
      <w:r>
        <w:t xml:space="preserve"> </w:t>
      </w:r>
      <w:r>
        <w:t xml:space="preserve">Message broker for event-driven integration (new orders, status updates)</w:t>
      </w:r>
    </w:p>
    <w:p>
      <w:pPr>
        <w:numPr>
          <w:ilvl w:val="0"/>
          <w:numId w:val="1002"/>
        </w:numPr>
        <w:pStyle w:val="Compact"/>
      </w:pPr>
      <w:r>
        <w:rPr>
          <w:bCs/>
          <w:b/>
        </w:rPr>
        <w:t xml:space="preserve">SAP Integration Suite – Open Connectors:</w:t>
      </w:r>
      <w:r>
        <w:t xml:space="preserve"> </w:t>
      </w:r>
      <w:r>
        <w:t xml:space="preserve">Pre-built connectors for Salesforce and Shopify</w:t>
      </w:r>
    </w:p>
    <w:p>
      <w:pPr>
        <w:numPr>
          <w:ilvl w:val="0"/>
          <w:numId w:val="1002"/>
        </w:numPr>
        <w:pStyle w:val="Compact"/>
      </w:pPr>
      <w:r>
        <w:rPr>
          <w:bCs/>
          <w:b/>
        </w:rPr>
        <w:t xml:space="preserve">SAP S/4HANA OData Services &amp; BAPI:</w:t>
      </w:r>
      <w:r>
        <w:t xml:space="preserve"> </w:t>
      </w:r>
      <w:r>
        <w:t xml:space="preserve">Endpoints exposed from S/4HANA</w:t>
      </w:r>
    </w:p>
    <w:p>
      <w:pPr>
        <w:numPr>
          <w:ilvl w:val="0"/>
          <w:numId w:val="1002"/>
        </w:numPr>
        <w:pStyle w:val="Compact"/>
      </w:pPr>
      <w:r>
        <w:rPr>
          <w:bCs/>
          <w:b/>
        </w:rPr>
        <w:t xml:space="preserve">SAP BTP Transport Management:</w:t>
      </w:r>
      <w:r>
        <w:t xml:space="preserve"> </w:t>
      </w:r>
      <w:r>
        <w:t xml:space="preserve">CI/CD for CPI artifact transport between landscape environments</w:t>
      </w:r>
    </w:p>
    <w:p>
      <w:pPr>
        <w:numPr>
          <w:ilvl w:val="0"/>
          <w:numId w:val="1002"/>
        </w:numPr>
        <w:pStyle w:val="Compact"/>
      </w:pPr>
      <w:r>
        <w:rPr>
          <w:bCs/>
          <w:b/>
        </w:rPr>
        <w:t xml:space="preserve">Git (GitHub Enterprise):</w:t>
      </w:r>
      <w:r>
        <w:t xml:space="preserve"> </w:t>
      </w:r>
      <w:r>
        <w:t xml:space="preserve">iFlow and Groovy script versioning</w:t>
      </w:r>
    </w:p>
    <w:p>
      <w:pPr>
        <w:numPr>
          <w:ilvl w:val="0"/>
          <w:numId w:val="1002"/>
        </w:numPr>
        <w:pStyle w:val="Compact"/>
      </w:pPr>
      <w:r>
        <w:rPr>
          <w:bCs/>
          <w:b/>
        </w:rPr>
        <w:t xml:space="preserve">Grafana + Prometheus:</w:t>
      </w:r>
      <w:r>
        <w:t xml:space="preserve"> </w:t>
      </w:r>
      <w:r>
        <w:t xml:space="preserve">Operational integration monitoring (custom dashboard outside SAP)</w:t>
      </w:r>
    </w:p>
    <w:p>
      <w:r>
        <w:pict>
          <v:rect style="width:0;height:1.5pt" o:hralign="center" o:hrstd="t" o:hr="t"/>
        </w:pict>
      </w:r>
    </w:p>
    <w:bookmarkEnd w:id="23"/>
    <w:bookmarkStart w:id="30" w:name="implementation-steps"/>
    <w:p>
      <w:pPr>
        <w:pStyle w:val="Heading2"/>
      </w:pPr>
      <w:r>
        <w:t xml:space="preserve">5. Implementation Steps</w:t>
      </w:r>
    </w:p>
    <w:bookmarkStart w:id="24" w:name="Xc570ba8f9eff743c9c601d44da991c84035fd4d"/>
    <w:p>
      <w:pPr>
        <w:pStyle w:val="Heading3"/>
      </w:pPr>
      <w:r>
        <w:t xml:space="preserve">Phase 1 – Integration Landscape Assessment (November – December 2022)</w:t>
      </w:r>
    </w:p>
    <w:p>
      <w:pPr>
        <w:pStyle w:val="FirstParagraph"/>
      </w:pPr>
      <w:r>
        <w:t xml:space="preserve">Alexandru Dinu led a comprehensive assessment of existing integrations: inventory of 47 active point-to-point flows (many undocumented). These were classified by criticality (P1/P2/P3), message volume, and complexity. An Integration Architecture Blueprint was documented with the target BTP architecture and a migration plan per flow.</w:t>
      </w:r>
    </w:p>
    <w:bookmarkEnd w:id="24"/>
    <w:bookmarkStart w:id="25" w:name="X160cad1b3f2f3f95832bc517d9738d035105927"/>
    <w:p>
      <w:pPr>
        <w:pStyle w:val="Heading3"/>
      </w:pPr>
      <w:r>
        <w:t xml:space="preserve">Phase 2 – BTP Provisioning and Base Architecture (December 2022 – January 2023)</w:t>
      </w:r>
    </w:p>
    <w:p>
      <w:pPr>
        <w:pStyle w:val="FirstParagraph"/>
      </w:pPr>
      <w:r>
        <w:t xml:space="preserve">Bogdan Marin configured BTP subaccounts (Development, Quality, Production), implementing the CI/CD landscape using SAP BTP Transport Management and Git. Alexandru Dinu configured the Integration Suite and API Management tenants, global security policies, and S/4HANA connectivity (principal propagation, OAuth2).</w:t>
      </w:r>
    </w:p>
    <w:bookmarkEnd w:id="25"/>
    <w:bookmarkStart w:id="26" w:name="Xee8a42aba53fd8b69f1b92b8bec7c621d93bd6d"/>
    <w:p>
      <w:pPr>
        <w:pStyle w:val="Heading3"/>
      </w:pPr>
      <w:r>
        <w:t xml:space="preserve">Phase 3 – Critical P1 Integrations (January – March 2023)</w:t>
      </w:r>
    </w:p>
    <w:p>
      <w:pPr>
        <w:pStyle w:val="FirstParagraph"/>
      </w:pPr>
      <w:r>
        <w:t xml:space="preserve">David Popa and Alexandru Dinu rebuilt the first 12 critical flows in CPI (S/4HANA ↔ Manhattan WMS for orders, delivery confirmations, inventory; S/4HANA ↔ Transporeon for transport orders). Each iFlow included standardized error handling, retry logic, dead letter queues, and centralized logging.</w:t>
      </w:r>
    </w:p>
    <w:bookmarkEnd w:id="26"/>
    <w:bookmarkStart w:id="27" w:name="X980b93bf7f3f2392333aab37e2044cc09cb22b2"/>
    <w:p>
      <w:pPr>
        <w:pStyle w:val="Heading3"/>
      </w:pPr>
      <w:r>
        <w:t xml:space="preserve">Phase 4 – API Management and E-commerce Integrations (March – May 2023)</w:t>
      </w:r>
    </w:p>
    <w:p>
      <w:pPr>
        <w:pStyle w:val="FirstParagraph"/>
      </w:pPr>
      <w:r>
        <w:t xml:space="preserve">API Management was implemented, exposing 15 S/4HANA APIs (Orders, Deliveries, Inventory, Pricing) to customer e-commerce platforms. Rate limiting (1,000 req/minute per client), OAuth2 authentication with client credentials, and a developer portal with automated OpenAPI documentation were configured. Salesforce Commerce and Shopify were integrated via Open Connectors.</w:t>
      </w:r>
    </w:p>
    <w:bookmarkEnd w:id="27"/>
    <w:bookmarkStart w:id="28" w:name="Xb867a37f37b0247a774d66807430b09312ad566"/>
    <w:p>
      <w:pPr>
        <w:pStyle w:val="Heading3"/>
      </w:pPr>
      <w:r>
        <w:t xml:space="preserve">Phase 5 – Event Mesh and Secondary Integrations (May – July 2023)</w:t>
      </w:r>
    </w:p>
    <w:p>
      <w:pPr>
        <w:pStyle w:val="FirstParagraph"/>
      </w:pPr>
      <w:r>
        <w:t xml:space="preserve">SAP Event Mesh was configured for event-driven scenarios: events generated on order creation in S/4HANA with asynchronous consumption by the WMS and tracking system. The remaining 35 P2/P3 flows were migrated from point-to-point to CPI.</w:t>
      </w:r>
    </w:p>
    <w:bookmarkEnd w:id="28"/>
    <w:bookmarkStart w:id="29" w:name="Xd0984fb8166de224c9a1ea511ea603a90ee5ec8"/>
    <w:p>
      <w:pPr>
        <w:pStyle w:val="Heading3"/>
      </w:pPr>
      <w:r>
        <w:t xml:space="preserve">Phase 6 – Monitoring Dashboard and Closure (August 2023)</w:t>
      </w:r>
    </w:p>
    <w:p>
      <w:pPr>
        <w:pStyle w:val="FirstParagraph"/>
      </w:pPr>
      <w:r>
        <w:t xml:space="preserve">The operational monitoring dashboard was implemented (Grafana with data from the CPI Operation Logs API and SAP Cloud ALM). Training for the client’s IT Operations team on iFlow monitoring and troubleshooting was delivered. Complete documentation was published in the API Business Hub Enterprise.</w:t>
      </w:r>
    </w:p>
    <w:p>
      <w:r>
        <w:pict>
          <v:rect style="width:0;height:1.5pt" o:hralign="center" o:hrstd="t" o:hr="t"/>
        </w:pict>
      </w:r>
    </w:p>
    <w:bookmarkEnd w:id="29"/>
    <w:bookmarkEnd w:id="30"/>
    <w:bookmarkStart w:id="31" w:name="challenges-encountered-and-solutions"/>
    <w:p>
      <w:pPr>
        <w:pStyle w:val="Heading2"/>
      </w:pPr>
      <w:r>
        <w:t xml:space="preserve">6. Challenges Encountered and Solutions</w:t>
      </w:r>
    </w:p>
    <w:p>
      <w:pPr>
        <w:pStyle w:val="FirstParagraph"/>
      </w:pPr>
      <w:r>
        <w:rPr>
          <w:bCs/>
          <w:b/>
        </w:rPr>
        <w:t xml:space="preserve">Challenge 1 – Complex iFlows with poor performance at high volumes</w:t>
      </w:r>
      <w:r>
        <w:t xml:space="preserve"> </w:t>
      </w:r>
      <w:r>
        <w:t xml:space="preserve">The S/4HANA ↔ WMS delivery confirmation integration processed 50,000 messages/day with a sequential iFlow that took 8–12 minutes for the morning volume peak. David Popa refactored the iFlow with parallel processing (Parallel Multicast + Aggregator pattern), reducing duration to 90 seconds.</w:t>
      </w:r>
    </w:p>
    <w:p>
      <w:pPr>
        <w:pStyle w:val="BodyText"/>
      </w:pPr>
      <w:r>
        <w:rPr>
          <w:bCs/>
          <w:b/>
        </w:rPr>
        <w:t xml:space="preserve">Challenge 2 – Undocumented business logic in point-to-point integrations</w:t>
      </w:r>
      <w:r>
        <w:t xml:space="preserve"> </w:t>
      </w:r>
      <w:r>
        <w:t xml:space="preserve">Some legacy integrations contained business logic (discount calculation, product code mapping) implemented directly in undocumented integration scripts. Alexandru Dinu organized reverse engineering sessions with business owners to extract and document the logic, moving some of it back into S/4HANA (the correct location) and explicitly documenting the rest in the iFlow.</w:t>
      </w:r>
    </w:p>
    <w:p>
      <w:pPr>
        <w:pStyle w:val="BodyText"/>
      </w:pPr>
      <w:r>
        <w:rPr>
          <w:bCs/>
          <w:b/>
        </w:rPr>
        <w:t xml:space="preserve">Challenge 3 – EDI partners not supporting REST APIs</w:t>
      </w:r>
      <w:r>
        <w:t xml:space="preserve"> </w:t>
      </w:r>
      <w:r>
        <w:t xml:space="preserve">5 of the client’s EDI partners communicated exclusively via AS2 (legacy EDI protocol). SAP CPI did not natively support AS2 in the licensed configuration. Solution: integration of an SAP-certified AS2 adapter (Seeburger) in CPI, resolving compatibility without changing the base architecture.</w:t>
      </w:r>
    </w:p>
    <w:p>
      <w:pPr>
        <w:pStyle w:val="BodyText"/>
      </w:pPr>
      <w:r>
        <w:rPr>
          <w:bCs/>
          <w:b/>
        </w:rPr>
        <w:t xml:space="preserve">Challenge 4 – iFlow versioning without CI/CD in BTP</w:t>
      </w:r>
      <w:r>
        <w:t xml:space="preserve"> </w:t>
      </w:r>
      <w:r>
        <w:t xml:space="preserve">Early project iterations lacked CI/CD configuration, which led to environment divergence and lost modifications. Bogdan Marin retrospectively implemented the complete CI/CD pipeline (GitHub Actions → SAP BTP Transport Management → automatic deployment), stabilizing the delivery process.</w:t>
      </w:r>
    </w:p>
    <w:p>
      <w:r>
        <w:pict>
          <v:rect style="width:0;height:1.5pt" o:hralign="center" o:hrstd="t" o:hr="t"/>
        </w:pict>
      </w:r>
    </w:p>
    <w:bookmarkEnd w:id="31"/>
    <w:bookmarkStart w:id="32" w:name="collaboration-model"/>
    <w:p>
      <w:pPr>
        <w:pStyle w:val="Heading2"/>
      </w:pPr>
      <w:r>
        <w:t xml:space="preserve">7. Collaboration Model</w:t>
      </w:r>
    </w:p>
    <w:p>
      <w:pPr>
        <w:pStyle w:val="FirstParagraph"/>
      </w:pPr>
      <w:r>
        <w:t xml:space="preserve">BearingPoint operated with a strong knowledge transfer component: one of the client’s internal Integration Engineers participated full-time in the iFlow build from Phase 3 onwards, becoming fully independent by the end of the project. Architecture and technical decisions were documented in Architecture Decision Records (ADRs) in Confluence. Bi-monthly Steering Committee with CTO and Director of Operations.</w:t>
      </w:r>
    </w:p>
    <w:p>
      <w:r>
        <w:pict>
          <v:rect style="width:0;height:1.5pt" o:hralign="center" o:hrstd="t" o:hr="t"/>
        </w:pict>
      </w:r>
    </w:p>
    <w:bookmarkEnd w:id="32"/>
    <w:bookmarkStart w:id="33" w:name="results-achieved"/>
    <w:p>
      <w:pPr>
        <w:pStyle w:val="Heading2"/>
      </w:pPr>
      <w:r>
        <w:t xml:space="preserve">8. Results Achieved</w:t>
      </w:r>
    </w:p>
    <w:p>
      <w:pPr>
        <w:numPr>
          <w:ilvl w:val="0"/>
          <w:numId w:val="1003"/>
        </w:numPr>
        <w:pStyle w:val="Compact"/>
      </w:pPr>
      <w:r>
        <w:t xml:space="preserve">47 point-to-point flows migrated into the centralized SAP BTP Integration Hub</w:t>
      </w:r>
    </w:p>
    <w:p>
      <w:pPr>
        <w:numPr>
          <w:ilvl w:val="0"/>
          <w:numId w:val="1003"/>
        </w:numPr>
        <w:pStyle w:val="Compact"/>
      </w:pPr>
      <w:r>
        <w:t xml:space="preserve">Integration error detection time reduced from 4–8 hours (discovered manually) to 5 minutes (automated dashboard alert)</w:t>
      </w:r>
    </w:p>
    <w:p>
      <w:pPr>
        <w:numPr>
          <w:ilvl w:val="0"/>
          <w:numId w:val="1003"/>
        </w:numPr>
        <w:pStyle w:val="Compact"/>
      </w:pPr>
      <w:r>
        <w:t xml:space="preserve">Critical integration availability: 99.7% (versus 96.2% previously with point-to-point integrations)</w:t>
      </w:r>
    </w:p>
    <w:p>
      <w:pPr>
        <w:numPr>
          <w:ilvl w:val="0"/>
          <w:numId w:val="1003"/>
        </w:numPr>
        <w:pStyle w:val="Compact"/>
      </w:pPr>
      <w:r>
        <w:t xml:space="preserve">15 APIs exposed via API Management, consumed by 3 external e-commerce platforms</w:t>
      </w:r>
    </w:p>
    <w:p>
      <w:pPr>
        <w:numPr>
          <w:ilvl w:val="0"/>
          <w:numId w:val="1003"/>
        </w:numPr>
        <w:pStyle w:val="Compact"/>
      </w:pPr>
      <w:r>
        <w:t xml:space="preserve">78% reduction in time to onboard a new integration partner (from 6 weeks to 10 days)</w:t>
      </w:r>
    </w:p>
    <w:p>
      <w:r>
        <w:pict>
          <v:rect style="width:0;height:1.5pt" o:hralign="center" o:hrstd="t" o:hr="t"/>
        </w:pict>
      </w:r>
    </w:p>
    <w:bookmarkEnd w:id="33"/>
    <w:bookmarkStart w:id="34" w:name="lessons-learned"/>
    <w:p>
      <w:pPr>
        <w:pStyle w:val="Heading2"/>
      </w:pPr>
      <w:r>
        <w:t xml:space="preserve">9. Lessons Learned</w:t>
      </w:r>
    </w:p>
    <w:p>
      <w:pPr>
        <w:numPr>
          <w:ilvl w:val="0"/>
          <w:numId w:val="1004"/>
        </w:numPr>
        <w:pStyle w:val="Compact"/>
      </w:pPr>
      <w:r>
        <w:rPr>
          <w:bCs/>
          <w:b/>
        </w:rPr>
        <w:t xml:space="preserve">Documenting existing integrations is half the project:</w:t>
      </w:r>
      <w:r>
        <w:t xml:space="preserve"> </w:t>
      </w:r>
      <w:r>
        <w:t xml:space="preserve">Never underestimate the effort required to assess and reverse-engineer undocumented legacy integrations.</w:t>
      </w:r>
    </w:p>
    <w:p>
      <w:pPr>
        <w:numPr>
          <w:ilvl w:val="0"/>
          <w:numId w:val="1004"/>
        </w:numPr>
        <w:pStyle w:val="Compact"/>
      </w:pPr>
      <w:r>
        <w:rPr>
          <w:bCs/>
          <w:b/>
        </w:rPr>
        <w:t xml:space="preserve">Standardized error handling from day one prevents weeks of debugging:</w:t>
      </w:r>
      <w:r>
        <w:t xml:space="preserve"> </w:t>
      </w:r>
      <w:r>
        <w:t xml:space="preserve">A uniform pattern for error handling, logging, and alerting across all iFlows dramatically reduces operational troubleshooting time.</w:t>
      </w:r>
    </w:p>
    <w:p>
      <w:pPr>
        <w:numPr>
          <w:ilvl w:val="0"/>
          <w:numId w:val="1004"/>
        </w:numPr>
        <w:pStyle w:val="Compact"/>
      </w:pPr>
      <w:r>
        <w:rPr>
          <w:bCs/>
          <w:b/>
        </w:rPr>
        <w:t xml:space="preserve">CI/CD for integration artifacts is not optional:</w:t>
      </w:r>
      <w:r>
        <w:t xml:space="preserve"> </w:t>
      </w:r>
      <w:r>
        <w:t xml:space="preserve">Divergent environments and lost modifications are real risks without an automated pipeline from the outset.</w:t>
      </w:r>
    </w:p>
    <w:bookmarkEnd w:id="34"/>
    <w:bookmarkEnd w:id="35"/>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BTP Integration Hub for Logistics Ecosystem</dc:title>
  <dc:creator>BearingPoint</dc:creator>
  <cp:keywords/>
  <dcterms:created xsi:type="dcterms:W3CDTF">2026-06-12T08:38:47Z</dcterms:created>
  <dcterms:modified xsi:type="dcterms:W3CDTF">2026-06-12T08:38:47Z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2022 – August 2023</vt:lpwstr>
  </property>
  <property fmtid="{D5CDD505-2E9C-101B-9397-08002B2CF9AE}" pid="3" name="subtitle">
    <vt:lpwstr>Accepted Project Proposal – Mobilis Logistics GmbH</vt:lpwstr>
  </property>
</Properties>
</file>