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Socio Humanística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1155108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Introducción a la vida universitaria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32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asignatura Introducción a la vida universitaria orienta al estudiante de primer semestre en su rol universitario y lo ubica en su contexto, lo ilustra cómo funciona la  institución y como proceder de acuerdo a  la  normatividad de la misma, asimismo lo acompaña en el fortalecimiento de su identidad personal y autoestima, para la consolidación de la personalidad preparándolo para que enfrente y asuma retos personales y académicos.</w:t>
            </w:r>
          </w:p>
          <w:p w:rsidR="00000000" w:rsidDel="00000000" w:rsidP="00000000" w:rsidRDefault="00000000" w:rsidRPr="00000000" w14:paraId="00000059">
            <w:pPr>
              <w:spacing w:before="60" w:lineRule="auto"/>
              <w:jc w:val="both"/>
              <w:rPr>
                <w:rFonts w:ascii="Arial" w:cs="Arial" w:eastAsia="Arial" w:hAnsi="Arial"/>
                <w:color w:val="80808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 apoya en su desempeño académico ofreciéndole alternativas de métodos y técnicas de estudio que le faciliten su aprendizaje autónomo, enfocándolo hacia la búsqueda de la información, indagación, investigación, pero ante todo favoreciendo el desarrollo y potenciación de sus capacidades cognitivas.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60" w:lineRule="auto"/>
              <w:jc w:val="both"/>
              <w:rPr>
                <w:rFonts w:ascii="Arial" w:cs="Arial" w:eastAsia="Arial" w:hAnsi="Arial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Fomentar el sentido de pertenencia del estudiante con su institución, reconociéndose como persona y contextualizándose como  miembro de la comunidad universitaria, así mismo apoyar el desarrollo  personal y académico del estudiante, con una formación integral que le permita proyectarse como un futuro profesional comprometido consigo mismo y la sociedad.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Procedimentales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60" w:firstLine="0"/>
              <w:jc w:val="both"/>
              <w:rPr>
                <w:rFonts w:ascii="Arial" w:cs="Arial" w:eastAsia="Arial" w:hAnsi="Arial"/>
                <w:color w:val="0070c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Estará en capacidad de enfrentar situaciones que requieran su habilidad de resolución de problemas, informarse y gestionar situaciones relacionadas con su desarrollo y avance  académico, asimismo emplear diferentes estrategias y técnicas de estudio que favorezcan  sus hábitos y disciplina de estudio, actuar con autonomía y responsabilidad frente a su propio proceso de desarrollo personal y profesional. 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propositivas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Articular los aspectos éticos con los propios de su programa de formación en la toma de decisiones, defender y argumentar sus razonamientos, con el debido respeto de la opinión ajena, formular propuestas para el desarrollo de competencias de su perfil profesional.  Interpretar el contexto universitario y  social y conducirse apropiadamente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Cognitivas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left="6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Conocer, comprender y asimilar la filosofía institucional y la normatividad vigente que le permitan actuar y responder con coherencia dentro del contexto universitario, medirse en el desarrollo  y potenciación  de habilidades útiles para la vida. Y el desempeño profesional.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Actitudinales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6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estudiante tendrá una actitud de valoración positiva ante su propia formación y actualización, con  un alto sentido de apreciación hacia el estudio y el auto aprendizaje en búsqueda de un permanente  mejoramiento continuo que facilite su proceder  ético y capacidad reflexiva.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Contexto Institucional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1:  Historia Institucional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</w:t>
              <w:tab/>
              <w:t xml:space="preserve">Subtema 1.1 Biografía de Francisco de Paula Santander énfasis en los aportes a la educación.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2 :  Filosofía Institucional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</w:t>
              <w:tab/>
              <w:t xml:space="preserve">Subtema 2.1Principios filosóficos, Misión, Visión,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</w:t>
              <w:tab/>
              <w:t xml:space="preserve">Subtema 3.1Símbolos de la UFPS, Himno, valores                corporativos.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Tema3 :   Estructura Orgánica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4:  Estatuto Estudiantil, Acuerdo N° 065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Identidad personal y autoestima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Tema  1: Identidad personal y dimensiones del ser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Subtema 1: Quien soy yo?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Subtema 1.2: Autoestima y sus componentes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Subtema 1.3: Autoimagen en todas sus dimensiones.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Tema 2: Orientación Vocacional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Subtema 2.1: Habilidades, intereses y motivaciones relacionadas con el programa de formación.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Subtema 2.2: Conversatorio en la prevención de sustancias psicoactivas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Tema 3: Proyecto de Vida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Subtema 3.1: Como se hace un proyecto de vida.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Métodos y técnicas de estudio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1 : Que es aprendizaje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Subtema 1. Diferencia entre aprender y estudiar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Subtema 1.2 Ambiente físico para el estudio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2. Métodos y Técnicas de Planificación y organización.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Subtema 2. Método SQ3R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Subtema 2.1 Método Faber ( por comprensión)</w:t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Subtema 2.2 Fases del método Faber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Subtema 2.3 Mapas conceptuales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Subtema 2.4 Mapas funcionales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3. Tipos de lectura.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4. La Conceptualización como método de estudio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5. El análisis y la duda racional como método de estudio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Subtema 5. Tipos de análisis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4A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Lectura individual dirigida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de guías de trabajo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magistral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Puesta en común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Producción de audiovisuales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 de audiovisuales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individual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grupal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Lectura intratextual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Elaboración de mapas conceptuales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Producción de ensayos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1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5C">
            <w:pPr>
              <w:keepNext w:val="1"/>
              <w:keepLines w:val="1"/>
              <w:numPr>
                <w:ilvl w:val="0"/>
                <w:numId w:val="2"/>
              </w:numPr>
              <w:ind w:left="72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 </w:t>
            </w:r>
          </w:p>
        </w:tc>
      </w:tr>
    </w:tbl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1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729" w:hRule="atLeast"/>
              <w:tblHeader w:val="0"/>
            </w:trPr>
            <w:tc>
              <w:tcPr/>
              <w:p w:rsidR="00000000" w:rsidDel="00000000" w:rsidP="00000000" w:rsidRDefault="00000000" w:rsidRPr="00000000" w14:paraId="0000015F">
                <w:pPr>
                  <w:keepNext w:val="1"/>
                  <w:keepLines w:val="1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0">
                <w:pPr>
                  <w:spacing w:before="60" w:lineRule="auto"/>
                  <w:jc w:val="both"/>
                  <w:rPr>
                    <w:rFonts w:ascii="Arial" w:cs="Arial" w:eastAsia="Arial" w:hAnsi="Arial"/>
                    <w:color w:val="80808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keepNext w:val="1"/>
        <w:keepLines w:val="1"/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2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63">
                <w:pPr>
                  <w:keepNext w:val="1"/>
                  <w:keepLines w:val="1"/>
                  <w:numPr>
                    <w:ilvl w:val="0"/>
                    <w:numId w:val="2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164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3"/>
            <w:tblW w:w="1005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050"/>
            <w:tblGridChange w:id="0">
              <w:tblGrid>
                <w:gridCol w:w="100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Los criterios de evaluación  están enmarcados por lo dispuesto en la normatividad vigente en la institución.  La evaluación como proceso flexible, dinámico, continúo y funcional,  tendrá en cuenta  la comprensión del trabajo desarrollado,  la participación activa en la clase y  las propuestas de trabajo de los estudiantes.</w:t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 realizarán dos previos escritos y una tercera nota producto del trabajo continuo del estudiante y la autoevaluación,   los tres conformarán el 70% de la  nota y un examen final  equivalente al 30%.</w:t>
                </w:r>
              </w:p>
              <w:p w:rsidR="00000000" w:rsidDel="00000000" w:rsidP="00000000" w:rsidRDefault="00000000" w:rsidRPr="00000000" w14:paraId="00000168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6A">
                <w:pPr>
                  <w:keepNext w:val="1"/>
                  <w:keepLines w:val="1"/>
                  <w:numPr>
                    <w:ilvl w:val="0"/>
                    <w:numId w:val="2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16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kix.ia29mmgfn0v3" w:id="2"/>
    <w:bookmarkEnd w:id="2"/>
    <w:p w:rsidR="00000000" w:rsidDel="00000000" w:rsidP="00000000" w:rsidRDefault="00000000" w:rsidRPr="00000000" w14:paraId="0000016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5"/>
            <w:tblW w:w="999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90"/>
            <w:tblGridChange w:id="0">
              <w:tblGrid>
                <w:gridCol w:w="9990"/>
              </w:tblGrid>
            </w:tblGridChange>
          </w:tblGrid>
          <w:tr>
            <w:trPr>
              <w:cantSplit w:val="0"/>
              <w:trHeight w:val="806.982421875" w:hRule="atLeast"/>
              <w:tblHeader w:val="0"/>
            </w:trPr>
            <w:tc>
              <w:tcPr/>
              <w:p w:rsidR="00000000" w:rsidDel="00000000" w:rsidP="00000000" w:rsidRDefault="00000000" w:rsidRPr="00000000" w14:paraId="0000016D">
                <w:pPr>
                  <w:jc w:val="both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Incluya al menos tres (3) textos de consulta en Inglés u otro idioma.</w:t>
                </w:r>
              </w:p>
              <w:p w:rsidR="00000000" w:rsidDel="00000000" w:rsidP="00000000" w:rsidRDefault="00000000" w:rsidRPr="00000000" w14:paraId="0000016E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F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Cooper, S. B. (2004) </w:t>
                </w: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Computability Theory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 [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8"/>
                    <w:szCs w:val="18"/>
                    <w:rtl w:val="0"/>
                  </w:rPr>
                  <w:t xml:space="preserve">GB</w:t>
                </w: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]. Chapman &amp; Hall / CRC Mathematics. </w:t>
                </w:r>
              </w:p>
              <w:p w:rsidR="00000000" w:rsidDel="00000000" w:rsidP="00000000" w:rsidRDefault="00000000" w:rsidRPr="00000000" w14:paraId="00000170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1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 Enderton, H. B. (2009) </w:t>
                </w: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Computability Theory Notes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 (capítulos en PDF) </w:t>
                </w:r>
              </w:p>
              <w:p w:rsidR="00000000" w:rsidDel="00000000" w:rsidP="00000000" w:rsidRDefault="00000000" w:rsidRPr="00000000" w14:paraId="00000172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3">
                <w:pPr>
                  <w:jc w:val="both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4">
                <w:pPr>
                  <w:jc w:val="both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Herramientas </w:t>
                </w:r>
              </w:p>
              <w:p w:rsidR="00000000" w:rsidDel="00000000" w:rsidP="00000000" w:rsidRDefault="00000000" w:rsidRPr="00000000" w14:paraId="00000176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7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sz w:val="18"/>
                      <w:szCs w:val="18"/>
                      <w:u w:val="single"/>
                      <w:rtl w:val="0"/>
                    </w:rPr>
                    <w:t xml:space="preserve">http://www.jflap.org/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8">
                <w:pPr>
                  <w:rPr>
                    <w:rFonts w:ascii="Arial" w:cs="Arial" w:eastAsia="Arial" w:hAnsi="Arial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9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JFLAP is software for experimenting with formal languages topics including nondeterministic finite automata, nondeterministic pushdown automata, multi-tape Turing machines, several types of grammars, parsing, and L-systems. In addition to constructing and testing examples for these, JFLAP allows one to experiment with construction proofs from one form to another, such as converting an NFA to a DFA to a minimal state DFA to a regular expression or regular grammar. </w:t>
                </w:r>
              </w:p>
              <w:p w:rsidR="00000000" w:rsidDel="00000000" w:rsidP="00000000" w:rsidRDefault="00000000" w:rsidRPr="00000000" w14:paraId="0000017A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B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sz w:val="18"/>
                      <w:szCs w:val="18"/>
                      <w:u w:val="single"/>
                      <w:rtl w:val="0"/>
                    </w:rPr>
                    <w:t xml:space="preserve">http://morphett.info/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C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D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 web-based Turing machine simulator, written in Javascript, with some example Turing machine programs.</w:t>
                </w:r>
              </w:p>
              <w:p w:rsidR="00000000" w:rsidDel="00000000" w:rsidP="00000000" w:rsidRDefault="00000000" w:rsidRPr="00000000" w14:paraId="0000017E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F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0000ff"/>
                      <w:sz w:val="18"/>
                      <w:szCs w:val="18"/>
                      <w:u w:val="single"/>
                      <w:rtl w:val="0"/>
                    </w:rPr>
                    <w:t xml:space="preserve">https://portal.esi.uclm.es/selfa/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0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1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Selfa resuelve ejercicios sobre autómatas finitos, expresiones regulares, gramáticas regulares, autómatas con pila y gramáticas libres de contexto. Además se pueden realizar simulaciones sobre los autómatas finitos y los autómatas con pila. La herramienta permite que los alumnos se entrenen en todos los contenidos de la materia, a excepción de las máquinas de Turing, mejorando la calidad tanto en el aprendizaje como en la enseñanza, ya que el profesor puede emplearla para explicar la mayoría de conceptos y algoritmos de la asignatura.</w:t>
                </w:r>
              </w:p>
              <w:p w:rsidR="00000000" w:rsidDel="00000000" w:rsidP="00000000" w:rsidRDefault="00000000" w:rsidRPr="00000000" w14:paraId="00000182">
                <w:pPr>
                  <w:jc w:val="both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B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1B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B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1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B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1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1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1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C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1C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1D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1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1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8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1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1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E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E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E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1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1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1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1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1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1F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ortal.esi.uclm.es/selfa/" TargetMode="External"/><Relationship Id="rId10" Type="http://schemas.openxmlformats.org/officeDocument/2006/relationships/hyperlink" Target="http://morphett.info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jflap.org/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header" Target="header5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6.xml"/><Relationship Id="rId7" Type="http://schemas.openxmlformats.org/officeDocument/2006/relationships/hyperlink" Target="http://books.google.com.mx/books?id=SJvt8ELnMakC&amp;printsec=frontcover&amp;source=gbs_v2_summary_r&amp;cad=0#v=onepage&amp;q=&amp;f=false" TargetMode="External"/><Relationship Id="rId8" Type="http://schemas.openxmlformats.org/officeDocument/2006/relationships/hyperlink" Target="http://www.math.ucla.edu/%7Ehbe/com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0QKnhwyWxGeF8Xbk9IS7EFjCQ==">CgMxLjAaHwoBMBIaChgICVIUChJ0YWJsZS5jdXVxeXg2dHV0MTkaHwoBMRIaChgICVIUChJ0YWJsZS5ud3RobHhtYXl2ZDkaHwoBMhIaChgICVIUChJ0YWJsZS5iZnN3NXkxYWpmNmIaHwoBMxIaChgICVIUChJ0YWJsZS56ZW5vNmdxaGh6ZjIaHwoBNBIaChgICVIUChJ0YWJsZS50OXNwOXJsaGRkamUyCGguZ2pkZ3hzMgppZC4xZm9iOXRlMhBraXguaWEyOW1tZ2ZuMHYzOAByITFHNjlCZjJaVEFuUWN0SlFTMUN4cUxOVUhwMFk4LVpf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