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spacing w:after="0" w:lineRule="auto"/>
              <w:rPr>
                <w:rFonts w:ascii="Arial" w:cs="Arial" w:eastAsia="Arial" w:hAnsi="Arial"/>
                <w:sz w:val="16"/>
                <w:szCs w:val="16"/>
              </w:rPr>
            </w:pPr>
            <w:r w:rsidDel="00000000" w:rsidR="00000000" w:rsidRPr="00000000">
              <w:rPr>
                <w:rFonts w:ascii="Arial" w:cs="Arial" w:eastAsia="Arial" w:hAnsi="Arial"/>
                <w:b w:val="1"/>
                <w:sz w:val="20"/>
                <w:szCs w:val="20"/>
                <w:rtl w:val="0"/>
              </w:rPr>
              <w:t xml:space="preserve">INGENIERÍA</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rPr>
            </w:pPr>
            <w:r w:rsidDel="00000000" w:rsidR="00000000" w:rsidRPr="00000000">
              <w:rPr>
                <w:rFonts w:ascii="Arial" w:cs="Arial" w:eastAsia="Arial" w:hAnsi="Arial"/>
                <w:b w:val="1"/>
                <w:rtl w:val="0"/>
              </w:rPr>
              <w:t xml:space="preserve">IX</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spacing w:after="0" w:lineRule="auto"/>
              <w:jc w:val="both"/>
              <w:rPr>
                <w:rFonts w:ascii="Arial" w:cs="Arial" w:eastAsia="Arial" w:hAnsi="Arial"/>
                <w:sz w:val="15"/>
                <w:szCs w:val="15"/>
              </w:rPr>
            </w:pPr>
            <w:r w:rsidDel="00000000" w:rsidR="00000000" w:rsidRPr="00000000">
              <w:rPr>
                <w:rFonts w:ascii="Arial" w:cs="Arial" w:eastAsia="Arial" w:hAnsi="Arial"/>
                <w:sz w:val="20"/>
                <w:szCs w:val="20"/>
                <w:rtl w:val="0"/>
              </w:rPr>
              <w:t xml:space="preserve">Profesional</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spacing w:after="0" w:lineRule="auto"/>
              <w:jc w:val="both"/>
              <w:rPr>
                <w:rFonts w:ascii="Arial" w:cs="Arial" w:eastAsia="Arial" w:hAnsi="Arial"/>
                <w:sz w:val="15"/>
                <w:szCs w:val="15"/>
              </w:rPr>
            </w:pPr>
            <w:r w:rsidDel="00000000" w:rsidR="00000000" w:rsidRPr="00000000">
              <w:rPr>
                <w:rFonts w:ascii="Arial" w:cs="Arial" w:eastAsia="Arial" w:hAnsi="Arial"/>
                <w:sz w:val="20"/>
                <w:szCs w:val="20"/>
                <w:rtl w:val="0"/>
              </w:rPr>
              <w:t xml:space="preserve">1155908</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40" w:lineRule="auto"/>
              <w:rPr>
                <w:rFonts w:ascii="Arial" w:cs="Arial" w:eastAsia="Arial" w:hAnsi="Arial"/>
                <w:sz w:val="15"/>
                <w:szCs w:val="15"/>
              </w:rPr>
            </w:pPr>
            <w:r w:rsidDel="00000000" w:rsidR="00000000" w:rsidRPr="00000000">
              <w:rPr>
                <w:rFonts w:ascii="Arial" w:cs="Arial" w:eastAsia="Arial" w:hAnsi="Arial"/>
                <w:sz w:val="20"/>
                <w:szCs w:val="20"/>
                <w:rtl w:val="0"/>
              </w:rPr>
              <w:t xml:space="preserve">Gestión de TIC</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Pr>
                <w:rFonts w:ascii="Arial" w:cs="Arial" w:eastAsia="Arial" w:hAnsi="Arial"/>
                <w:b w:val="1"/>
                <w:sz w:val="16"/>
                <w:szCs w:val="16"/>
              </w:rPr>
              <w:t xml:space="preserve">1155808</w:t>
            </w:r>
          </w:p>
        </w:tc>
        <w:tc>
          <w:tcPr>
            <w:vAlign w:val="center"/>
          </w:tcPr>
          <w:p w:rsidR="00000000" w:rsidDel="00000000" w:rsidP="00000000" w:rsidRDefault="00000000" w:rsidRPr="00000000" w14:paraId="0000004C">
            <w:pPr>
              <w:rPr>
                <w:rFonts w:ascii="Arial" w:cs="Arial" w:eastAsia="Arial" w:hAnsi="Arial"/>
                <w:b w:val="1"/>
                <w:sz w:val="16"/>
                <w:szCs w:val="16"/>
              </w:rPr>
            </w:pPr>
            <w:r>
              <w:rPr>
                <w:rFonts w:ascii="Arial" w:cs="Arial" w:eastAsia="Arial" w:hAnsi="Arial"/>
                <w:b w:val="1"/>
                <w:sz w:val="16"/>
                <w:szCs w:val="16"/>
              </w:rPr>
              <w:t xml:space="preserve">Formulación y Evaluación de Proyectos de Sistemas</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line="276" w:lineRule="auto"/>
              <w:jc w:val="both"/>
              <w:rPr>
                <w:rFonts w:ascii="Arial" w:cs="Arial" w:eastAsia="Arial" w:hAnsi="Arial"/>
              </w:rPr>
            </w:pPr>
            <w:r w:rsidDel="00000000" w:rsidR="00000000" w:rsidRPr="00000000">
              <w:rPr>
                <w:rFonts w:ascii="Arial" w:cs="Arial" w:eastAsia="Arial" w:hAnsi="Arial"/>
                <w:rtl w:val="0"/>
              </w:rPr>
              <w:t xml:space="preserve">Las Tecnologías de la Información y las Comunicaciones (TIC) son cada vez más usadas para el apoyo y automatización de todas las actividades de las empresas. Los constantes avances y masificación que han experimentado las tecnologías en las últimas dos décadas, sobre todo el desarrollo de Internet, han significado una verdadera revolución en el seno de la sociedad. Motivo por el cual las grandes multinacionales así como las Pymes han decidido adoptar las TIC en su modelo de negocio. En efecto, las organizaciones se han percatado de que la aplicación de las nuevas tecnologías en las diferentes áreas de las compañías ha propiciado un ahorro de costos y tiempo, ayudándoles a su vez con una mejor gestión de los flujos de información.</w:t>
            </w:r>
          </w:p>
          <w:p w:rsidR="00000000" w:rsidDel="00000000" w:rsidP="00000000" w:rsidRDefault="00000000" w:rsidRPr="00000000" w14:paraId="0000005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spacing w:line="276" w:lineRule="auto"/>
              <w:jc w:val="both"/>
              <w:rPr>
                <w:rFonts w:ascii="Arial" w:cs="Arial" w:eastAsia="Arial" w:hAnsi="Arial"/>
              </w:rPr>
            </w:pPr>
            <w:r w:rsidDel="00000000" w:rsidR="00000000" w:rsidRPr="00000000">
              <w:rPr>
                <w:rFonts w:ascii="Arial" w:cs="Arial" w:eastAsia="Arial" w:hAnsi="Arial"/>
                <w:rtl w:val="0"/>
              </w:rPr>
              <w:t xml:space="preserve">Este curso aborda la gestión de servicios tecnológicos en el contexto empresarial, desde la mirada de satisfacer las necesidades de los clientes externos e internos, mantener alineadas las TIC con los objetivos del negocio, y mostrar de manera clara y cuantificable los beneficios aportados por las TIC. Desde lo cognitivo el estudiante comprende los marcos de referencias asociados a las TIC y en particular un marco internacional que consolide buenas prácticas para la gestión de servicios de tecnología de información.</w:t>
            </w:r>
          </w:p>
          <w:p w:rsidR="00000000" w:rsidDel="00000000" w:rsidP="00000000" w:rsidRDefault="00000000" w:rsidRPr="00000000" w14:paraId="0000005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spacing w:line="276" w:lineRule="auto"/>
              <w:jc w:val="both"/>
              <w:rPr>
                <w:rFonts w:ascii="Arial" w:cs="Arial" w:eastAsia="Arial" w:hAnsi="Arial"/>
              </w:rPr>
            </w:pPr>
            <w:r w:rsidDel="00000000" w:rsidR="00000000" w:rsidRPr="00000000">
              <w:rPr>
                <w:rFonts w:ascii="Arial" w:cs="Arial" w:eastAsia="Arial" w:hAnsi="Arial"/>
                <w:rtl w:val="0"/>
              </w:rPr>
              <w:t xml:space="preserve">Desde lo procedimental, el estudiante es capaz de utilizar las bases conceptuales para diseñar, adoptar y gestionar el portafolio de servicios TIC aplicando todo el ciclo de las buenas prácticas de gestión de servicios TIC en un caso de estudio empresarial, de tal manera que el estudiante contrasta la articulación de las TIC con los objetivos estratégicos empresariales.</w:t>
            </w:r>
          </w:p>
          <w:p w:rsidR="00000000" w:rsidDel="00000000" w:rsidP="00000000" w:rsidRDefault="00000000" w:rsidRPr="00000000" w14:paraId="0000005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E">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Desde lo actitudinal, el  estudiante interactúa y trabaja en equipo para la discusión de un caso hipotético o problemática que permitan la aplicación de sus conocimientos sobre las funciones de gestionar los procesos de TIC incorporando prácticas de  referentes internacionales. Además tiene una actitud flexible y dispuesta al cambio</w:t>
            </w: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0">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1">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3">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4">
            <w:pPr>
              <w:numPr>
                <w:ilvl w:val="0"/>
                <w:numId w:val="8"/>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Distinguir las buenas prácticas para la gestión de servicios informáticos</w:t>
            </w:r>
            <w:r w:rsidDel="00000000" w:rsidR="00000000" w:rsidRPr="00000000">
              <w:rPr>
                <w:rtl w:val="0"/>
              </w:rPr>
            </w:r>
          </w:p>
          <w:p w:rsidR="00000000" w:rsidDel="00000000" w:rsidP="00000000" w:rsidRDefault="00000000" w:rsidRPr="00000000" w14:paraId="00000065">
            <w:pPr>
              <w:numPr>
                <w:ilvl w:val="0"/>
                <w:numId w:val="8"/>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Evaluar la  aplicación de las buenas prácticas de gestión TIC en contextos empresariales.</w:t>
            </w:r>
            <w:r w:rsidDel="00000000" w:rsidR="00000000" w:rsidRPr="00000000">
              <w:rPr>
                <w:rtl w:val="0"/>
              </w:rPr>
            </w:r>
          </w:p>
          <w:p w:rsidR="00000000" w:rsidDel="00000000" w:rsidP="00000000" w:rsidRDefault="00000000" w:rsidRPr="00000000" w14:paraId="00000066">
            <w:pPr>
              <w:numPr>
                <w:ilvl w:val="0"/>
                <w:numId w:val="8"/>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Desarrollar una propuesta de adopción de las buenas prácticas de gestión en un caso de negocio</w:t>
            </w:r>
            <w:r w:rsidDel="00000000" w:rsidR="00000000" w:rsidRPr="00000000">
              <w:rPr>
                <w:rtl w:val="0"/>
              </w:rPr>
            </w:r>
          </w:p>
        </w:tc>
      </w:tr>
    </w:tbl>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068">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9">
      <w:pPr>
        <w:jc w:val="both"/>
        <w:rPr>
          <w:rFonts w:ascii="Arial" w:cs="Arial" w:eastAsia="Arial" w:hAnsi="Arial"/>
          <w:b w:val="1"/>
          <w:sz w:val="20"/>
          <w:szCs w:val="20"/>
        </w:rPr>
      </w:pPr>
      <w:r w:rsidDel="00000000" w:rsidR="00000000" w:rsidRPr="00000000">
        <w:rPr>
          <w:rtl w:val="0"/>
        </w:rPr>
      </w:r>
    </w:p>
    <w:sdt>
      <w:sdtPr>
        <w:lock w:val="contentLocked"/>
        <w:tag w:val="goog_rdk_0"/>
      </w:sdtPr>
      <w:sdtContent>
        <w:tbl>
          <w:tblPr>
            <w:tblStyle w:val="Table10"/>
            <w:tblW w:w="10188.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2.1798287345387"/>
            <w:gridCol w:w="2976.7507136060894"/>
            <w:gridCol w:w="2519.534728829686"/>
            <w:gridCol w:w="2519.534728829686"/>
            <w:tblGridChange w:id="0">
              <w:tblGrid>
                <w:gridCol w:w="2172.1798287345387"/>
                <w:gridCol w:w="2976.7507136060894"/>
                <w:gridCol w:w="2519.534728829686"/>
                <w:gridCol w:w="2519.534728829686"/>
              </w:tblGrid>
            </w:tblGridChange>
          </w:tblGrid>
          <w:tr>
            <w:trPr>
              <w:cantSplit w:val="0"/>
              <w:tblHeader w:val="0"/>
            </w:trPr>
            <w:tc>
              <w:tcPr>
                <w:shd w:fill="d9d9d9" w:val="clear"/>
              </w:tcPr>
              <w:p w:rsidR="00000000" w:rsidDel="00000000" w:rsidP="00000000" w:rsidRDefault="00000000" w:rsidRPr="00000000" w14:paraId="0000006A">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Nombre de la Competencia</w:t>
                </w:r>
              </w:p>
            </w:tc>
            <w:tc>
              <w:tcPr>
                <w:shd w:fill="d9d9d9" w:val="clear"/>
              </w:tcPr>
              <w:p w:rsidR="00000000" w:rsidDel="00000000" w:rsidP="00000000" w:rsidRDefault="00000000" w:rsidRPr="00000000" w14:paraId="0000006B">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Descripción de la Competencia</w:t>
                </w:r>
              </w:p>
            </w:tc>
            <w:tc>
              <w:tcPr>
                <w:shd w:fill="d9d9d9" w:val="clear"/>
              </w:tcPr>
              <w:p w:rsidR="00000000" w:rsidDel="00000000" w:rsidP="00000000" w:rsidRDefault="00000000" w:rsidRPr="00000000" w14:paraId="0000006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Resultados de Aprendizaje del programa a los que aporta el Curso (RAP)</w:t>
                </w:r>
              </w:p>
            </w:tc>
            <w:tc>
              <w:tcPr>
                <w:shd w:fill="d9d9d9" w:val="clear"/>
              </w:tcPr>
              <w:p w:rsidR="00000000" w:rsidDel="00000000" w:rsidP="00000000" w:rsidRDefault="00000000" w:rsidRPr="00000000" w14:paraId="0000006D">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RESULTADOS DE APRENDIZAJE DEL CURSO (RAC)</w:t>
                </w:r>
              </w:p>
            </w:tc>
          </w:tr>
          <w:tr>
            <w:trPr>
              <w:cantSplit w:val="0"/>
              <w:tblHeader w:val="0"/>
            </w:trPr>
            <w:tc>
              <w:tcPr/>
              <w:p w:rsidR="00000000" w:rsidDel="00000000" w:rsidP="00000000" w:rsidRDefault="00000000" w:rsidRPr="00000000" w14:paraId="0000006E">
                <w:pPr>
                  <w:widowControl w:val="0"/>
                  <w:jc w:val="both"/>
                  <w:rPr>
                    <w:rFonts w:ascii="Arial" w:cs="Arial" w:eastAsia="Arial" w:hAnsi="Arial"/>
                  </w:rPr>
                </w:pPr>
                <w:r w:rsidDel="00000000" w:rsidR="00000000" w:rsidRPr="00000000">
                  <w:rPr>
                    <w:rFonts w:ascii="Arial" w:cs="Arial" w:eastAsia="Arial" w:hAnsi="Arial"/>
                    <w:b w:val="1"/>
                    <w:rtl w:val="0"/>
                  </w:rPr>
                  <w:t xml:space="preserve">CG3. Trabajo en equipo</w:t>
                </w:r>
                <w:r w:rsidDel="00000000" w:rsidR="00000000" w:rsidRPr="00000000">
                  <w:rPr>
                    <w:rtl w:val="0"/>
                  </w:rPr>
                </w:r>
              </w:p>
            </w:tc>
            <w:tc>
              <w:tcPr/>
              <w:p w:rsidR="00000000" w:rsidDel="00000000" w:rsidP="00000000" w:rsidRDefault="00000000" w:rsidRPr="00000000" w14:paraId="0000006F">
                <w:pPr>
                  <w:widowControl w:val="0"/>
                  <w:jc w:val="both"/>
                  <w:rPr>
                    <w:rFonts w:ascii="Arial" w:cs="Arial" w:eastAsia="Arial" w:hAnsi="Arial"/>
                    <w:b w:val="1"/>
                  </w:rPr>
                </w:pPr>
                <w:r w:rsidDel="00000000" w:rsidR="00000000" w:rsidRPr="00000000">
                  <w:rPr>
                    <w:rFonts w:ascii="Arial" w:cs="Arial" w:eastAsia="Arial" w:hAnsi="Arial"/>
                    <w:rtl w:val="0"/>
                  </w:rPr>
                  <w:t xml:space="preserve">Desarrollar habilidades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70">
                <w:pPr>
                  <w:widowControl w:val="0"/>
                  <w:jc w:val="both"/>
                  <w:rPr>
                    <w:rFonts w:ascii="Arial" w:cs="Arial" w:eastAsia="Arial" w:hAnsi="Arial"/>
                  </w:rPr>
                </w:pPr>
                <w:r w:rsidDel="00000000" w:rsidR="00000000" w:rsidRPr="00000000">
                  <w:rPr>
                    <w:rFonts w:ascii="Arial" w:cs="Arial" w:eastAsia="Arial" w:hAnsi="Arial"/>
                    <w:rtl w:val="0"/>
                  </w:rPr>
                  <w:t xml:space="preserve">RAP3.Trabaja conjunta y colaborativamente con otros pares desde diversos roles buscando solucionar problemas en diversos contextos. </w:t>
                </w:r>
              </w:p>
            </w:tc>
            <w:tc>
              <w:tcPr/>
              <w:p w:rsidR="00000000" w:rsidDel="00000000" w:rsidP="00000000" w:rsidRDefault="00000000" w:rsidRPr="00000000" w14:paraId="00000071">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2">
                <w:pPr>
                  <w:widowControl w:val="0"/>
                  <w:jc w:val="both"/>
                  <w:rPr>
                    <w:rFonts w:ascii="Arial" w:cs="Arial" w:eastAsia="Arial" w:hAnsi="Arial"/>
                    <w:b w:val="1"/>
                  </w:rPr>
                </w:pPr>
                <w:r w:rsidDel="00000000" w:rsidR="00000000" w:rsidRPr="00000000">
                  <w:rPr>
                    <w:rFonts w:ascii="Arial" w:cs="Arial" w:eastAsia="Arial" w:hAnsi="Arial"/>
                    <w:b w:val="1"/>
                    <w:rtl w:val="0"/>
                  </w:rPr>
                  <w:t xml:space="preserve">CE3. Formulación y administración de proyectos de ingeniería</w:t>
                </w:r>
              </w:p>
              <w:p w:rsidR="00000000" w:rsidDel="00000000" w:rsidP="00000000" w:rsidRDefault="00000000" w:rsidRPr="00000000" w14:paraId="0000007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74">
                <w:pPr>
                  <w:spacing w:line="276" w:lineRule="auto"/>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075">
                <w:pPr>
                  <w:widowControl w:val="0"/>
                  <w:jc w:val="both"/>
                  <w:rPr>
                    <w:rFonts w:ascii="Arial" w:cs="Arial" w:eastAsia="Arial" w:hAnsi="Arial"/>
                    <w:b w:val="1"/>
                  </w:rPr>
                </w:pPr>
                <w:r w:rsidDel="00000000" w:rsidR="00000000" w:rsidRPr="00000000">
                  <w:rPr>
                    <w:rFonts w:ascii="Arial" w:cs="Arial" w:eastAsia="Arial" w:hAnsi="Arial"/>
                    <w:rtl w:val="0"/>
                  </w:rPr>
                  <w:t xml:space="preserve">Plantear proyectos de ingeniería basado en conceptos y procedimientos básicos en la formulación de estos, reconociendo el papel y responsabilidad disciplinar, social y ética del ingeniero en un contexto de desempeño profesional.</w:t>
                </w:r>
                <w:r w:rsidDel="00000000" w:rsidR="00000000" w:rsidRPr="00000000">
                  <w:rPr>
                    <w:rtl w:val="0"/>
                  </w:rPr>
                </w:r>
              </w:p>
            </w:tc>
            <w:tc>
              <w:tcPr/>
              <w:p w:rsidR="00000000" w:rsidDel="00000000" w:rsidP="00000000" w:rsidRDefault="00000000" w:rsidRPr="00000000" w14:paraId="00000076">
                <w:pPr>
                  <w:widowControl w:val="0"/>
                  <w:jc w:val="both"/>
                  <w:rPr>
                    <w:rFonts w:ascii="Arial" w:cs="Arial" w:eastAsia="Arial" w:hAnsi="Arial"/>
                    <w:b w:val="1"/>
                  </w:rPr>
                </w:pPr>
                <w:r w:rsidDel="00000000" w:rsidR="00000000" w:rsidRPr="00000000">
                  <w:rPr>
                    <w:rFonts w:ascii="Arial" w:cs="Arial" w:eastAsia="Arial" w:hAnsi="Arial"/>
                    <w:rtl w:val="0"/>
                  </w:rPr>
                  <w:t xml:space="preserve">RAP9. Formula proyectos, apoyándose en un marco metodológico pertinente, a partir de las consideraciones del entorno y del análisis de alternativas.</w:t>
                </w:r>
                <w:r w:rsidDel="00000000" w:rsidR="00000000" w:rsidRPr="00000000">
                  <w:rPr>
                    <w:rtl w:val="0"/>
                  </w:rPr>
                </w:r>
              </w:p>
            </w:tc>
            <w:tc>
              <w:tcPr/>
              <w:p w:rsidR="00000000" w:rsidDel="00000000" w:rsidP="00000000" w:rsidRDefault="00000000" w:rsidRPr="00000000" w14:paraId="00000077">
                <w:pPr>
                  <w:widowControl w:val="0"/>
                  <w:jc w:val="both"/>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078">
      <w:pPr>
        <w:keepNext w:val="1"/>
        <w:keepLines w:val="1"/>
        <w:spacing w:after="0" w:before="24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E">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F">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0">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F">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numPr>
                <w:ilvl w:val="0"/>
                <w:numId w:val="1"/>
              </w:numPr>
              <w:spacing w:after="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Introducción  y Ciclo ITIL</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spacing w:after="0" w:lineRule="auto"/>
              <w:ind w:left="135" w:right="897.874015748032" w:firstLine="6.732283464567104"/>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spacing w:after="0" w:lineRule="auto"/>
              <w:jc w:val="both"/>
              <w:rPr>
                <w:rFonts w:ascii="Arial" w:cs="Arial" w:eastAsia="Arial" w:hAnsi="Arial"/>
                <w:sz w:val="18"/>
                <w:szCs w:val="18"/>
              </w:rPr>
            </w:pPr>
            <w:r w:rsidDel="00000000" w:rsidR="00000000" w:rsidRPr="00000000">
              <w:rPr>
                <w:rFonts w:ascii="Arial" w:cs="Arial" w:eastAsia="Arial" w:hAnsi="Arial"/>
                <w:b w:val="1"/>
                <w:sz w:val="20"/>
                <w:szCs w:val="20"/>
                <w:rtl w:val="0"/>
              </w:rPr>
              <w:t xml:space="preserve">52</w:t>
            </w:r>
            <w:r w:rsidDel="00000000" w:rsidR="00000000" w:rsidRPr="00000000">
              <w:rPr>
                <w:rtl w:val="0"/>
              </w:rPr>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keepLines w:val="1"/>
              <w:spacing w:after="0" w:line="240" w:lineRule="auto"/>
              <w:ind w:left="0" w:firstLine="0"/>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1.1 Análisis de Certificaciones TI</w:t>
            </w:r>
            <w:r w:rsidDel="00000000" w:rsidR="00000000" w:rsidRPr="00000000">
              <w:rPr>
                <w:rtl w:val="0"/>
              </w:rPr>
            </w:r>
          </w:p>
        </w:tc>
      </w:tr>
      <w:tr>
        <w:trPr>
          <w:cantSplit w:val="0"/>
          <w:trHeight w:val="259.9804687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keepLines w:val="1"/>
              <w:spacing w:after="0" w:line="240" w:lineRule="auto"/>
              <w:ind w:left="0" w:firstLine="0"/>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1.2 Introducción ITIL</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keepLines w:val="1"/>
              <w:spacing w:after="0" w:line="240" w:lineRule="auto"/>
              <w:ind w:left="0" w:firstLine="0"/>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1.3 Fase Estrategia del Servicio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 </w:t>
            </w:r>
            <w:r w:rsidDel="00000000" w:rsidR="00000000" w:rsidRPr="00000000">
              <w:rPr>
                <w:rFonts w:ascii="Arial" w:cs="Arial" w:eastAsia="Arial" w:hAnsi="Arial"/>
                <w:sz w:val="20"/>
                <w:szCs w:val="20"/>
                <w:rtl w:val="0"/>
              </w:rPr>
              <w:t xml:space="preserve">Fase Diseño del Servicio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1.5 </w:t>
            </w:r>
            <w:r w:rsidDel="00000000" w:rsidR="00000000" w:rsidRPr="00000000">
              <w:rPr>
                <w:rFonts w:ascii="Arial" w:cs="Arial" w:eastAsia="Arial" w:hAnsi="Arial"/>
                <w:sz w:val="20"/>
                <w:szCs w:val="20"/>
                <w:rtl w:val="0"/>
              </w:rPr>
              <w:t xml:space="preserve">Fase Transición del Servicio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 </w:t>
            </w:r>
            <w:r w:rsidDel="00000000" w:rsidR="00000000" w:rsidRPr="00000000">
              <w:rPr>
                <w:rFonts w:ascii="Arial" w:cs="Arial" w:eastAsia="Arial" w:hAnsi="Arial"/>
                <w:sz w:val="20"/>
                <w:szCs w:val="20"/>
                <w:rtl w:val="0"/>
              </w:rPr>
              <w:t xml:space="preserve">Caso contexto empresarial</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1.7 </w:t>
            </w:r>
            <w:r w:rsidDel="00000000" w:rsidR="00000000" w:rsidRPr="00000000">
              <w:rPr>
                <w:rFonts w:ascii="Arial" w:cs="Arial" w:eastAsia="Arial" w:hAnsi="Arial"/>
                <w:sz w:val="20"/>
                <w:szCs w:val="20"/>
                <w:rtl w:val="0"/>
              </w:rPr>
              <w:t xml:space="preserve">Fase Operación  del Servicio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 </w:t>
            </w:r>
            <w:r w:rsidDel="00000000" w:rsidR="00000000" w:rsidRPr="00000000">
              <w:rPr>
                <w:rFonts w:ascii="Arial" w:cs="Arial" w:eastAsia="Arial" w:hAnsi="Arial"/>
                <w:sz w:val="20"/>
                <w:szCs w:val="20"/>
                <w:rtl w:val="0"/>
              </w:rPr>
              <w:t xml:space="preserve">Fase Mejora Continua del  Servicio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RAC3.Trabaja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RAC9. Formula proyectos, apoyándose en un marco metodológico pertinente, a partir de las consideraciones del entorno y del análisis de alternativas.</w:t>
            </w:r>
            <w:r w:rsidDel="00000000" w:rsidR="00000000" w:rsidRPr="00000000">
              <w:rPr>
                <w:rtl w:val="0"/>
              </w:rPr>
            </w:r>
          </w:p>
        </w:tc>
      </w:tr>
    </w:tbl>
    <w:p w:rsidR="00000000" w:rsidDel="00000000" w:rsidP="00000000" w:rsidRDefault="00000000" w:rsidRPr="00000000" w14:paraId="000000D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0">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numPr>
                <w:ilvl w:val="0"/>
                <w:numId w:val="1"/>
              </w:numPr>
              <w:spacing w:after="0" w:lineRule="auto"/>
              <w:ind w:left="720" w:hanging="360"/>
              <w:jc w:val="both"/>
              <w:rPr>
                <w:rFonts w:ascii="Arial" w:cs="Arial" w:eastAsia="Arial" w:hAnsi="Arial"/>
                <w:b w:val="1"/>
                <w:sz w:val="20"/>
                <w:szCs w:val="20"/>
                <w:u w:val="none"/>
              </w:rPr>
            </w:pPr>
            <w:r w:rsidDel="00000000" w:rsidR="00000000" w:rsidRPr="00000000">
              <w:rPr>
                <w:rFonts w:ascii="Arial" w:cs="Arial" w:eastAsia="Arial" w:hAnsi="Arial"/>
                <w:b w:val="1"/>
                <w:sz w:val="20"/>
                <w:szCs w:val="20"/>
                <w:rtl w:val="0"/>
              </w:rPr>
              <w:t xml:space="preserve">Gobierno TI</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keepLines w:val="1"/>
              <w:spacing w:after="0" w:line="240" w:lineRule="auto"/>
              <w:ind w:left="0" w:firstLine="0"/>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2.1 Gobierno de TI: generalidades.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 </w:t>
            </w:r>
            <w:r w:rsidDel="00000000" w:rsidR="00000000" w:rsidRPr="00000000">
              <w:rPr>
                <w:rFonts w:ascii="Arial" w:cs="Arial" w:eastAsia="Arial" w:hAnsi="Arial"/>
                <w:sz w:val="20"/>
                <w:szCs w:val="20"/>
                <w:rtl w:val="0"/>
              </w:rPr>
              <w:t xml:space="preserve">Diferencias entre gestión y  gobierno de TI.</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2.3 </w:t>
            </w:r>
            <w:r w:rsidDel="00000000" w:rsidR="00000000" w:rsidRPr="00000000">
              <w:rPr>
                <w:rFonts w:ascii="Arial" w:cs="Arial" w:eastAsia="Arial" w:hAnsi="Arial"/>
                <w:sz w:val="20"/>
                <w:szCs w:val="20"/>
                <w:rtl w:val="0"/>
              </w:rPr>
              <w:t xml:space="preserve">Marcos de gobierno de TI  y relacionados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 </w:t>
            </w:r>
            <w:r w:rsidDel="00000000" w:rsidR="00000000" w:rsidRPr="00000000">
              <w:rPr>
                <w:rFonts w:ascii="Arial" w:cs="Arial" w:eastAsia="Arial" w:hAnsi="Arial"/>
                <w:sz w:val="20"/>
                <w:szCs w:val="20"/>
                <w:rtl w:val="0"/>
              </w:rPr>
              <w:t xml:space="preserve">El modelo ISO 38500: Fundamentos y Principios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2.5 </w:t>
            </w:r>
            <w:r w:rsidDel="00000000" w:rsidR="00000000" w:rsidRPr="00000000">
              <w:rPr>
                <w:rFonts w:ascii="Arial" w:cs="Arial" w:eastAsia="Arial" w:hAnsi="Arial"/>
                <w:sz w:val="20"/>
                <w:szCs w:val="20"/>
                <w:rtl w:val="0"/>
              </w:rPr>
              <w:t xml:space="preserve">Marcos de referencia (COBIT)</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RAC3.Trabajar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RAC9. Formula proyectos, apoyándose en un marco metodológico pertinente, a partir de las consideraciones del entorno y del análisis de alternativas.</w:t>
            </w:r>
            <w:r w:rsidDel="00000000" w:rsidR="00000000" w:rsidRPr="00000000">
              <w:rPr>
                <w:rtl w:val="0"/>
              </w:rPr>
            </w:r>
          </w:p>
        </w:tc>
      </w:tr>
    </w:tbl>
    <w:p w:rsidR="00000000" w:rsidDel="00000000" w:rsidP="00000000" w:rsidRDefault="00000000" w:rsidRPr="00000000" w14:paraId="0000011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6">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1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1A">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1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1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1D">
      <w:pPr>
        <w:spacing w:after="0" w:line="240" w:lineRule="auto"/>
        <w:jc w:val="both"/>
        <w:rPr>
          <w:rFonts w:ascii="Arial" w:cs="Arial" w:eastAsia="Arial" w:hAnsi="Arial"/>
          <w:sz w:val="10"/>
          <w:szCs w:val="10"/>
        </w:rPr>
      </w:pPr>
      <w:r w:rsidDel="00000000" w:rsidR="00000000" w:rsidRPr="00000000">
        <w:rPr>
          <w:rtl w:val="0"/>
        </w:rPr>
      </w:r>
    </w:p>
    <w:tbl>
      <w:tblPr>
        <w:tblStyle w:val="Table1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1E">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 metodología aplicada para la asignatura de Gestión las Tecnologías de la Información y las Comunicaciones (TIC) de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11F">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El enfoque Dialógico crítico se desarrolla a partir de las siguientes  dimensiones o niveles,, cómo se presenta a continuación: </w:t>
            </w:r>
          </w:p>
          <w:p w:rsidR="00000000" w:rsidDel="00000000" w:rsidP="00000000" w:rsidRDefault="00000000" w:rsidRPr="00000000" w14:paraId="00000120">
            <w:pPr>
              <w:rPr>
                <w:rFonts w:ascii="Arial" w:cs="Arial" w:eastAsia="Arial" w:hAnsi="Arial"/>
              </w:rPr>
            </w:pPr>
            <w:r w:rsidDel="00000000" w:rsidR="00000000" w:rsidRPr="00000000">
              <w:rPr>
                <w:rtl w:val="0"/>
              </w:rPr>
            </w:r>
          </w:p>
          <w:sdt>
            <w:sdtPr>
              <w:lock w:val="contentLocked"/>
              <w:tag w:val="goog_rdk_1"/>
            </w:sdtPr>
            <w:sdtContent>
              <w:tbl>
                <w:tblPr>
                  <w:tblStyle w:val="Table18"/>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6927"/>
                  <w:tblGridChange w:id="0">
                    <w:tblGrid>
                      <w:gridCol w:w="2285"/>
                      <w:gridCol w:w="6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jc w:val="both"/>
                        <w:rPr>
                          <w:rFonts w:ascii="Arial" w:cs="Arial" w:eastAsia="Arial" w:hAnsi="Arial"/>
                        </w:rPr>
                      </w:pPr>
                      <w:r w:rsidDel="00000000" w:rsidR="00000000" w:rsidRPr="00000000">
                        <w:rPr>
                          <w:rFonts w:ascii="Arial" w:cs="Arial" w:eastAsia="Arial" w:hAnsi="Arial"/>
                          <w:rtl w:val="0"/>
                        </w:rPr>
                        <w:t xml:space="preserve">Espacio de presentación de los contenidos del curso junto con la realización de cuestiones prácticas en contextos reales de las organizaciones que despierte el interés en la persona que aprende. Se fomenta el afianzamiento de conocimientos previos estudiados por el aprendiz mediante la discusión en grupo.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jc w:val="both"/>
                        <w:rPr>
                          <w:rFonts w:ascii="Arial" w:cs="Arial" w:eastAsia="Arial" w:hAnsi="Arial"/>
                        </w:rPr>
                      </w:pPr>
                      <w:r w:rsidDel="00000000" w:rsidR="00000000" w:rsidRPr="00000000">
                        <w:rPr>
                          <w:rFonts w:ascii="Arial" w:cs="Arial" w:eastAsia="Arial" w:hAnsi="Arial"/>
                          <w:rtl w:val="0"/>
                        </w:rPr>
                        <w:t xml:space="preserve">La propuesta de adopción de las buenas prácticas de gestión TIC en un caso práctico en las organizaciones fomenta en el estudiante la identificación del portafolio de servicios de TI que  contribuyan a la creación de valor en la organización y al logro de los objetivos estratégicos de las empresas.  El proyecto de aula orienta la interdisciplinariedad con el contexto empresarial mediante la recopilación de información y la generación de evidencias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jc w:val="both"/>
                        <w:rPr>
                          <w:rFonts w:ascii="Arial" w:cs="Arial" w:eastAsia="Arial" w:hAnsi="Arial"/>
                        </w:rPr>
                      </w:pPr>
                      <w:r w:rsidDel="00000000" w:rsidR="00000000" w:rsidRPr="00000000">
                        <w:rPr>
                          <w:rFonts w:ascii="Arial" w:cs="Arial" w:eastAsia="Arial" w:hAnsi="Arial"/>
                          <w:rtl w:val="0"/>
                        </w:rPr>
                        <w:t xml:space="preserve">El proyecto de aula involucra la aplicación de las buenas prácticas de gestión TIC en los ámbitos empresariales y permite la participación activa de todos los participantes así como la crítica constructiva que facilita el trabajo cooperativo y la construcción colectiva de la propuesta de adopción de las buenas prácticas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jc w:val="both"/>
                        <w:rPr>
                          <w:rFonts w:ascii="Arial" w:cs="Arial" w:eastAsia="Arial" w:hAnsi="Arial"/>
                        </w:rPr>
                      </w:pPr>
                      <w:r w:rsidDel="00000000" w:rsidR="00000000" w:rsidRPr="00000000">
                        <w:rPr>
                          <w:rFonts w:ascii="Arial" w:cs="Arial" w:eastAsia="Arial" w:hAnsi="Arial"/>
                          <w:rtl w:val="0"/>
                        </w:rPr>
                        <w:t xml:space="preserve">Producción de una propuesta con la adopción de las buenas prácticas en la gestión de los servicios TIC, que busca plantear un conjunto de procedimientos de gestión de TI para lograr calidad y eficiencia en sus procesos  y a su vez satisfacer las necesidades de las empresas e integrarse a la estrategia de la organización.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jc w:val="both"/>
                        <w:rPr>
                          <w:rFonts w:ascii="Arial" w:cs="Arial" w:eastAsia="Arial" w:hAnsi="Arial"/>
                        </w:rPr>
                      </w:pPr>
                      <w:r w:rsidDel="00000000" w:rsidR="00000000" w:rsidRPr="00000000">
                        <w:rPr>
                          <w:rFonts w:ascii="Arial" w:cs="Arial" w:eastAsia="Arial" w:hAnsi="Arial"/>
                          <w:rtl w:val="0"/>
                        </w:rPr>
                        <w:t xml:space="preserve">Con la actividad del caso de estudio en un sector económico real el estudiante está en capacidad de proponer la adopción de las buenas prácticas en la gestión de los servicios TIC que se articulen al proceso de transformación digital de los negocios.</w:t>
                      </w:r>
                    </w:p>
                  </w:tc>
                </w:tr>
              </w:tbl>
            </w:sdtContent>
          </w:sdt>
          <w:p w:rsidR="00000000" w:rsidDel="00000000" w:rsidP="00000000" w:rsidRDefault="00000000" w:rsidRPr="00000000" w14:paraId="0000012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0">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1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31">
            <w:pPr>
              <w:keepNext w:val="1"/>
              <w:keepLines w:val="1"/>
              <w:numPr>
                <w:ilvl w:val="0"/>
                <w:numId w:val="4"/>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 </w:t>
            </w:r>
          </w:p>
        </w:tc>
      </w:tr>
    </w:tbl>
    <w:p w:rsidR="00000000" w:rsidDel="00000000" w:rsidP="00000000" w:rsidRDefault="00000000" w:rsidRPr="00000000" w14:paraId="00000132">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2"/>
      </w:sdtPr>
      <w:sdtContent>
        <w:tbl>
          <w:tblPr>
            <w:tblStyle w:val="Table20"/>
            <w:tblW w:w="10215.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15"/>
            <w:tblGridChange w:id="0">
              <w:tblGrid>
                <w:gridCol w:w="10215"/>
              </w:tblGrid>
            </w:tblGridChange>
          </w:tblGrid>
          <w:tr>
            <w:trPr>
              <w:cantSplit w:val="0"/>
              <w:trHeight w:val="549" w:hRule="atLeast"/>
              <w:tblHeader w:val="0"/>
            </w:trPr>
            <w:tc>
              <w:tcPr/>
              <w:p w:rsidR="00000000" w:rsidDel="00000000" w:rsidP="00000000" w:rsidRDefault="00000000" w:rsidRPr="00000000" w14:paraId="00000133">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el pensamiento crítico a través de casos en contextos organizacionales en diferentes sectores económicos de la ciudad, de tal manera que el estudiante aplique un plan de adopción de las buenas prácticas vigentes bajo la guía metodológica de marcos internacionales  </w:t>
                </w:r>
              </w:p>
            </w:tc>
          </w:tr>
        </w:tbl>
      </w:sdtContent>
    </w:sdt>
    <w:p w:rsidR="00000000" w:rsidDel="00000000" w:rsidP="00000000" w:rsidRDefault="00000000" w:rsidRPr="00000000" w14:paraId="00000134">
      <w:pPr>
        <w:keepNext w:val="1"/>
        <w:keepLines w:val="1"/>
        <w:spacing w:after="0" w:before="240" w:line="240" w:lineRule="auto"/>
        <w:ind w:left="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3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36">
                <w:pPr>
                  <w:keepNext w:val="1"/>
                  <w:keepLines w:val="1"/>
                  <w:numPr>
                    <w:ilvl w:val="0"/>
                    <w:numId w:val="4"/>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 </w:t>
                </w:r>
              </w:p>
            </w:tc>
          </w:tr>
        </w:tbl>
      </w:sdtContent>
    </w:sdt>
    <w:p w:rsidR="00000000" w:rsidDel="00000000" w:rsidP="00000000" w:rsidRDefault="00000000" w:rsidRPr="00000000" w14:paraId="00000137">
      <w:pPr>
        <w:jc w:val="both"/>
        <w:rPr>
          <w:rFonts w:ascii="Arial" w:cs="Arial" w:eastAsia="Arial" w:hAnsi="Arial"/>
          <w:b w:val="1"/>
          <w:sz w:val="20"/>
          <w:szCs w:val="20"/>
        </w:rPr>
      </w:pPr>
      <w:r w:rsidDel="00000000" w:rsidR="00000000" w:rsidRPr="00000000">
        <w:rPr>
          <w:rtl w:val="0"/>
        </w:rPr>
      </w:r>
    </w:p>
    <w:sdt>
      <w:sdtPr>
        <w:lock w:val="contentLocked"/>
        <w:tag w:val="goog_rdk_4"/>
      </w:sdtPr>
      <w:sdtContent>
        <w:tbl>
          <w:tblPr>
            <w:tblStyle w:val="Table22"/>
            <w:tblW w:w="9356.0" w:type="dxa"/>
            <w:jc w:val="left"/>
            <w:tblInd w:w="-2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38">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39">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3A">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3B">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3C">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4456.430664062501" w:hRule="atLeast"/>
              <w:tblHeader w:val="0"/>
            </w:trPr>
            <w:tc>
              <w:tcPr/>
              <w:p w:rsidR="00000000" w:rsidDel="00000000" w:rsidP="00000000" w:rsidRDefault="00000000" w:rsidRPr="00000000" w14:paraId="0000013D">
                <w:pPr>
                  <w:widowControl w:val="0"/>
                  <w:jc w:val="both"/>
                  <w:rPr>
                    <w:rFonts w:ascii="Arial" w:cs="Arial" w:eastAsia="Arial" w:hAnsi="Arial"/>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p>
              <w:p w:rsidR="00000000" w:rsidDel="00000000" w:rsidP="00000000" w:rsidRDefault="00000000" w:rsidRPr="00000000" w14:paraId="0000013E">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13F">
                <w:pPr>
                  <w:widowControl w:val="0"/>
                  <w:jc w:val="both"/>
                  <w:rPr>
                    <w:rFonts w:ascii="Arial" w:cs="Arial" w:eastAsia="Arial" w:hAnsi="Arial"/>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p>
              <w:p w:rsidR="00000000" w:rsidDel="00000000" w:rsidP="00000000" w:rsidRDefault="00000000" w:rsidRPr="00000000" w14:paraId="0000014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141">
                <w:pPr>
                  <w:widowControl w:val="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2">
                <w:pPr>
                  <w:spacing w:line="276" w:lineRule="auto"/>
                  <w:jc w:val="both"/>
                  <w:rPr>
                    <w:rFonts w:ascii="Arial" w:cs="Arial" w:eastAsia="Arial" w:hAnsi="Arial"/>
                  </w:rPr>
                </w:pPr>
                <w:r w:rsidDel="00000000" w:rsidR="00000000" w:rsidRPr="00000000">
                  <w:rPr>
                    <w:rFonts w:ascii="Arial" w:cs="Arial" w:eastAsia="Arial" w:hAnsi="Arial"/>
                    <w:rtl w:val="0"/>
                  </w:rPr>
                  <w:t xml:space="preserve">Desarrolla la comprensión crítica de las bases conceptuales para diseñar, adoptar y gestionar el portafolio de servicios TIC y evalúa la factibilidad en la  aplicación de las buenas prácticas de gestión TIC en contextos empresariales</w:t>
                </w:r>
              </w:p>
              <w:p w:rsidR="00000000" w:rsidDel="00000000" w:rsidP="00000000" w:rsidRDefault="00000000" w:rsidRPr="00000000" w14:paraId="0000014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44">
                <w:pPr>
                  <w:spacing w:line="25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45">
                <w:pPr>
                  <w:spacing w:line="276" w:lineRule="auto"/>
                  <w:jc w:val="both"/>
                  <w:rPr>
                    <w:rFonts w:ascii="Arial" w:cs="Arial" w:eastAsia="Arial" w:hAnsi="Arial"/>
                  </w:rPr>
                </w:pPr>
                <w:r w:rsidDel="00000000" w:rsidR="00000000" w:rsidRPr="00000000">
                  <w:rPr>
                    <w:rFonts w:ascii="Arial" w:cs="Arial" w:eastAsia="Arial" w:hAnsi="Arial"/>
                    <w:rtl w:val="0"/>
                  </w:rPr>
                  <w:t xml:space="preserve">Indagación y preparación previa de los conceptos mediante lecturas  y  realización de cuestiones prácticas en contextos reales de las organizaciones en correspondencia a su desempeño futuro como líder de tecnología.</w:t>
                </w:r>
              </w:p>
              <w:p w:rsidR="00000000" w:rsidDel="00000000" w:rsidP="00000000" w:rsidRDefault="00000000" w:rsidRPr="00000000" w14:paraId="00000146">
                <w:pPr>
                  <w:spacing w:line="27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47">
                <w:pPr>
                  <w:spacing w:line="276" w:lineRule="auto"/>
                  <w:jc w:val="both"/>
                  <w:rPr>
                    <w:rFonts w:ascii="Arial" w:cs="Arial" w:eastAsia="Arial" w:hAnsi="Arial"/>
                  </w:rPr>
                </w:pPr>
                <w:r w:rsidDel="00000000" w:rsidR="00000000" w:rsidRPr="00000000">
                  <w:rPr>
                    <w:rFonts w:ascii="Arial" w:cs="Arial" w:eastAsia="Arial" w:hAnsi="Arial"/>
                    <w:rtl w:val="0"/>
                  </w:rPr>
                  <w:t xml:space="preserve">Cuestionario en plataforma digital para evaluar conceptos aplicables a cuestiones prácticas del contexto empresarial </w:t>
                </w:r>
              </w:p>
            </w:tc>
            <w:tc>
              <w:tcPr/>
              <w:p w:rsidR="00000000" w:rsidDel="00000000" w:rsidP="00000000" w:rsidRDefault="00000000" w:rsidRPr="00000000" w14:paraId="00000148">
                <w:pPr>
                  <w:jc w:val="both"/>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149">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13.1249999999995" w:hRule="atLeast"/>
              <w:tblHeader w:val="0"/>
            </w:trPr>
            <w:tc>
              <w:tcPr/>
              <w:p w:rsidR="00000000" w:rsidDel="00000000" w:rsidP="00000000" w:rsidRDefault="00000000" w:rsidRPr="00000000" w14:paraId="0000014A">
                <w:pPr>
                  <w:widowControl w:val="0"/>
                  <w:jc w:val="both"/>
                  <w:rPr>
                    <w:rFonts w:ascii="Arial" w:cs="Arial" w:eastAsia="Arial" w:hAnsi="Arial"/>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p>
              <w:p w:rsidR="00000000" w:rsidDel="00000000" w:rsidP="00000000" w:rsidRDefault="00000000" w:rsidRPr="00000000" w14:paraId="0000014B">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14C">
                <w:pPr>
                  <w:widowControl w:val="0"/>
                  <w:jc w:val="both"/>
                  <w:rPr>
                    <w:rFonts w:ascii="Arial" w:cs="Arial" w:eastAsia="Arial" w:hAnsi="Arial"/>
                    <w:b w:val="1"/>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r w:rsidDel="00000000" w:rsidR="00000000" w:rsidRPr="00000000">
                  <w:rPr>
                    <w:rtl w:val="0"/>
                  </w:rPr>
                </w:r>
              </w:p>
            </w:tc>
            <w:tc>
              <w:tcPr/>
              <w:p w:rsidR="00000000" w:rsidDel="00000000" w:rsidP="00000000" w:rsidRDefault="00000000" w:rsidRPr="00000000" w14:paraId="0000014D">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Selecciona un caso del ámbito empresarial y presenta una avance en la propuesta de la adopción de buenas prácticas de gestión TIC del   portafolio de servicios .</w:t>
                </w:r>
              </w:p>
            </w:tc>
            <w:tc>
              <w:tcPr/>
              <w:p w:rsidR="00000000" w:rsidDel="00000000" w:rsidP="00000000" w:rsidRDefault="00000000" w:rsidRPr="00000000" w14:paraId="0000014E">
                <w:pPr>
                  <w:spacing w:line="276" w:lineRule="auto"/>
                  <w:jc w:val="both"/>
                  <w:rPr>
                    <w:rFonts w:ascii="Arial" w:cs="Arial" w:eastAsia="Arial" w:hAnsi="Arial"/>
                  </w:rPr>
                </w:pPr>
                <w:r w:rsidDel="00000000" w:rsidR="00000000" w:rsidRPr="00000000">
                  <w:rPr>
                    <w:rFonts w:ascii="Arial" w:cs="Arial" w:eastAsia="Arial" w:hAnsi="Arial"/>
                    <w:rtl w:val="0"/>
                  </w:rPr>
                  <w:t xml:space="preserve">Sustentación oral y escrita del avance en la propuesta de adopción de buenas prácticas de gestión TIC  de acuerdo all marco metodológico,</w:t>
                </w:r>
              </w:p>
            </w:tc>
            <w:tc>
              <w:tcPr/>
              <w:p w:rsidR="00000000" w:rsidDel="00000000" w:rsidP="00000000" w:rsidRDefault="00000000" w:rsidRPr="00000000" w14:paraId="0000014F">
                <w:pPr>
                  <w:spacing w:line="276" w:lineRule="auto"/>
                  <w:jc w:val="both"/>
                  <w:rPr>
                    <w:rFonts w:ascii="Arial" w:cs="Arial" w:eastAsia="Arial" w:hAnsi="Arial"/>
                  </w:rPr>
                </w:pPr>
                <w:r w:rsidDel="00000000" w:rsidR="00000000" w:rsidRPr="00000000">
                  <w:rPr>
                    <w:rFonts w:ascii="Arial" w:cs="Arial" w:eastAsia="Arial" w:hAnsi="Arial"/>
                    <w:rtl w:val="0"/>
                  </w:rPr>
                  <w:t xml:space="preserve">Rúbrica para evaluar Informe consolidado de avance</w:t>
                </w:r>
              </w:p>
            </w:tc>
            <w:tc>
              <w:tcPr/>
              <w:p w:rsidR="00000000" w:rsidDel="00000000" w:rsidP="00000000" w:rsidRDefault="00000000" w:rsidRPr="00000000" w14:paraId="00000150">
                <w:pPr>
                  <w:jc w:val="both"/>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15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5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53">
                <w:pPr>
                  <w:jc w:val="both"/>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54">
                <w:pPr>
                  <w:widowControl w:val="0"/>
                  <w:jc w:val="both"/>
                  <w:rPr>
                    <w:rFonts w:ascii="Arial" w:cs="Arial" w:eastAsia="Arial" w:hAnsi="Arial"/>
                    <w:b w:val="1"/>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r w:rsidDel="00000000" w:rsidR="00000000" w:rsidRPr="00000000">
                  <w:rPr>
                    <w:rtl w:val="0"/>
                  </w:rPr>
                </w:r>
              </w:p>
            </w:tc>
            <w:tc>
              <w:tcPr/>
              <w:p w:rsidR="00000000" w:rsidDel="00000000" w:rsidP="00000000" w:rsidRDefault="00000000" w:rsidRPr="00000000" w14:paraId="00000155">
                <w:pPr>
                  <w:spacing w:line="276" w:lineRule="auto"/>
                  <w:jc w:val="both"/>
                  <w:rPr>
                    <w:rFonts w:ascii="Arial" w:cs="Arial" w:eastAsia="Arial" w:hAnsi="Arial"/>
                    <w:b w:val="1"/>
                  </w:rPr>
                </w:pPr>
                <w:r w:rsidDel="00000000" w:rsidR="00000000" w:rsidRPr="00000000">
                  <w:rPr>
                    <w:rFonts w:ascii="Arial" w:cs="Arial" w:eastAsia="Arial" w:hAnsi="Arial"/>
                    <w:rtl w:val="0"/>
                  </w:rPr>
                  <w:t xml:space="preserve">Presenta las actividades que facilita  el trabajo cooperativo y fomenta la discusión sobre asuntos planteados en clase</w:t>
                </w:r>
                <w:r w:rsidDel="00000000" w:rsidR="00000000" w:rsidRPr="00000000">
                  <w:rPr>
                    <w:rtl w:val="0"/>
                  </w:rPr>
                </w:r>
              </w:p>
            </w:tc>
            <w:tc>
              <w:tcPr/>
              <w:p w:rsidR="00000000" w:rsidDel="00000000" w:rsidP="00000000" w:rsidRDefault="00000000" w:rsidRPr="00000000" w14:paraId="00000156">
                <w:pPr>
                  <w:spacing w:line="276" w:lineRule="auto"/>
                  <w:jc w:val="both"/>
                  <w:rPr>
                    <w:rFonts w:ascii="Arial" w:cs="Arial" w:eastAsia="Arial" w:hAnsi="Arial"/>
                  </w:rPr>
                </w:pPr>
                <w:r w:rsidDel="00000000" w:rsidR="00000000" w:rsidRPr="00000000">
                  <w:rPr>
                    <w:rFonts w:ascii="Arial" w:cs="Arial" w:eastAsia="Arial" w:hAnsi="Arial"/>
                    <w:rtl w:val="0"/>
                  </w:rPr>
                  <w:t xml:space="preserve">Realiza las actividades que contribuyen a la completitud y complementa el caso práctico y la comprensión de los principios de Gobernanza de TI</w:t>
                </w:r>
              </w:p>
            </w:tc>
            <w:tc>
              <w:tcPr/>
              <w:p w:rsidR="00000000" w:rsidDel="00000000" w:rsidP="00000000" w:rsidRDefault="00000000" w:rsidRPr="00000000" w14:paraId="00000157">
                <w:pPr>
                  <w:spacing w:line="276" w:lineRule="auto"/>
                  <w:jc w:val="both"/>
                  <w:rPr>
                    <w:rFonts w:ascii="Arial" w:cs="Arial" w:eastAsia="Arial" w:hAnsi="Arial"/>
                  </w:rPr>
                </w:pPr>
                <w:r w:rsidDel="00000000" w:rsidR="00000000" w:rsidRPr="00000000">
                  <w:rPr>
                    <w:rFonts w:ascii="Arial" w:cs="Arial" w:eastAsia="Arial" w:hAnsi="Arial"/>
                    <w:rtl w:val="0"/>
                  </w:rPr>
                  <w:t xml:space="preserve">Desempeño de las actividades para verificar las capacidades desarrolladas.</w:t>
                </w:r>
              </w:p>
            </w:tc>
            <w:tc>
              <w:tcPr/>
              <w:p w:rsidR="00000000" w:rsidDel="00000000" w:rsidP="00000000" w:rsidRDefault="00000000" w:rsidRPr="00000000" w14:paraId="00000158">
                <w:pPr>
                  <w:jc w:val="both"/>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159">
                <w:pPr>
                  <w:widowControl w:val="0"/>
                  <w:jc w:val="both"/>
                  <w:rPr>
                    <w:rFonts w:ascii="Arial" w:cs="Arial" w:eastAsia="Arial" w:hAnsi="Arial"/>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p>
            </w:tc>
            <w:tc>
              <w:tcPr/>
              <w:p w:rsidR="00000000" w:rsidDel="00000000" w:rsidP="00000000" w:rsidRDefault="00000000" w:rsidRPr="00000000" w14:paraId="0000015A">
                <w:pPr>
                  <w:spacing w:after="200" w:line="256" w:lineRule="auto"/>
                  <w:ind w:left="255" w:hanging="360"/>
                  <w:jc w:val="both"/>
                  <w:rPr>
                    <w:rFonts w:ascii="Arial" w:cs="Arial" w:eastAsia="Arial" w:hAnsi="Arial"/>
                  </w:rPr>
                </w:pPr>
                <w:r w:rsidDel="00000000" w:rsidR="00000000" w:rsidRPr="00000000">
                  <w:rPr>
                    <w:rFonts w:ascii="Arial" w:cs="Arial" w:eastAsia="Arial" w:hAnsi="Arial"/>
                    <w:rtl w:val="0"/>
                  </w:rPr>
                  <w:t xml:space="preserve">Produce contenidos digitales pertinentes y creativos que permitan el financiamiento del conocimiento sobre Gobernanza tecnológica</w:t>
                </w:r>
              </w:p>
            </w:tc>
            <w:tc>
              <w:tcPr/>
              <w:p w:rsidR="00000000" w:rsidDel="00000000" w:rsidP="00000000" w:rsidRDefault="00000000" w:rsidRPr="00000000" w14:paraId="0000015B">
                <w:pPr>
                  <w:spacing w:line="276" w:lineRule="auto"/>
                  <w:jc w:val="both"/>
                  <w:rPr>
                    <w:rFonts w:ascii="Arial" w:cs="Arial" w:eastAsia="Arial" w:hAnsi="Arial"/>
                  </w:rPr>
                </w:pPr>
                <w:r w:rsidDel="00000000" w:rsidR="00000000" w:rsidRPr="00000000">
                  <w:rPr>
                    <w:rFonts w:ascii="Arial" w:cs="Arial" w:eastAsia="Arial" w:hAnsi="Arial"/>
                    <w:rtl w:val="0"/>
                  </w:rPr>
                  <w:t xml:space="preserve">Difusión de los contenidos digitales sobre Gobernanza tecnológica.</w:t>
                </w:r>
              </w:p>
            </w:tc>
            <w:tc>
              <w:tcPr/>
              <w:p w:rsidR="00000000" w:rsidDel="00000000" w:rsidP="00000000" w:rsidRDefault="00000000" w:rsidRPr="00000000" w14:paraId="0000015C">
                <w:pPr>
                  <w:spacing w:line="276" w:lineRule="auto"/>
                  <w:jc w:val="both"/>
                  <w:rPr>
                    <w:rFonts w:ascii="Arial" w:cs="Arial" w:eastAsia="Arial" w:hAnsi="Arial"/>
                  </w:rPr>
                </w:pPr>
                <w:r w:rsidDel="00000000" w:rsidR="00000000" w:rsidRPr="00000000">
                  <w:rPr>
                    <w:rFonts w:ascii="Arial" w:cs="Arial" w:eastAsia="Arial" w:hAnsi="Arial"/>
                    <w:rtl w:val="0"/>
                  </w:rPr>
                  <w:t xml:space="preserve">Cuestionario en plataforma digital para evaluar conceptos de Gobierno TI aplicables a cuestiones prácticas de la realidad.</w:t>
                </w:r>
              </w:p>
            </w:tc>
            <w:tc>
              <w:tcPr/>
              <w:p w:rsidR="00000000" w:rsidDel="00000000" w:rsidP="00000000" w:rsidRDefault="00000000" w:rsidRPr="00000000" w14:paraId="0000015D">
                <w:pPr>
                  <w:jc w:val="both"/>
                  <w:rPr>
                    <w:rFonts w:ascii="Arial" w:cs="Arial" w:eastAsia="Arial" w:hAnsi="Arial"/>
                    <w:b w:val="1"/>
                  </w:rPr>
                </w:pPr>
                <w:r w:rsidDel="00000000" w:rsidR="00000000" w:rsidRPr="00000000">
                  <w:rPr>
                    <w:rFonts w:ascii="Arial" w:cs="Arial" w:eastAsia="Arial" w:hAnsi="Arial"/>
                    <w:b w:val="1"/>
                    <w:rtl w:val="0"/>
                  </w:rPr>
                  <w:t xml:space="preserve">Examen final</w:t>
                </w:r>
              </w:p>
            </w:tc>
          </w:tr>
        </w:tbl>
      </w:sdtContent>
    </w:sdt>
    <w:p w:rsidR="00000000" w:rsidDel="00000000" w:rsidP="00000000" w:rsidRDefault="00000000" w:rsidRPr="00000000" w14:paraId="0000015E">
      <w:pPr>
        <w:keepNext w:val="1"/>
        <w:keepLines w:val="1"/>
        <w:spacing w:after="0" w:before="240" w:line="240" w:lineRule="auto"/>
        <w:ind w:left="72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5F">
      <w:pPr>
        <w:keepNext w:val="1"/>
        <w:keepLines w:val="1"/>
        <w:spacing w:after="0" w:before="240" w:line="240" w:lineRule="auto"/>
        <w:ind w:left="72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0">
      <w:pPr>
        <w:keepNext w:val="1"/>
        <w:keepLines w:val="1"/>
        <w:spacing w:after="0" w:before="240" w:line="240" w:lineRule="auto"/>
        <w:ind w:left="72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1">
      <w:pPr>
        <w:keepNext w:val="1"/>
        <w:keepLines w:val="1"/>
        <w:spacing w:after="0" w:before="240" w:line="240" w:lineRule="auto"/>
        <w:ind w:left="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2">
      <w:pPr>
        <w:keepNext w:val="1"/>
        <w:keepLines w:val="1"/>
        <w:spacing w:after="0" w:before="240" w:line="240" w:lineRule="auto"/>
        <w:ind w:left="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3">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5"/>
      </w:sdtPr>
      <w:sdtContent>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64">
                <w:pPr>
                  <w:keepNext w:val="1"/>
                  <w:keepLines w:val="1"/>
                  <w:numPr>
                    <w:ilvl w:val="0"/>
                    <w:numId w:val="4"/>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65">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166">
      <w:pPr>
        <w:spacing w:after="0" w:line="240" w:lineRule="auto"/>
        <w:rPr>
          <w:rFonts w:ascii="Arial" w:cs="Arial" w:eastAsia="Arial" w:hAnsi="Arial"/>
          <w:b w:val="1"/>
          <w:sz w:val="18"/>
          <w:szCs w:val="18"/>
        </w:rPr>
      </w:pPr>
      <w:r w:rsidDel="00000000" w:rsidR="00000000" w:rsidRPr="00000000">
        <w:rPr>
          <w:rtl w:val="0"/>
        </w:rPr>
      </w:r>
    </w:p>
    <w:tbl>
      <w:tblPr>
        <w:tblStyle w:val="Table24"/>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67">
            <w:pPr>
              <w:numPr>
                <w:ilvl w:val="0"/>
                <w:numId w:val="2"/>
              </w:numPr>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de servicios en el sistema informático, Moreno, J.C. &amp; Ramos Pérez, A.F. RA-MA Editorial. 2014</w:t>
            </w:r>
          </w:p>
          <w:p w:rsidR="00000000" w:rsidDel="00000000" w:rsidP="00000000" w:rsidRDefault="00000000" w:rsidRPr="00000000" w14:paraId="00000168">
            <w:pPr>
              <w:numPr>
                <w:ilvl w:val="0"/>
                <w:numId w:val="2"/>
              </w:num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Securing an IT Organization through Governance, Risk Management, and Audit. Ken E. Sigler, James L. Rainey. CRC Press. </w:t>
            </w:r>
            <w:r w:rsidDel="00000000" w:rsidR="00000000" w:rsidRPr="00000000">
              <w:rPr>
                <w:rtl w:val="0"/>
              </w:rPr>
            </w:r>
          </w:p>
          <w:p w:rsidR="00000000" w:rsidDel="00000000" w:rsidP="00000000" w:rsidRDefault="00000000" w:rsidRPr="00000000" w14:paraId="00000169">
            <w:pPr>
              <w:numPr>
                <w:ilvl w:val="0"/>
                <w:numId w:val="2"/>
              </w:num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Manual ITIL V3. Biable Management.</w:t>
            </w:r>
          </w:p>
          <w:p w:rsidR="00000000" w:rsidDel="00000000" w:rsidP="00000000" w:rsidRDefault="00000000" w:rsidRPr="00000000" w14:paraId="0000016A">
            <w:pPr>
              <w:numPr>
                <w:ilvl w:val="0"/>
                <w:numId w:val="2"/>
              </w:num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de servicios de TI  basado en ITIL V3 Guía de bolsillo. Van  Haren, 2008.</w:t>
            </w:r>
          </w:p>
          <w:p w:rsidR="00000000" w:rsidDel="00000000" w:rsidP="00000000" w:rsidRDefault="00000000" w:rsidRPr="00000000" w14:paraId="0000016B">
            <w:pPr>
              <w:widowControl w:val="0"/>
              <w:numPr>
                <w:ilvl w:val="0"/>
                <w:numId w:val="2"/>
              </w:num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ciudad inteligente y la gestión de las TIC. Caso de estudio: ciudad de Santa Marta. Camargo, L., Gómez, J., &amp; Gasca, M. Editorial UniMagdalena, 2020.</w:t>
            </w:r>
            <w:r w:rsidDel="00000000" w:rsidR="00000000" w:rsidRPr="00000000">
              <w:rPr>
                <w:rtl w:val="0"/>
              </w:rPr>
            </w:r>
          </w:p>
        </w:tc>
      </w:tr>
    </w:tbl>
    <w:p w:rsidR="00000000" w:rsidDel="00000000" w:rsidP="00000000" w:rsidRDefault="00000000" w:rsidRPr="00000000" w14:paraId="0000016C">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5"/>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17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178">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7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7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7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D">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7E">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7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18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182">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8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8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8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8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188">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89">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18B">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6"/>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7"/>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9F4S83EMCxnYjKjtS5aBqw/TQ==">CgMxLjAaHwoBMBIaChgICVIUChJ0YWJsZS5rOHc1ZTdvNGtqNzUaHwoBMRIaChgICVIUChJ0YWJsZS5jb2FjeGtxNW10bzQaHwoBMhIaChgICVIUChJ0YWJsZS5uZm1hMjRzdXlnNjIaHwoBMxIaChgICVIUChJ0YWJsZS55eTA4ZmJzc3BldWgaHwoBNBIaChgICVIUChJ0YWJsZS51ZXhzaTd2Mmk0NzUaHwoBNRIaChgICVIUChJ0YWJsZS45bzJjeW1jNjhpc3MyCGguZ2pkZ3hzOAByITEzb1haVXRZcGhvYlFYU09rc3pQMWlQUXFYTHdxZlV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