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0" w:after="40" w:line="252" w:lineRule="auto"/>
        <w:jc w:val="center"/>
      </w:pPr>
      <w:r>
        <w:rPr>
          <w:rFonts w:ascii="Arial" w:hAnsi="Arial"/>
          <w:b/>
          <w:sz w:val="44"/>
        </w:rPr>
        <w:t>Caso de Uso</w:t>
      </w:r>
    </w:p>
    <w:p>
      <w:pPr>
        <w:keepNext w:val="0"/>
        <w:widowControl/>
        <w:spacing w:before="0" w:after="40" w:line="252" w:lineRule="auto"/>
        <w:jc w:val="center"/>
      </w:pPr>
      <w:r>
        <w:rPr>
          <w:rFonts w:ascii="Arial" w:hAnsi="Arial"/>
          <w:b/>
          <w:sz w:val="40"/>
        </w:rPr>
        <w:t>Sistema de Gestión de Quejas</w:t>
      </w:r>
    </w:p>
    <w:p>
      <w:pPr>
        <w:keepNext w:val="0"/>
        <w:widowControl/>
        <w:spacing w:before="0" w:after="240" w:line="252" w:lineRule="auto"/>
        <w:jc w:val="center"/>
      </w:pPr>
      <w:r>
        <w:rPr>
          <w:rFonts w:ascii="Arial" w:hAnsi="Arial"/>
          <w:b/>
          <w:sz w:val="36"/>
        </w:rPr>
        <w:t>para Empresa de Comida Rápida</w:t>
      </w:r>
    </w:p>
    <w:p>
      <w:pPr>
        <w:keepNext w:val="0"/>
        <w:widowControl/>
        <w:spacing w:before="0" w:after="320" w:line="252" w:lineRule="auto"/>
        <w:jc w:val="center"/>
      </w:pPr>
      <w:r>
        <w:rPr>
          <w:rFonts w:ascii="Arial" w:hAnsi="Arial"/>
          <w:b/>
          <w:sz w:val="30"/>
        </w:rPr>
        <w:t>General del Sistema</w:t>
      </w:r>
    </w:p>
    <w:p>
      <w:pPr>
        <w:keepNext w:val="0"/>
        <w:widowControl/>
        <w:spacing w:before="0" w:after="480" w:line="252" w:lineRule="auto"/>
        <w:jc w:val="center"/>
      </w:pPr>
      <w:r>
        <w:rPr>
          <w:rFonts w:ascii="Arial" w:hAnsi="Arial"/>
          <w:b/>
          <w:sz w:val="22"/>
        </w:rPr>
        <w:t>Versión 1.0</w:t>
      </w:r>
    </w:p>
    <w:p>
      <w:pPr>
        <w:keepNext w:val="0"/>
        <w:widowControl/>
        <w:spacing w:before="0" w:after="320" w:line="252" w:lineRule="auto"/>
        <w:jc w:val="center"/>
      </w:pPr>
      <w:r>
        <w:rPr>
          <w:rFonts w:ascii="Arial" w:hAnsi="Arial"/>
          <w:b/>
          <w:sz w:val="20"/>
        </w:rPr>
        <w:t>Elaborado por: ______________________________</w:t>
      </w:r>
    </w:p>
    <w:p>
      <w:pPr>
        <w:keepNext w:val="0"/>
        <w:widowControl/>
        <w:spacing w:before="0" w:after="520" w:line="252" w:lineRule="auto"/>
        <w:jc w:val="center"/>
      </w:pPr>
      <w:r>
        <w:rPr>
          <w:rFonts w:ascii="Arial" w:hAnsi="Arial"/>
          <w:b/>
          <w:sz w:val="20"/>
        </w:rPr>
        <w:t>Fecha Elaboración: 13/07/2026</w:t>
      </w:r>
    </w:p>
    <w:p>
      <w:pPr>
        <w:keepNext w:val="0"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Historial Revisiones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304"/>
            <w:vAlign w:val="center"/>
            <w:shd w:fill="EAF2F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Nombre</w:t>
            </w:r>
          </w:p>
        </w:tc>
        <w:tc>
          <w:tcPr>
            <w:tcW w:type="dxa" w:w="1584"/>
            <w:vAlign w:val="center"/>
            <w:shd w:fill="EAF2F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Fecha</w:t>
            </w:r>
          </w:p>
        </w:tc>
        <w:tc>
          <w:tcPr>
            <w:tcW w:type="dxa" w:w="4032"/>
            <w:vAlign w:val="center"/>
            <w:shd w:fill="EAF2F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Descripción del Cambio</w:t>
            </w:r>
          </w:p>
        </w:tc>
        <w:tc>
          <w:tcPr>
            <w:tcW w:type="dxa" w:w="1152"/>
            <w:vAlign w:val="center"/>
            <w:shd w:fill="EAF2F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Versión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________________________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13/07/2026</w:t>
            </w:r>
          </w:p>
        </w:tc>
        <w:tc>
          <w:tcPr>
            <w:tcW w:type="dxa" w:w="40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Definición inicial del documento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1.0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widowControl/>
        <w:spacing w:after="0"/>
      </w:pPr>
    </w:p>
    <w:p>
      <w:pPr>
        <w:widowControl/>
      </w:pPr>
      <w:r>
        <w:rPr>
          <w:rFonts w:ascii="Arial" w:hAnsi="Arial"/>
          <w:sz w:val="20"/>
        </w:rPr>
        <w:br w:type="page"/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1. Introducción</w:t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1.1. Objetivo.</w:t>
      </w:r>
    </w:p>
    <w:p>
      <w:pPr>
        <w:keepNext w:val="0"/>
        <w:widowControl/>
        <w:spacing w:before="0" w:after="160" w:line="252" w:lineRule="auto"/>
        <w:jc w:val="both"/>
      </w:pPr>
      <w:r>
        <w:rPr>
          <w:rFonts w:ascii="Arial" w:hAnsi="Arial"/>
          <w:b w:val="0"/>
          <w:sz w:val="20"/>
        </w:rPr>
        <w:t>El presente Caso de Uso tiene como objetivo describir la interacción general de los actores con el Sistema de Gestión de Quejas para una Empresa de Comida Rápida, incluyendo el acceso a los módulos, el registro y consulta de casos, la administración, el seguimiento, las notificaciones, los reportes y la auditoría. Este documento funciona como punto de referencia para los casos de uso específicos del proyecto.</w:t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2. Definición Caso de Uso</w:t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2.1. Actores.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2.1.1. Sistema de Gestión de Quejas para Empresa de Comida Rápida.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2.1.2. Sistema informático.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2.1.3. Cliente RN01.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2.1.4. Usuario Agente de Atención RN01.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2.1.5. Usuario Supervisor RN01.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2.1.6. Usuario Administrador RN01.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2.1.7. Usuario Auditor RN01.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2.1.8. Servicio de correo electrónico y notificaciones.</w:t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2.2. Precondiciones.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2.2.1. Que el sistema se encuentre activo y disponible.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2.2.2. Que exista conexión con la base de datos y con los servicios de notificación.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2.2.3. Que los catálogos de tipos de caso, prioridades, estados y sucursales se encuentren configurados.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2.2.4. Que los usuarios internos estén registrados, activos y cuenten con un rol válido. RN01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2.2.5. Que el cliente disponga de acceso al portal público para registrar o consultar un caso.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2.2.6. Que el Documento de Reglas de Negocio para Casos de Uso se encuentre formalizado.</w:t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2.3. Flujo Normal Básico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actor ingresa al portal del Sistema de Gestión de Quejas para Empresa de Comida Rápida.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sistema identifica si el actor utilizará el portal público o el módulo interno.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Cuando el actor es un usuario interno, el sistema invoca el CU-01 Iniciar Sesión.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El sistema valida el rol y los permisos del usuario de acuerdo con la RN01. FA01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5. El sistema muestra la bandeja principal con las opciones habilitadas según el rol.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6. Para el Cliente, el sistema muestra las opciones Registrar Caso, Consultar Estado y Adjuntar Evidencias.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7. Para el Agente de Atención, el sistema muestra las opciones Administrar Casos, Registrar Seguimiento y Adjuntar Evidencias.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8. Para el Supervisor, el sistema muestra las opciones Administrar Casos, Asignar Responsable, Cerrar Caso y Generar Reportes.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9. Para el Administrador, el sistema muestra las opciones Administrar Usuarios, Administrar Roles y Permisos, Administrar Sucursales, Generar Reportes y Administrar Notificaciones.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10. Para el Auditor, el sistema muestra las opciones Consultar Bitácora y Generar reportes de auditoría.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11. El actor selecciona una opción del menú principal. FA02 FA03 FA04 FA05 FA06 FA07 FA08 FA09 FA10 FA11 FA12 FA13 FA14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12. El sistema valida que el actor tenga autorización para ejecutar la opción seleccionada. RN01 FA15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13. El sistema invoca el Caso de Uso correspondiente.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14. El actor completa la operación del módulo seleccionado.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15. El sistema registra en la bitácora las acciones que requieren trazabilidad. RN18 RN19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16. El sistema muestra el resultado de la operación y retorna a la bandeja principal.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17. El usuario puede seleccionar otra opción del sistema o cerrar sesión. FA16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18. Fin del Caso de Uso.</w:t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2.4. Flujos Alternos.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FA01: El usuario interno no puede iniciar sesión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ejecuta las validaciones definidas en el CU-01 Iniciar Sesión.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sistema muestra el mensaje de error correspondiente. RN AN02.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no habilita la bandeja principal.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FA02: El Cliente selecciona Registrar Caso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CU-02 Registrar Queja, Reclamo, Denuncia o Sugerencia.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cliente completa la información requerida y el sistema genera un código único de seguimiento. RN05 RN06.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retorna a la página de confirmación del portal público.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FA03: El Cliente selecciona Consultar Estado del Caso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CU-03 Consultar Estado del Caso.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cliente ingresa el código de seguimiento y los datos de validación.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muestra el estado, las respuestas públicas y el historial autorizado del caso.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FA04: El usuario selecciona Administrar Casos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CU-04 Administrar Casos.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sistema presenta los filtros y la tabla de casos de acuerdo con el rol y la sucursal del usuario.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usuario consulta el detalle o ejecuta una acción permitida.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FA05: El Supervisor selecciona Asignar Responsable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CU-05 Asignar Responsable.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supervisor selecciona un caso y un responsable activo.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registra la asignación y genera una notificación. RN09 RN14.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FA06: El Agente selecciona Registrar Seguimiento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CU-06 Registrar Seguimiento.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agente registra el comentario, el tipo de seguimiento y la visibilidad.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almacena la información y actualiza la bitácora. RN11 RN18.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FA07: El actor selecciona Adjuntar Evidencias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CU-07 Adjuntar Evidencias.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sistema valida el formato, tamaño y cantidad de archivos. RN07.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almacena los documentos y registra la carga en la bitácora.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FA08: El Supervisor selecciona Cerrar Caso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CU-08 Cerrar Caso.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sistema valida que el caso se encuentre en un estado que permita el cierre. RN10 RN12.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supervisor registra la resolución final y confirma el cierre.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FA09: El Administrador selecciona Administrar Usuarios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CU-09 Administrar Usuarios.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administrador crea, consulta, actualiza o cambia el estado de un usuario.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registra la acción en la bitácora de auditoría.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FA10: El Administrador selecciona Administrar Roles y Permisos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CU-10 Administrar Roles y Permisos.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administrador consulta o actualiza las autorizaciones disponibles para cada rol.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registra los cambios de permisos en la bitácora.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FA11: El Administrador selecciona Administrar Sucursales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CU-11 Administrar Sucursales.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administrador registra, consulta, actualiza o cambia el estado de una sucursal.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valida los campos y registra la operación.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FA12: El usuario autorizado selecciona Generar Reportes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CU-12 Generar Reportes.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usuario selecciona los filtros, el tipo de reporte y el formato de salida. RN17.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genera el reporte y registra la descarga cuando corresponda.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FA13: El Auditor selecciona Consultar Bitácora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CU-13 Consultar Bitácora de Auditoría.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auditor selecciona los filtros de búsqueda permitidos.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muestra los eventos sin permitir modificación o eliminación. RN18 RN22.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FA14: El Administrador selecciona Administrar Notificaciones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invoca el CU-14 Administrar Notificaciones.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administrador consulta o actualiza plantillas, canales y eventos de notificación.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registra la modificación realizada.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FA15: El actor no cuenta con permisos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bloquea la operación seleccionada.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sistema muestra el mensaje de error RN AN02: “No posee permisos para realizar esta acción”.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registra el intento en la bitácora cuando corresponda.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El sistema retorna a la bandeja principal.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5.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FA16: El usuario selecciona Cerrar Sesión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solicita confirmación para cerrar la sesión.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usuario confirma la acción.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registra el cierre de sesión en la bitácora.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El sistema redirige a la pantalla de inicio de sesión.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5. Fin del flujo alterno.</w:t>
      </w:r>
    </w:p>
    <w:p>
      <w:pPr>
        <w:keepNext/>
        <w:widowControl/>
        <w:spacing w:before="80" w:after="40" w:line="252" w:lineRule="auto"/>
      </w:pPr>
      <w:r>
        <w:rPr>
          <w:rFonts w:ascii="Arial" w:hAnsi="Arial"/>
          <w:b/>
          <w:sz w:val="20"/>
        </w:rPr>
        <w:t>FA17: El sistema no se encuentra disponible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1. El sistema detecta un error de conexión o indisponibilidad de un servicio requerido.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 El sistema muestra un mensaje indicando que la operación no puede completarse.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3. El sistema registra el error técnico cuando la infraestructura lo permite.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4. Fin del flujo alterno.</w:t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2.5. Poscondiciones.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2.5.1. El actor accede únicamente a los módulos autorizados por su rol.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2.5.2. La operación seleccionada queda registrada o consultada de acuerdo con el Caso de Uso invocado.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2.5.3. Las acciones sujetas a auditoría quedan almacenadas con usuario, fecha, hora, IP y descripción.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2.5.4. Las notificaciones correspondientes quedan generadas o pendientes de envío.</w:t>
      </w:r>
    </w:p>
    <w:p>
      <w:pPr>
        <w:keepNext w:val="0"/>
        <w:widowControl/>
        <w:spacing w:before="0" w:after="40" w:line="252" w:lineRule="auto"/>
      </w:pPr>
      <w:r>
        <w:rPr>
          <w:rFonts w:ascii="Arial" w:hAnsi="Arial"/>
          <w:b w:val="0"/>
          <w:sz w:val="20"/>
        </w:rPr>
        <w:t>2.5.5. El sistema conserva la integridad y trazabilidad de los casos y documentos relacionados.</w:t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3. Requerimientos Suplementarios o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15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Código</w:t>
            </w:r>
          </w:p>
        </w:tc>
        <w:tc>
          <w:tcPr>
            <w:tcW w:type="dxa" w:w="17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Categoría</w:t>
            </w:r>
          </w:p>
        </w:tc>
        <w:tc>
          <w:tcPr>
            <w:tcW w:type="dxa" w:w="633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Requerimiento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RNF01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Disponibilidad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El portal público deberá estar disponible las 24 horas, salvo ventanas de mantenimiento programadas.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RNF02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Rendimiento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Las pantallas de consulta deberán responder en un tiempo máximo de cinco segundos bajo condiciones normales.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RNF03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Seguridad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La comunicación deberá utilizar HTTPS y las contraseñas deberán almacenarse mediante mecanismos seguros de cifrado o hash.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RNF04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Autorización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El sistema deberá aplicar control de acceso basado en roles y permisos.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RNF05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Auditoría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Las acciones críticas deberán registrar usuario, fecha, hora, dirección IP y descripción del evento.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RNF06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Usabilidad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La interfaz deberá ser adaptable a computadoras, tabletas y teléfonos móviles.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RNF07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Integridad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Los casos y registros de bitácora no podrán eliminarse físicamente mediante funciones normales del sistema.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RNF08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Respaldo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La base de datos y los archivos adjuntos deberán contar con mecanismos de respaldo y recuperación.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RNF09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Confidencialidad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Los casos confidenciales y anónimos deberán proteger la identidad y los datos personales del denunciante.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RNF10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Compatibilidad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El sistema deberá funcionar en las versiones vigentes de los navegadores web de uso común.</w:t>
            </w:r>
          </w:p>
        </w:tc>
      </w:tr>
    </w:tbl>
    <w:p>
      <w:pPr>
        <w:widowControl/>
        <w:spacing w:after="0"/>
      </w:pP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4. Anexos</w:t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4.1. Reglas de Negocio:</w:t>
      </w:r>
    </w:p>
    <w:p>
      <w:pPr>
        <w:keepNext w:val="0"/>
        <w:widowControl/>
        <w:spacing w:before="0" w:after="120" w:line="252" w:lineRule="auto"/>
      </w:pPr>
      <w:r>
        <w:rPr>
          <w:rFonts w:ascii="Arial" w:hAnsi="Arial"/>
          <w:b w:val="0"/>
          <w:sz w:val="20"/>
        </w:rPr>
        <w:t>4.1.1. Ver Documento: Reglas de Negocio para Casos de Uso (última versión formalizada).</w:t>
      </w: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4.2. Casos de Uso Relacionados: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15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Código</w:t>
            </w:r>
          </w:p>
        </w:tc>
        <w:tc>
          <w:tcPr>
            <w:tcW w:type="dxa" w:w="53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Caso de Uso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Actor principal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CU-01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Iniciar Sesión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Usuarios internos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CU-02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Registrar Queja, Reclamo, Denuncia o Sugerencia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Cliente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CU-03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Consultar Estado del Caso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Cliente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CU-04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Administrar Casos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Agente / Supervisor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CU-05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Asignar Responsable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Supervisor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CU-06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Registrar Seguimiento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Agente / Supervisor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CU-07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Adjuntar Evidencias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Cliente / Agente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CU-08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Cerrar Caso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Supervisor / Administrador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CU-09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Administrar Usuarios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Administrador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CU-10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Administrar Roles y Permisos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Administrador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CU-11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Administrar Sucursales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Administrador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CU-12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Generar Reportes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Supervisor / Administrador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CU-13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Consultar Bitácora de Auditoría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Auditor / Administrador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CU-14</w:t>
            </w:r>
          </w:p>
        </w:tc>
        <w:tc>
          <w:tcPr>
            <w:tcW w:type="dxa" w:w="53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Administrar Notificaciones</w:t>
            </w:r>
          </w:p>
        </w:tc>
        <w:tc>
          <w:tcPr>
            <w:tcW w:type="dxa" w:w="244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Administrador / Sistema</w:t>
            </w:r>
          </w:p>
        </w:tc>
      </w:tr>
    </w:tbl>
    <w:p>
      <w:pPr>
        <w:widowControl/>
        <w:spacing w:after="0"/>
      </w:pP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4.3. Módulos del Sistema: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4536"/>
        <w:gridCol w:w="4536"/>
      </w:tblGrid>
      <w:tr>
        <w:trPr>
          <w:tblHeader w:val="true"/>
        </w:trPr>
        <w:tc>
          <w:tcPr>
            <w:tcW w:type="dxa" w:w="25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Módulo</w:t>
            </w:r>
          </w:p>
        </w:tc>
        <w:tc>
          <w:tcPr>
            <w:tcW w:type="dxa" w:w="633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Descripción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Portal del Cliente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Registro de casos, consulta de estado y carga de evidencias.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Administración de Casos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Consulta, clasificación, asignación, seguimiento, resolución y cierre.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Notificaciones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Envío de avisos por registro, asignación, cambio de estado, solicitud de información y cierre.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Reportes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Indicadores y exportaciones por fecha, tipo, estado, prioridad, sucursal y responsable.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Administración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Gestión de usuarios, roles, permisos, sucursales y parámetros generales.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Bitácoras y Auditoría</w:t>
            </w:r>
          </w:p>
        </w:tc>
        <w:tc>
          <w:tcPr>
            <w:tcW w:type="dxa" w:w="633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Registro inalterable de accesos, operaciones, documentos y cambios administrativos.</w:t>
            </w:r>
          </w:p>
        </w:tc>
      </w:tr>
    </w:tbl>
    <w:p>
      <w:pPr>
        <w:widowControl/>
        <w:spacing w:after="0"/>
      </w:pPr>
    </w:p>
    <w:p>
      <w:pPr>
        <w:keepNext/>
        <w:widowControl/>
        <w:spacing w:before="120" w:after="120" w:line="252" w:lineRule="auto"/>
      </w:pPr>
      <w:r>
        <w:rPr>
          <w:rFonts w:ascii="Arial" w:hAnsi="Arial"/>
          <w:b/>
          <w:sz w:val="27"/>
        </w:rPr>
        <w:t>5. Firmas Necesarias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312"/>
            <w:vAlign w:val="center"/>
            <w:shd w:fill="EAF2F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Persona</w:t>
            </w:r>
          </w:p>
        </w:tc>
        <w:tc>
          <w:tcPr>
            <w:tcW w:type="dxa" w:w="3744"/>
            <w:vAlign w:val="center"/>
            <w:shd w:fill="EAF2F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Sector</w:t>
            </w:r>
          </w:p>
        </w:tc>
        <w:tc>
          <w:tcPr>
            <w:tcW w:type="dxa" w:w="2160"/>
            <w:vAlign w:val="center"/>
            <w:shd w:fill="EAF2F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sz w:val="16"/>
              </w:rPr>
              <w:t>Firma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____________________________</w:t>
            </w:r>
          </w:p>
        </w:tc>
        <w:tc>
          <w:tcPr>
            <w:tcW w:type="dxa" w:w="374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Administración / Atención al Cliente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____________________________</w:t>
            </w:r>
          </w:p>
        </w:tc>
        <w:tc>
          <w:tcPr>
            <w:tcW w:type="dxa" w:w="374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Tecnología / Desarrollo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____________________________</w:t>
            </w:r>
          </w:p>
        </w:tc>
        <w:tc>
          <w:tcPr>
            <w:tcW w:type="dxa" w:w="374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Auditoría / Control Interno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widowControl/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17" w:bottom="1134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4"/>
      </w:rPr>
      <w:t>Sistema de Gestión de Quejas para Empresa de Comida Rápida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2232"/>
      <w:gridCol w:w="2232"/>
      <w:gridCol w:w="2232"/>
      <w:gridCol w:w="2232"/>
    </w:tblGrid>
    <w:tr>
      <w:tc>
        <w:tcPr>
          <w:tcW w:type="dxa" w:w="2551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Código de documento</w:t>
          </w:r>
        </w:p>
      </w:tc>
      <w:tc>
        <w:tcPr>
          <w:tcW w:type="dxa" w:w="198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No. de Revisión</w:t>
          </w:r>
        </w:p>
      </w:tc>
      <w:tc>
        <w:tcPr>
          <w:tcW w:type="dxa" w:w="2268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Fecha</w:t>
          </w:r>
        </w:p>
      </w:tc>
      <w:tc>
        <w:tcPr>
          <w:tcW w:type="dxa" w:w="113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after="0" w:before="0"/>
            <w:jc w:val="center"/>
          </w:pPr>
          <w:r>
            <w:rPr>
              <w:rFonts w:ascii="Arial" w:hAnsi="Arial"/>
              <w:b/>
              <w:sz w:val="16"/>
            </w:rPr>
            <w:t>Página</w:t>
          </w:r>
        </w:p>
      </w:tc>
    </w:tr>
    <w:tr>
      <w:tc>
        <w:tcPr>
          <w:tcW w:type="dxa" w:w="2551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before="0" w:after="0"/>
            <w:jc w:val="center"/>
          </w:pPr>
          <w:r>
            <w:rPr>
              <w:rFonts w:ascii="Arial" w:hAnsi="Arial"/>
              <w:b w:val="0"/>
              <w:sz w:val="16"/>
            </w:rPr>
            <w:t>CU-00</w:t>
          </w:r>
        </w:p>
      </w:tc>
      <w:tc>
        <w:tcPr>
          <w:tcW w:type="dxa" w:w="198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before="0" w:after="0"/>
            <w:jc w:val="center"/>
          </w:pPr>
          <w:r>
            <w:rPr>
              <w:rFonts w:ascii="Arial" w:hAnsi="Arial"/>
              <w:b w:val="0"/>
              <w:sz w:val="16"/>
            </w:rPr>
            <w:t>001</w:t>
          </w:r>
        </w:p>
      </w:tc>
      <w:tc>
        <w:tcPr>
          <w:tcW w:type="dxa" w:w="2268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before="0" w:after="0"/>
            <w:jc w:val="center"/>
          </w:pPr>
          <w:r>
            <w:rPr>
              <w:rFonts w:ascii="Arial" w:hAnsi="Arial"/>
              <w:b w:val="0"/>
              <w:sz w:val="16"/>
            </w:rPr>
            <w:t>13/07/2026</w:t>
          </w:r>
        </w:p>
      </w:tc>
      <w:tc>
        <w:tcPr>
          <w:tcW w:type="dxa" w:w="1134"/>
          <w:vAlign w:val="center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</w:tcPr>
        <w:p>
          <w:pPr>
            <w:spacing w:before="0" w:after="0"/>
            <w:jc w:val="center"/>
          </w:pPr>
          <w:r>
            <w:rPr>
              <w:rFonts w:ascii="Arial" w:hAnsi="Arial"/>
              <w:b w:val="0"/>
              <w:sz w:val="16"/>
            </w:rPr>
          </w:r>
          <w:r>
            <w:rPr>
              <w:rFonts w:ascii="Arial" w:hAnsi="Arial"/>
              <w:b w:val="0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Reglas de Negocio para Casos de Uso - Sistema de Gestión de Quejas</dc:title>
  <dc:subject>Sistema de quejas para empresa de comida rápida</dc:subject>
  <dc:creator>Equipo de Desarrollo</dc:creator>
  <cp:keywords>casos de uso, reglas de negocio, quejas, reclamos, auditoría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