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4"/>
        </w:rPr>
        <w:t>Caso de Uso</w:t>
      </w:r>
    </w:p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0"/>
        </w:rPr>
        <w:t>Sistema de Gestión de Quejas</w:t>
      </w:r>
    </w:p>
    <w:p>
      <w:pPr>
        <w:keepNext w:val="0"/>
        <w:spacing w:before="0" w:after="240" w:line="252" w:lineRule="auto"/>
        <w:jc w:val="center"/>
      </w:pPr>
      <w:r>
        <w:rPr>
          <w:rFonts w:ascii="Arial" w:hAnsi="Arial"/>
          <w:b/>
          <w:i w:val="0"/>
          <w:sz w:val="36"/>
        </w:rPr>
        <w:t>para Empresa de Comida Rápida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32"/>
        </w:rPr>
        <w:t>Administrar Notificaciones</w:t>
      </w:r>
    </w:p>
    <w:p>
      <w:pPr>
        <w:keepNext w:val="0"/>
        <w:spacing w:before="0" w:after="480" w:line="252" w:lineRule="auto"/>
        <w:jc w:val="center"/>
      </w:pPr>
      <w:r>
        <w:rPr>
          <w:rFonts w:ascii="Arial" w:hAnsi="Arial"/>
          <w:b/>
          <w:i w:val="0"/>
          <w:sz w:val="22"/>
        </w:rPr>
        <w:t>Versión 1.0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20"/>
        </w:rPr>
        <w:t>Elaborado por: ______________________________</w:t>
      </w:r>
    </w:p>
    <w:p>
      <w:pPr>
        <w:keepNext w:val="0"/>
        <w:spacing w:before="0" w:after="520" w:line="252" w:lineRule="auto"/>
        <w:jc w:val="center"/>
      </w:pPr>
      <w:r>
        <w:rPr>
          <w:rFonts w:ascii="Arial" w:hAnsi="Arial"/>
          <w:b/>
          <w:i w:val="0"/>
          <w:sz w:val="20"/>
        </w:rPr>
        <w:t>Fecha Elaboración: 13/07/2026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Historial Revisiones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Nombre</w:t>
            </w: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Fecha</w:t>
            </w: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Descripción del Cambio</w:t>
            </w: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Versión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</w:t>
            </w: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13/07/2026</w:t>
            </w: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Definición inicial del documento</w:t>
            </w: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</w:tbl>
    <w:p>
      <w:pPr>
        <w:keepNext w:val="0"/>
        <w:spacing w:before="0" w:after="0" w:line="252" w:lineRule="auto"/>
      </w:pPr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 Introducción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1.1. Objetivo.</w:t>
      </w:r>
    </w:p>
    <w:p>
      <w:pPr>
        <w:keepNext w:val="0"/>
        <w:spacing w:before="0" w:after="40" w:line="252" w:lineRule="auto"/>
        <w:jc w:val="both"/>
      </w:pPr>
      <w:r>
        <w:rPr>
          <w:rFonts w:ascii="Arial" w:hAnsi="Arial"/>
          <w:b w:val="0"/>
          <w:i w:val="0"/>
          <w:sz w:val="20"/>
        </w:rPr>
        <w:t>El presente Caso de Uso tiene como objetivo describir la interacción de los usuarios autorizados y del sistema con el módulo de notificaciones del Sistema de Gestión de Quejas para una Empresa de Comida Rápida. Este módulo permite consultar eventos, administrar plantillas, configurar destinatarios y canales, reenviar comunicaciones fallidas, controlar reintentos y verificar el resultado de los avisos relacionados con el registro, asignación, seguimiento, resolución, cierre, vencimiento y escalamiento de los casos.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 Definición Caso de Uso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2.1. Actores.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2.1.1. Sistema de Gestión de Quejas para Empresa de Comida Rápida.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2.1.2. Sistema informático.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2.1.3. Usuario Administrador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2.1.4. Usuario Supervisor con permiso de consulta y reenvío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2.1.5. Cliente con correo electrónico o medio de contacto registrado.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2.1.6. Usuario Responsable o Agente de Atención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2.1.7. Servicio de correo electrónico y proveedor de notificaciones.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2.1.8. Módulo de bitácora y auditoría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2.1.9. Planificador de tareas para alertas, reintentos y escalamiento RN20.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2.2. Precondiciones.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2.2.1. Que el sistema se encuentre activo y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2.2.2. Que exista conexión con la base de datos y el servicio de notificaciones.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2.2.3. Que el usuario haya iniciado sesión.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2.2.4. Que el usuario posea rol Administrador o Supervisor con permisos autorizados.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2.2.5. Que las plantillas y eventos de notificación definidos en RN14 se encuentren configurados.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2.2.6. Que existan destinatarios con medios de contacto válidos cuando la notificación sea externa.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2.2.7. Que el Documento de Reglas de Negocio para Casos de Uso se encuentre formalizado.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2.2.8. Que la bitácora se encuentre disponible para registrar envíos, fallos y reintentos. RN18 RN19.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2.3. Flujo Normal Básico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inicia sesión en el sistema.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la sesión, el rol y los permisos del usuario. RN01 RN21 FA01 FA02.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despliega la bandeja principal con las opciones autorizadas: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Administrar Casos (Ver CU-04 Administrar Casos)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Registrar Seguimiento (Ver CU-06 Registrar Seguimiento)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Generar Reportes (Ver CU-12 Generar Reportes)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Consultar Bitácora de Auditoría (Ver CU-13 Consultar Bitácora de Auditoría)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Administrar Notificaciones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usuario selecciona la opción “Administrar Notificaciones”.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registra el acceso al módulo.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muestra las pestañas: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Historial de notificaciones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Plantillas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Configuración de eventos y canales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Cola de reintentos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muestra los filtros del historial: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Fecha inicial y final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Código del caso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Evento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Destinatario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Canal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Estado del envío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Número de 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sistema habilita los botones “Buscar”, “Limpiar Filtros”, “Ver Detalle”, “Reenviar”, “Editar Plantilla”, “Configurar” y “Regresar”, según permisos. FA03 FA04.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El usuario selecciona los filtros y presiona “Buscar”. FA05 FA06 FA07.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10. El sistema valida el rango, los filtros y el alcance de consulta. FA08 FA09.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11. El sistema muestra una tabla con la siguiente información: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Fecha y hora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Código del caso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Evento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Destinatario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Canal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Estado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h. Último resultado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12. El sistema habilita “Ver Detalle” por cada registro. FA10.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13. El usuario selecciona “Ver Detalle”.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14. El sistema muestra: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Identificador de notificación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Evento que la originó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Caso o entidad relacionada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Destinatario y canal utilizado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Asunto y contenido renderizado permitido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Fecha de creación, envío y entrega cuando esté disponible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Cantidad de 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h. Respuesta del proveedor o código de error controlado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i. Historial de reintentos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15. El sistema oculta credenciales, tokens y valores técnicos sensibles. RN21 FA11.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16. El usuario regresa al listado y selecciona la pestaña “Plantillas”.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17. El sistema muestra las plantillas definidas para los eventos de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18. El usuario selecciona una plantilla y presiona “Editar Plantilla”. FA12.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19. El sistema muestra los campos: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Nombre de la plantilla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Evento relacionado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Canal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Asunto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Contenido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Variables disponibles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Estado Activa o Inactiva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20. El usuario actualiza la información permitida y selecciona “Guardar”.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21. El sistema valida los campos, variables, longitud y seguridad del contenido. FA13 FA14 FA15.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22. El sistema guarda la plantilla y muestra el mensaje de éxito. RN AN01: No. 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23. El usuario selecciona la pestaña “Configuración de eventos y canales”.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24. El sistema muestra cada evento, destinatario, canal, estado y política de reintentos conforme RN14 y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25. El usuario modifica una configuración autorizada y selecciona “Guardar”. FA16 FA17 FA18.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26. El sistema valida que exista al menos un canal activo para eventos obligatorios.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27. El sistema guarda la configuración, registra la acción y muestra el mensaje de éxito. RN18 RN19 RN AN01: No. 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28. El sistema utiliza la configuración vigente para los nuevos eventos y conserva el historial anterior.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29. Fin del Caso de Uso.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2.4. Flujos Alternos.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FA01: El usuario no posee permisos para administrar notificaciones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muestra la opción del módulo.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Si el usuario intenta acceder mediante una ruta directa, el sistema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el intento no autorizado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FA02: La sesión del usuario ha expirado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sesión expiró por inactividad.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redirige a la pantalla de inicio de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FA03: El Supervisor posee acceso limitado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permite consultar el historial y reenviar notificaciones asociadas a sus sucursales.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oculta edición de plantillas, configuración global y credenciales del proveedor.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Supervisor no podrá modificar destinatarios administrativos ni políticas de escalamiento.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FA04: Regresar al menú principal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“Regresar”.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conserva los cambios ya confirmados.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retorna a la bandeja principal.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FA05: Buscar por código de caso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ingresa el código de seguimiento.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el formato y existencia del código.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las notificaciones relacionadas con el caso dentro del alcance del usuario.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FA06: Buscar por destinatario o canal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ingresa un correo, nombre o selecciona un canal.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aplica enmascaramiento parcial en los resultados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únicamente los registros autorizados.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FA07: Buscar por estado de envío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Pendiente, Enviado, Entregado, Fallido, Reintentando o Cancelado.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filtra los registros por el estado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la cantidad de resultados encontrados.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FA08: El rango de fechas es inválido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fecha inicial es posterior a la final.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“La fecha inicial no puede ser posterior a la fecha final”.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conserva los demás filtros.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9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FA09: No existen notificaciones para los filtros ingresados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encuentra registros.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conserva los filtros para su modificación.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FA10: La notificación fue generada sin medio de contacto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que el cliente no proporcionó correo o que el caso es anónimo.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estado “No aplica - sin medio de contacto”.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conserva la confirmación en pantalla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No se habilita el reenvío externo.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FA11: El detalle contiene información sensible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tokens, identificadores técnicos o datos personales no necesarios.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enmascara los valores restringidos.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muestra contraseñas ni credenciales del proveedor.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consulta queda registrada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FA12: Vista previa de plantilla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“Vista Previa”.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datos de prueba o utiliza valores controlados.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renderiza el asunto y contenido sin ejecutar un envío real.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advierte si existen variables sin valor.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FA13: La plantilla contiene variables no permitidas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una variable no incluida en el catálogo del evento.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“La variable {{variable}} no está disponible para este evento”.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guarda la plantilla.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19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FA14: La plantilla contiene contenido inseguro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scripts, enlaces no autorizados o etiquetas no permitidas.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rechaza el contenido inseguro y muestra un mensaje controlado.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el intento de guardar contenido no permitido.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19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FA15: Campos obligatorios de la plantilla incompletos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valida que nombre, evento, canal y contenido estén completos.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resalta los campos faltantes.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19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FA16: Desactivar una plantilla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cambia el estado de una plantilla a Inactiva.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si es la única plantilla activa para un evento obligatorio.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existe alternativa válida, el sistema guarda el cambio.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Si no existe alternativa, se aplica FA17.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FA17: Se intenta dejar un evento obligatorio sin canal activo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evento de RN14 quedaría sin canal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guarda la configuración.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“Debe existir al menos un canal activo para este evento”.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24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FA18: Modificar la política de reintentos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cantidad máxima e intervalo de reintentos.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límites permitidos y evita valores negativos o excesivos.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La nueva política se aplica únicamente a envíos creados después del cambio.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los valores anteriores y nuevos en bitácora.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FA19: Reenviar una notificación fallida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usuario selecciona un registro Fallido y presiona “Reenviar”.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permisos, medio de contacto, plantilla y estado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crea un nuevo intento vinculado a la notificación original.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Si el envío es exitoso, muestra el mensaje de éxito. RN AN01: No. 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registra el reenvío en bitácora.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FA20: Reenviar una notificación ya entregada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notificación ya fue entregada.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una confirmación y un motivo de reenvío.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usuario confirma la acción.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crea un nuevo envío sin modificar el registro original.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FA21: El destinatario no posee un correo válido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valida el correo antes del envío.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marca la notificación como Fallida por destinatario inválido.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7 o No. 28.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notifica internamente al responsable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FA22: El servicio de correo no está disponible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recibe un error temporal del proveedor.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marca la notificación como Reintentando.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planificador aplica la política de reintentos configurada.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Cada intento queda registrado conforme RN18 y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Si se agotan los intentos, se aplica FA23.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FA23: Se agotaron los reintentos permitidos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cambia el estado a Fallido definitivo.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notifica internamente al Administrador o Supervisor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28.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registro permanece disponible para reenvío manual autorizado.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FA24: Notificación por vencimiento próximo del SLA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planificador detecta que el caso consumió el 80% del tiempo objetivo.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genera una notificación al Responsable y Supervisor.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evento y resultado del envío quedan registrados.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caso conserva su estado actual.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FA25: Notificación por incumplimiento del SLA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caso superó el tiempo objetivo.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marca el caso como vencido conforme a la configuración.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notifica al Supervisor y Administrador.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envío queda relacionado con el código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FA26: Escalamiento de un caso crítico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 caso crítico sin atención dentro de dos horas. RN20.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genera una notificación de escalamiento al Administrador.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registra el evento, destinatarios y resultado.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Si el envío falla, aplica la política de reintentos.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FA27: Cancelar una notificación pendiente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una notificación que aún no fue enviada.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motivo y confirmación.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cambia el estado a Cancelado sin eliminar el registro.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cancelación queda registrada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FA28: La información del caso cambió antes del envío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estado, responsable o destinatario cambió durante el proceso.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vuelve a validar la información vigente.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cancela el contenido desactualizado y genera uno nuevo cuando corresponda.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mensaje de error si la operación manual fue rechazada. RN AN02: No. 32.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FA29: Error al registrar la auditoría del envío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no pudo registrar el evento obligatorio de notificación.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confirma el envío como completado.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marca el proceso para revisión técnica.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muestra el mensaje de error. RN AN02: No. 31.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FA30: Error de conexión o error interno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una falla de conexión, base de datos o servicio interno.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30 o No. 31.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duplica envíos ni guarda cambios parciales.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conserva la información ingresada cuando sea posible.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FA31: Prueba de configuración del canal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“Enviar Prueba”.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solicita un destinatario de prueba autorizado.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envía un mensaje identificado como prueba y registra el resultado.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prueba no se asocia con un caso real.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Si falla, el sistema muestra el mensaje de error. RN AN02: No. 28.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2.5. Postcondiciones.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2.5.1. El historial de notificaciones permanece disponible para consulta conforme al alcance del usuario.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2.5.2. Las plantillas y configuraciones guardadas se aplican únicamente a eventos posteriores al cambio.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2.5.3. Los registros históricos de contenido, destinatarios, estados e intentos no se modifican ni eliminan físicamente.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2.5.4. Todo envío exitoso, fallo, reintento, reenvío manual, cancelación y cambio de configuración queda registrado conforme RN18 y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2.5.5. Los datos sensibles, credenciales y tokens del proveedor permanecen ocultos.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2.5.6. Los eventos obligatorios conservan al menos un canal activo conforme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2.5.7. Las notificaciones externas no se envían cuando no existe medio de contacto válido.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2.5.8. Los casos anónimos conservan únicamente las confirmaciones y avisos permitidos por RN08.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2.5.9. Los envíos fallidos permanecen disponibles para revisión y reenvío autorizado.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2.5.10. Las alertas y escalamientos por tiempo de atención se generan conforme RN20.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3. Requerimientos Suplementarios o no Funcionales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3.1. El módulo deberá responder en un tiempo máximo de cinco segundos para consultas normales.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3.2. El envío de notificaciones deberá ejecutarse mediante procesos desacoplados para no bloquear el registro o actualización de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3.3. El sistema deberá evitar envíos duplicados mediante identificadores únicos e idempotencia.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3.4. Toda notificación deberá registrar evento, destinatario, canal, fecha, estado, intentos y resultado.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3.5. El sistema deberá soportar correo electrónico y notificación interna; otros canales podrán incorporarse sin alterar los casos históricos.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3.6. Las plantillas deberán utilizar variables controladas y no permitir scripts ni contenido ejecutable.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3.7. Las credenciales de proveedores deberán almacenarse cifradas y nunca mostrarse en pantalla.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3.8. La comunicación con proveedores externos deberá utilizar conexiones seguras.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3.9. Los reintentos deberán respetar límites, intervalos y estados configurados.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3.10. Los eventos críticos y de incumplimiento deberán priorizarse sobre comunicaciones informativas.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3.11. El sistema deberá enmascarar correos y datos personales en listados cuando el rol no requiera su visualización completa.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3.12. Los mensajes de error no deberán exponer credenciales, trazas internas ni respuestas completas del proveedor.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3.13. Las plantillas deberán conservar historial de cambios o los valores anteriores y nuevos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3.14. El sistema deberá validar nuevamente la sesión antes de modificar plantillas, canales o reintentos.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3.15. Los cambios de configuración deberán aplicarse de manera transaccional para evitar estados parciales.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3.16. La interfaz deberá funcionar en navegadores modernos y adaptarse a computadoras y tabletas.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3.17. El historial deberá utilizar paginación y filtros indexados.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3.18. Las notificaciones no deberán incluir contraseñas, tokens, datos de pago ni información confidencial innecesaria.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3.19. La disponibilidad del servicio de notificaciones deberá ser monitoreada y los fallos deberán generar alertas técnicas.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3.20. Los registros históricos deberán conservarse conforme a RN22 y a la política institucional.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 Anexos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4.1. Reglas de Negocio: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4.1.1. Ver Documento: Reglas de Negocio para Casos de Uso (última versión formalizada).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4.1.2. Reglas relacionadas: RN01, RN08, RN09, RN10, RN12, RN14, RN18, RN19, RN20, RN21 y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4.1.3. Mensajes relacionados: AN01 No. 19 y No. 20; AN02 No. 3, No. 4, No. 5, No. 6, No. 7, No. 28, No. 30, No. 31 y No. 32.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4.2. Casos de Uso Relacionados: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4.2.1. CU-01 Iniciar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4.2.2. CU-02 Registrar Queja, Reclamo, Denuncia o Sugerencia.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4.2.3. CU-03 Consultar Estado del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4.2.4. CU-04 Administrar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4.2.5. CU-05 Asignar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4.2.6. CU-06 Registrar Seguimiento.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4.2.7. CU-08 Cerrar Caso.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4.2.8. CU-09 Administrar Usuarios.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4.2.9. CU-12 Generar Reportes.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4.2.10. CU-13 Consultar Bitácora de Auditoría.</w:t>
      </w:r>
    </w:p>
    <w:p>
      <w:pPr>
        <w:keepNext w:val="0"/>
        <w:spacing w:before="0" w:after="0" w:line="252" w:lineRule="auto"/>
      </w:pPr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5. Firmas Necesarias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Persona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Sector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Firma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Administración / Atención al Cliente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Tecnología / Desarrollo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Supervisión / Control Interno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sz w:val="18"/>
      </w:rPr>
      <w:t>Sistema de Gestión de Quejas para Empresa de Comida Rápida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232"/>
      <w:gridCol w:w="2232"/>
      <w:gridCol w:w="2232"/>
      <w:gridCol w:w="2232"/>
    </w:tblGrid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Código de documento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No. de Revisión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Fecha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Página</w:t>
          </w:r>
        </w:p>
      </w:tc>
    </w:tr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CU-14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001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13/07/2026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8"/>
            </w:rPr>
          </w:r>
          <w:r>
            <w:rPr>
              <w:rFonts w:ascii="Arial" w:hAnsi="Arial"/>
              <w:b w:val="0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Adjuntar Evidencias</dc:title>
  <dc:subject>Sistema de Gestión de Quejas para Empresa de Comida Rápida</dc:subject>
  <dc:creator>Equipo de Desarrollo</dc:creator>
  <cp:keywords>caso de uso, evidencias, archivos, quejas, auditoría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